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2"/>
        <w:jc w:val="center"/>
        <w:outlineLvl w:val="0"/>
        <w:rPr>
          <w:rFonts w:ascii="宋体" w:hAnsi="宋体"/>
          <w:b/>
          <w:sz w:val="30"/>
          <w:szCs w:val="30"/>
        </w:rPr>
      </w:pPr>
      <w:bookmarkStart w:id="0" w:name="_Toc84844184"/>
      <w:bookmarkStart w:id="247" w:name="_GoBack"/>
      <w:bookmarkEnd w:id="247"/>
    </w:p>
    <w:p>
      <w:pPr>
        <w:ind w:firstLine="602"/>
        <w:jc w:val="center"/>
        <w:outlineLvl w:val="0"/>
        <w:rPr>
          <w:rFonts w:ascii="宋体" w:hAnsi="宋体"/>
          <w:b/>
          <w:sz w:val="30"/>
          <w:szCs w:val="30"/>
        </w:rPr>
      </w:pPr>
    </w:p>
    <w:p>
      <w:pPr>
        <w:ind w:firstLine="0" w:firstLineChars="0"/>
        <w:jc w:val="center"/>
        <w:outlineLvl w:val="0"/>
        <w:rPr>
          <w:rFonts w:ascii="宋体" w:hAnsi="宋体"/>
          <w:b/>
          <w:sz w:val="44"/>
          <w:szCs w:val="44"/>
        </w:rPr>
      </w:pPr>
      <w:r>
        <w:rPr>
          <w:rFonts w:hint="eastAsia" w:ascii="宋体" w:hAnsi="宋体"/>
          <w:b/>
          <w:sz w:val="44"/>
          <w:szCs w:val="44"/>
        </w:rPr>
        <w:t>重庆建峰化工股份有限公司</w:t>
      </w:r>
    </w:p>
    <w:p>
      <w:pPr>
        <w:ind w:firstLine="0" w:firstLineChars="0"/>
        <w:jc w:val="center"/>
        <w:outlineLvl w:val="0"/>
        <w:rPr>
          <w:rFonts w:ascii="宋体" w:hAnsi="宋体"/>
          <w:b/>
          <w:sz w:val="36"/>
          <w:szCs w:val="36"/>
        </w:rPr>
      </w:pPr>
      <w:r>
        <w:rPr>
          <w:rFonts w:hint="eastAsia" w:ascii="宋体" w:hAnsi="宋体"/>
          <w:b/>
          <w:sz w:val="36"/>
          <w:szCs w:val="36"/>
        </w:rPr>
        <w:t>利用化工尾气制20万吨/年合成氨循环经济项目</w:t>
      </w:r>
    </w:p>
    <w:p>
      <w:pPr>
        <w:ind w:firstLine="0" w:firstLineChars="0"/>
        <w:jc w:val="center"/>
        <w:outlineLvl w:val="0"/>
        <w:rPr>
          <w:b/>
          <w:sz w:val="36"/>
          <w:szCs w:val="36"/>
        </w:rPr>
      </w:pPr>
    </w:p>
    <w:p>
      <w:pPr>
        <w:ind w:firstLine="0" w:firstLineChars="0"/>
        <w:jc w:val="center"/>
        <w:outlineLvl w:val="0"/>
        <w:rPr>
          <w:rFonts w:ascii="宋体" w:hAnsi="宋体"/>
          <w:sz w:val="90"/>
          <w:szCs w:val="90"/>
        </w:rPr>
      </w:pPr>
      <w:r>
        <w:rPr>
          <w:rFonts w:hint="eastAsia" w:ascii="宋体" w:hAnsi="宋体"/>
          <w:b/>
          <w:sz w:val="90"/>
          <w:szCs w:val="90"/>
        </w:rPr>
        <w:t>环境影响报告书</w:t>
      </w:r>
    </w:p>
    <w:p>
      <w:pPr>
        <w:ind w:firstLine="0" w:firstLineChars="0"/>
        <w:jc w:val="center"/>
        <w:rPr>
          <w:rFonts w:ascii="宋体" w:hAnsi="宋体"/>
          <w:b/>
          <w:sz w:val="36"/>
          <w:szCs w:val="36"/>
        </w:rPr>
      </w:pPr>
      <w:r>
        <w:rPr>
          <w:rFonts w:hint="eastAsia" w:ascii="宋体" w:hAnsi="宋体"/>
          <w:b/>
          <w:sz w:val="36"/>
          <w:szCs w:val="36"/>
        </w:rPr>
        <w:t>（公示版）</w:t>
      </w: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jc w:val="center"/>
        <w:rPr>
          <w:rFonts w:ascii="宋体" w:hAnsi="宋体"/>
          <w:sz w:val="30"/>
        </w:rPr>
      </w:pPr>
    </w:p>
    <w:p>
      <w:pPr>
        <w:ind w:firstLine="0" w:firstLineChars="0"/>
        <w:rPr>
          <w:rFonts w:ascii="宋体" w:hAnsi="宋体"/>
          <w:sz w:val="30"/>
        </w:rPr>
      </w:pPr>
    </w:p>
    <w:p>
      <w:pPr>
        <w:ind w:firstLine="0" w:firstLineChars="0"/>
        <w:rPr>
          <w:rFonts w:ascii="宋体" w:hAnsi="宋体"/>
          <w:sz w:val="30"/>
        </w:rPr>
      </w:pPr>
    </w:p>
    <w:p>
      <w:pPr>
        <w:ind w:firstLine="0" w:firstLineChars="0"/>
        <w:jc w:val="center"/>
        <w:rPr>
          <w:rFonts w:ascii="宋体" w:hAnsi="宋体"/>
          <w:b/>
          <w:sz w:val="36"/>
          <w:szCs w:val="36"/>
        </w:rPr>
      </w:pPr>
    </w:p>
    <w:p>
      <w:pPr>
        <w:ind w:firstLine="0" w:firstLineChars="0"/>
        <w:jc w:val="left"/>
        <w:rPr>
          <w:rFonts w:ascii="宋体" w:hAnsi="宋体"/>
          <w:b/>
          <w:sz w:val="36"/>
          <w:szCs w:val="36"/>
        </w:rPr>
      </w:pPr>
      <w:r>
        <w:rPr>
          <w:rFonts w:hint="eastAsia" w:ascii="宋体" w:hAnsi="宋体"/>
          <w:b/>
          <w:sz w:val="36"/>
          <w:szCs w:val="36"/>
        </w:rPr>
        <w:t>建设单位：重庆建峰化工股份有限公司</w:t>
      </w:r>
    </w:p>
    <w:p>
      <w:pPr>
        <w:ind w:firstLine="0" w:firstLineChars="0"/>
        <w:jc w:val="left"/>
        <w:rPr>
          <w:rFonts w:ascii="宋体" w:hAnsi="宋体"/>
          <w:b/>
          <w:sz w:val="36"/>
          <w:szCs w:val="36"/>
        </w:rPr>
      </w:pPr>
      <w:r>
        <w:rPr>
          <w:rFonts w:hint="eastAsia" w:ascii="宋体" w:hAnsi="宋体"/>
          <w:b/>
          <w:sz w:val="36"/>
          <w:szCs w:val="36"/>
        </w:rPr>
        <w:t>环评单位：国药集团重庆医药设计院有限公司</w:t>
      </w:r>
    </w:p>
    <w:p>
      <w:pPr>
        <w:ind w:firstLine="0" w:firstLineChars="0"/>
        <w:jc w:val="center"/>
        <w:rPr>
          <w:b/>
          <w:sz w:val="36"/>
          <w:szCs w:val="36"/>
        </w:rPr>
      </w:pPr>
      <w:r>
        <w:rPr>
          <w:rFonts w:hint="eastAsia" w:ascii="宋体" w:hAnsi="宋体"/>
          <w:b/>
          <w:sz w:val="36"/>
          <w:szCs w:val="36"/>
        </w:rPr>
        <w:t>二Ο二二年三月</w:t>
      </w:r>
    </w:p>
    <w:p>
      <w:pPr>
        <w:pStyle w:val="2"/>
        <w:spacing w:before="156" w:after="156"/>
      </w:pPr>
      <w:r>
        <w:rPr>
          <w:rFonts w:hint="eastAsia"/>
        </w:rPr>
        <w:t>目录</w:t>
      </w:r>
      <w:bookmarkEnd w:id="0"/>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"_Toc84844184" </w:instrText>
      </w:r>
      <w:r>
        <w:fldChar w:fldCharType="separate"/>
      </w:r>
      <w:r>
        <w:rPr>
          <w:rStyle w:val="39"/>
          <w:rFonts w:hint="eastAsia"/>
          <w:color w:val="auto"/>
        </w:rPr>
        <w:t>目录</w:t>
      </w:r>
      <w:r>
        <w:tab/>
      </w:r>
      <w:r>
        <w:fldChar w:fldCharType="begin"/>
      </w:r>
      <w:r>
        <w:instrText xml:space="preserve"> PAGEREF _Toc84844184 \h </w:instrText>
      </w:r>
      <w:r>
        <w:fldChar w:fldCharType="separate"/>
      </w:r>
      <w:r>
        <w:t>I</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"_Toc84844185" </w:instrText>
      </w:r>
      <w:r>
        <w:fldChar w:fldCharType="separate"/>
      </w:r>
      <w:r>
        <w:rPr>
          <w:rStyle w:val="39"/>
          <w:rFonts w:hint="eastAsia"/>
          <w:color w:val="auto"/>
        </w:rPr>
        <w:t>概述</w:t>
      </w:r>
      <w:r>
        <w:tab/>
      </w:r>
      <w:r>
        <w:fldChar w:fldCharType="begin"/>
      </w:r>
      <w:r>
        <w:instrText xml:space="preserve"> PAGEREF _Toc84844185 \h </w:instrText>
      </w:r>
      <w:r>
        <w:fldChar w:fldCharType="separate"/>
      </w:r>
      <w:r>
        <w:t>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"_Toc84844186" </w:instrText>
      </w:r>
      <w:r>
        <w:fldChar w:fldCharType="separate"/>
      </w:r>
      <w:r>
        <w:rPr>
          <w:rStyle w:val="39"/>
          <w:rFonts w:hint="eastAsia"/>
          <w:color w:val="auto"/>
        </w:rPr>
        <w:t>一、项目背景及由来</w:t>
      </w:r>
      <w:r>
        <w:tab/>
      </w:r>
      <w:r>
        <w:fldChar w:fldCharType="begin"/>
      </w:r>
      <w:r>
        <w:instrText xml:space="preserve"> PAGEREF _Toc84844186 \h </w:instrText>
      </w:r>
      <w:r>
        <w:fldChar w:fldCharType="separate"/>
      </w:r>
      <w:r>
        <w:t>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"_Toc84844187" </w:instrText>
      </w:r>
      <w:r>
        <w:fldChar w:fldCharType="separate"/>
      </w:r>
      <w:r>
        <w:rPr>
          <w:rStyle w:val="39"/>
          <w:rFonts w:hint="eastAsia"/>
          <w:color w:val="auto"/>
        </w:rPr>
        <w:t>二、建设项目特点</w:t>
      </w:r>
      <w:r>
        <w:tab/>
      </w:r>
      <w:r>
        <w:fldChar w:fldCharType="begin"/>
      </w:r>
      <w:r>
        <w:instrText xml:space="preserve"> PAGEREF _Toc84844187 \h </w:instrText>
      </w:r>
      <w:r>
        <w:fldChar w:fldCharType="separate"/>
      </w:r>
      <w:r>
        <w:t>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"_Toc84844188" </w:instrText>
      </w:r>
      <w:r>
        <w:fldChar w:fldCharType="separate"/>
      </w:r>
      <w:r>
        <w:rPr>
          <w:rStyle w:val="39"/>
          <w:rFonts w:hint="eastAsia"/>
          <w:color w:val="auto"/>
        </w:rPr>
        <w:t>三、环境影响评价工作过程概述</w:t>
      </w:r>
      <w:r>
        <w:tab/>
      </w:r>
      <w:r>
        <w:fldChar w:fldCharType="begin"/>
      </w:r>
      <w:r>
        <w:instrText xml:space="preserve"> PAGEREF _Toc84844188 \h </w:instrText>
      </w:r>
      <w:r>
        <w:fldChar w:fldCharType="separate"/>
      </w:r>
      <w:r>
        <w:t>2</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"_Toc84844189" </w:instrText>
      </w:r>
      <w:r>
        <w:fldChar w:fldCharType="separate"/>
      </w:r>
      <w:r>
        <w:rPr>
          <w:rStyle w:val="39"/>
          <w:rFonts w:hint="eastAsia"/>
          <w:color w:val="auto"/>
        </w:rPr>
        <w:t>四、分析判定相关情况</w:t>
      </w:r>
      <w:r>
        <w:tab/>
      </w:r>
      <w:r>
        <w:fldChar w:fldCharType="begin"/>
      </w:r>
      <w:r>
        <w:instrText xml:space="preserve"> PAGEREF _Toc84844189 \h </w:instrText>
      </w:r>
      <w:r>
        <w:fldChar w:fldCharType="separate"/>
      </w:r>
      <w:r>
        <w:t>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"_Toc84844190" </w:instrText>
      </w:r>
      <w:r>
        <w:fldChar w:fldCharType="separate"/>
      </w:r>
      <w:r>
        <w:rPr>
          <w:rStyle w:val="39"/>
          <w:rFonts w:hint="eastAsia"/>
          <w:color w:val="auto"/>
        </w:rPr>
        <w:t>五、关注的主要环境问题及环境影响</w:t>
      </w:r>
      <w:r>
        <w:tab/>
      </w:r>
      <w:r>
        <w:fldChar w:fldCharType="begin"/>
      </w:r>
      <w:r>
        <w:instrText xml:space="preserve"> PAGEREF _Toc84844190 \h </w:instrText>
      </w:r>
      <w:r>
        <w:fldChar w:fldCharType="separate"/>
      </w:r>
      <w:r>
        <w:t>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"_Toc84844191" </w:instrText>
      </w:r>
      <w:r>
        <w:fldChar w:fldCharType="separate"/>
      </w:r>
      <w:r>
        <w:rPr>
          <w:rStyle w:val="39"/>
          <w:rFonts w:hint="eastAsia"/>
          <w:color w:val="auto"/>
        </w:rPr>
        <w:t>六、主要环境保护措施及环境影响</w:t>
      </w:r>
      <w:r>
        <w:tab/>
      </w:r>
      <w:r>
        <w:fldChar w:fldCharType="begin"/>
      </w:r>
      <w:r>
        <w:instrText xml:space="preserve"> PAGEREF _Toc84844191 \h </w:instrText>
      </w:r>
      <w:r>
        <w:fldChar w:fldCharType="separate"/>
      </w:r>
      <w:r>
        <w:t>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"_Toc84844192" </w:instrText>
      </w:r>
      <w:r>
        <w:fldChar w:fldCharType="separate"/>
      </w:r>
      <w:r>
        <w:rPr>
          <w:rStyle w:val="39"/>
          <w:rFonts w:hint="eastAsia"/>
          <w:color w:val="auto"/>
        </w:rPr>
        <w:t>七、环境影响报告书主要结论</w:t>
      </w:r>
      <w:r>
        <w:tab/>
      </w:r>
      <w:r>
        <w:fldChar w:fldCharType="begin"/>
      </w:r>
      <w:r>
        <w:instrText xml:space="preserve"> PAGEREF _Toc84844192 \h </w:instrText>
      </w:r>
      <w:r>
        <w:fldChar w:fldCharType="separate"/>
      </w:r>
      <w:r>
        <w:t>9</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"_Toc84844193" </w:instrText>
      </w:r>
      <w:r>
        <w:fldChar w:fldCharType="separate"/>
      </w:r>
      <w:r>
        <w:rPr>
          <w:rStyle w:val="39"/>
          <w:color w:val="auto"/>
        </w:rPr>
        <w:t>1</w:t>
      </w:r>
      <w:r>
        <w:rPr>
          <w:rStyle w:val="39"/>
          <w:rFonts w:hint="eastAsia"/>
          <w:color w:val="auto"/>
        </w:rPr>
        <w:t>总则</w:t>
      </w:r>
      <w:r>
        <w:tab/>
      </w:r>
      <w:r>
        <w:fldChar w:fldCharType="begin"/>
      </w:r>
      <w:r>
        <w:instrText xml:space="preserve"> PAGEREF _Toc84844193 \h </w:instrText>
      </w:r>
      <w:r>
        <w:fldChar w:fldCharType="separate"/>
      </w:r>
      <w:r>
        <w:t>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"_Toc84844194" </w:instrText>
      </w:r>
      <w:r>
        <w:fldChar w:fldCharType="separate"/>
      </w:r>
      <w:r>
        <w:rPr>
          <w:rStyle w:val="39"/>
          <w:color w:val="auto"/>
        </w:rPr>
        <w:t>1.1</w:t>
      </w:r>
      <w:r>
        <w:rPr>
          <w:rStyle w:val="39"/>
          <w:rFonts w:hint="eastAsia"/>
          <w:color w:val="auto"/>
        </w:rPr>
        <w:t>评价目的</w:t>
      </w:r>
      <w:r>
        <w:tab/>
      </w:r>
      <w:r>
        <w:fldChar w:fldCharType="begin"/>
      </w:r>
      <w:r>
        <w:instrText xml:space="preserve"> PAGEREF _Toc84844194 \h </w:instrText>
      </w:r>
      <w:r>
        <w:fldChar w:fldCharType="separate"/>
      </w:r>
      <w:r>
        <w:t>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"_Toc84844195" </w:instrText>
      </w:r>
      <w:r>
        <w:fldChar w:fldCharType="separate"/>
      </w:r>
      <w:r>
        <w:rPr>
          <w:rStyle w:val="39"/>
          <w:color w:val="auto"/>
        </w:rPr>
        <w:t>1.2</w:t>
      </w:r>
      <w:r>
        <w:rPr>
          <w:rStyle w:val="39"/>
          <w:rFonts w:hint="eastAsia"/>
          <w:color w:val="auto"/>
        </w:rPr>
        <w:t>编制依据</w:t>
      </w:r>
      <w:r>
        <w:tab/>
      </w:r>
      <w:r>
        <w:fldChar w:fldCharType="begin"/>
      </w:r>
      <w:r>
        <w:instrText xml:space="preserve"> PAGEREF _Toc84844195 \h </w:instrText>
      </w:r>
      <w:r>
        <w:fldChar w:fldCharType="separate"/>
      </w:r>
      <w:r>
        <w:t>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"_Toc84844196" </w:instrText>
      </w:r>
      <w:r>
        <w:fldChar w:fldCharType="separate"/>
      </w:r>
      <w:r>
        <w:rPr>
          <w:rStyle w:val="39"/>
          <w:color w:val="auto"/>
        </w:rPr>
        <w:t>1.2.1</w:t>
      </w:r>
      <w:r>
        <w:rPr>
          <w:rStyle w:val="39"/>
          <w:rFonts w:hint="eastAsia"/>
          <w:color w:val="auto"/>
        </w:rPr>
        <w:t>环境保护法规及有关政策</w:t>
      </w:r>
      <w:r>
        <w:tab/>
      </w:r>
      <w:r>
        <w:fldChar w:fldCharType="begin"/>
      </w:r>
      <w:r>
        <w:instrText xml:space="preserve"> PAGEREF _Toc84844196 \h </w:instrText>
      </w:r>
      <w:r>
        <w:fldChar w:fldCharType="separate"/>
      </w:r>
      <w:r>
        <w:t>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"_Toc84844197" </w:instrText>
      </w:r>
      <w:r>
        <w:fldChar w:fldCharType="separate"/>
      </w:r>
      <w:r>
        <w:rPr>
          <w:rStyle w:val="39"/>
          <w:color w:val="auto"/>
        </w:rPr>
        <w:t>1.2.2</w:t>
      </w:r>
      <w:r>
        <w:rPr>
          <w:rStyle w:val="39"/>
          <w:rFonts w:hint="eastAsia"/>
          <w:color w:val="auto"/>
        </w:rPr>
        <w:t>地方性政策法规</w:t>
      </w:r>
      <w:r>
        <w:tab/>
      </w:r>
      <w:r>
        <w:fldChar w:fldCharType="begin"/>
      </w:r>
      <w:r>
        <w:instrText xml:space="preserve"> PAGEREF _Toc84844197 \h </w:instrText>
      </w:r>
      <w:r>
        <w:fldChar w:fldCharType="separate"/>
      </w:r>
      <w:r>
        <w:t>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"_Toc84844198" </w:instrText>
      </w:r>
      <w:r>
        <w:fldChar w:fldCharType="separate"/>
      </w:r>
      <w:r>
        <w:rPr>
          <w:rStyle w:val="39"/>
          <w:color w:val="auto"/>
        </w:rPr>
        <w:t>1.2.3</w:t>
      </w:r>
      <w:r>
        <w:rPr>
          <w:rStyle w:val="39"/>
          <w:rFonts w:hint="eastAsia"/>
          <w:color w:val="auto"/>
        </w:rPr>
        <w:t>环境评价技术规范</w:t>
      </w:r>
      <w:r>
        <w:tab/>
      </w:r>
      <w:r>
        <w:fldChar w:fldCharType="begin"/>
      </w:r>
      <w:r>
        <w:instrText xml:space="preserve"> PAGEREF _Toc84844198 \h </w:instrText>
      </w:r>
      <w:r>
        <w:fldChar w:fldCharType="separate"/>
      </w:r>
      <w:r>
        <w:t>4</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"_Toc84844199" </w:instrText>
      </w:r>
      <w:r>
        <w:fldChar w:fldCharType="separate"/>
      </w:r>
      <w:r>
        <w:rPr>
          <w:rStyle w:val="39"/>
          <w:color w:val="auto"/>
        </w:rPr>
        <w:t>1.2.4</w:t>
      </w:r>
      <w:r>
        <w:rPr>
          <w:rStyle w:val="39"/>
          <w:rFonts w:hint="eastAsia"/>
          <w:color w:val="auto"/>
        </w:rPr>
        <w:t>建设项目有关资料</w:t>
      </w:r>
      <w:r>
        <w:tab/>
      </w:r>
      <w:r>
        <w:fldChar w:fldCharType="begin"/>
      </w:r>
      <w:r>
        <w:instrText xml:space="preserve"> PAGEREF _Toc84844199 \h </w:instrText>
      </w:r>
      <w:r>
        <w:fldChar w:fldCharType="separate"/>
      </w:r>
      <w:r>
        <w:t>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"_Toc84844200" </w:instrText>
      </w:r>
      <w:r>
        <w:fldChar w:fldCharType="separate"/>
      </w:r>
      <w:r>
        <w:rPr>
          <w:rStyle w:val="39"/>
          <w:color w:val="auto"/>
        </w:rPr>
        <w:t>1.3</w:t>
      </w:r>
      <w:r>
        <w:rPr>
          <w:rStyle w:val="39"/>
          <w:rFonts w:hint="eastAsia"/>
          <w:color w:val="auto"/>
        </w:rPr>
        <w:t>总体构思</w:t>
      </w:r>
      <w:r>
        <w:tab/>
      </w:r>
      <w:r>
        <w:fldChar w:fldCharType="begin"/>
      </w:r>
      <w:r>
        <w:instrText xml:space="preserve"> PAGEREF _Toc84844200 \h </w:instrText>
      </w:r>
      <w:r>
        <w:fldChar w:fldCharType="separate"/>
      </w:r>
      <w:r>
        <w:t>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"_Toc84844201" </w:instrText>
      </w:r>
      <w:r>
        <w:fldChar w:fldCharType="separate"/>
      </w:r>
      <w:r>
        <w:rPr>
          <w:rStyle w:val="39"/>
          <w:color w:val="auto"/>
        </w:rPr>
        <w:t>1.4</w:t>
      </w:r>
      <w:r>
        <w:rPr>
          <w:rStyle w:val="39"/>
          <w:rFonts w:hint="eastAsia"/>
          <w:color w:val="auto"/>
        </w:rPr>
        <w:t>评价时段、环境影响识别及评价因子的确定</w:t>
      </w:r>
      <w:r>
        <w:tab/>
      </w:r>
      <w:r>
        <w:fldChar w:fldCharType="begin"/>
      </w:r>
      <w:r>
        <w:instrText xml:space="preserve"> PAGEREF _Toc84844201 \h </w:instrText>
      </w:r>
      <w:r>
        <w:fldChar w:fldCharType="separate"/>
      </w:r>
      <w:r>
        <w:t>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"_Toc84844202" </w:instrText>
      </w:r>
      <w:r>
        <w:fldChar w:fldCharType="separate"/>
      </w:r>
      <w:r>
        <w:rPr>
          <w:rStyle w:val="39"/>
          <w:color w:val="auto"/>
        </w:rPr>
        <w:t>1.4.1</w:t>
      </w:r>
      <w:r>
        <w:rPr>
          <w:rStyle w:val="39"/>
          <w:rFonts w:hint="eastAsia"/>
          <w:color w:val="auto"/>
        </w:rPr>
        <w:t>评价时段</w:t>
      </w:r>
      <w:r>
        <w:tab/>
      </w:r>
      <w:r>
        <w:fldChar w:fldCharType="begin"/>
      </w:r>
      <w:r>
        <w:instrText xml:space="preserve"> PAGEREF _Toc84844202 \h </w:instrText>
      </w:r>
      <w:r>
        <w:fldChar w:fldCharType="separate"/>
      </w:r>
      <w:r>
        <w:t>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"_Toc84844203" </w:instrText>
      </w:r>
      <w:r>
        <w:fldChar w:fldCharType="separate"/>
      </w:r>
      <w:r>
        <w:rPr>
          <w:rStyle w:val="39"/>
          <w:color w:val="auto"/>
        </w:rPr>
        <w:t>1.4.2</w:t>
      </w:r>
      <w:r>
        <w:rPr>
          <w:rStyle w:val="39"/>
          <w:rFonts w:hint="eastAsia"/>
          <w:color w:val="auto"/>
        </w:rPr>
        <w:t>环境影响识别</w:t>
      </w:r>
      <w:r>
        <w:tab/>
      </w:r>
      <w:r>
        <w:fldChar w:fldCharType="begin"/>
      </w:r>
      <w:r>
        <w:instrText xml:space="preserve"> PAGEREF _Toc84844203 \h </w:instrText>
      </w:r>
      <w:r>
        <w:fldChar w:fldCharType="separate"/>
      </w:r>
      <w:r>
        <w:t>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"_Toc84844204" </w:instrText>
      </w:r>
      <w:r>
        <w:fldChar w:fldCharType="separate"/>
      </w:r>
      <w:r>
        <w:rPr>
          <w:rStyle w:val="39"/>
          <w:color w:val="auto"/>
        </w:rPr>
        <w:t>1.4.3</w:t>
      </w:r>
      <w:r>
        <w:rPr>
          <w:rStyle w:val="39"/>
          <w:rFonts w:hint="eastAsia"/>
          <w:color w:val="auto"/>
        </w:rPr>
        <w:t>环境影响评价因子识别</w:t>
      </w:r>
      <w:r>
        <w:tab/>
      </w:r>
      <w:r>
        <w:fldChar w:fldCharType="begin"/>
      </w:r>
      <w:r>
        <w:instrText xml:space="preserve"> PAGEREF _Toc84844204 \h </w:instrText>
      </w:r>
      <w:r>
        <w:fldChar w:fldCharType="separate"/>
      </w:r>
      <w:r>
        <w:t>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"_Toc84844205" </w:instrText>
      </w:r>
      <w:r>
        <w:fldChar w:fldCharType="separate"/>
      </w:r>
      <w:r>
        <w:rPr>
          <w:rStyle w:val="39"/>
          <w:color w:val="auto"/>
        </w:rPr>
        <w:t>1.4.4</w:t>
      </w:r>
      <w:r>
        <w:rPr>
          <w:rStyle w:val="39"/>
          <w:rFonts w:hint="eastAsia"/>
          <w:color w:val="auto"/>
        </w:rPr>
        <w:t>评价因子确定</w:t>
      </w:r>
      <w:r>
        <w:tab/>
      </w:r>
      <w:r>
        <w:fldChar w:fldCharType="begin"/>
      </w:r>
      <w:r>
        <w:instrText xml:space="preserve"> PAGEREF _Toc84844205 \h </w:instrText>
      </w:r>
      <w:r>
        <w:fldChar w:fldCharType="separate"/>
      </w:r>
      <w:r>
        <w:t>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"_Toc84844206" </w:instrText>
      </w:r>
      <w:r>
        <w:fldChar w:fldCharType="separate"/>
      </w:r>
      <w:r>
        <w:rPr>
          <w:rStyle w:val="39"/>
          <w:color w:val="auto"/>
        </w:rPr>
        <w:t xml:space="preserve">1.5 </w:t>
      </w:r>
      <w:r>
        <w:rPr>
          <w:rStyle w:val="39"/>
          <w:rFonts w:hint="eastAsia"/>
          <w:color w:val="auto"/>
        </w:rPr>
        <w:t>评价功能区划及评价标准</w:t>
      </w:r>
      <w:r>
        <w:tab/>
      </w:r>
      <w:r>
        <w:fldChar w:fldCharType="begin"/>
      </w:r>
      <w:r>
        <w:instrText xml:space="preserve"> PAGEREF _Toc84844206 \h </w:instrText>
      </w:r>
      <w:r>
        <w:fldChar w:fldCharType="separate"/>
      </w:r>
      <w:r>
        <w:t>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"_Toc84844207" </w:instrText>
      </w:r>
      <w:r>
        <w:fldChar w:fldCharType="separate"/>
      </w:r>
      <w:r>
        <w:rPr>
          <w:rStyle w:val="39"/>
          <w:color w:val="auto"/>
        </w:rPr>
        <w:t>1.5.1</w:t>
      </w:r>
      <w:r>
        <w:rPr>
          <w:rStyle w:val="39"/>
          <w:rFonts w:hint="eastAsia"/>
          <w:color w:val="auto"/>
        </w:rPr>
        <w:t>环境功能区划</w:t>
      </w:r>
      <w:r>
        <w:tab/>
      </w:r>
      <w:r>
        <w:fldChar w:fldCharType="begin"/>
      </w:r>
      <w:r>
        <w:instrText xml:space="preserve"> PAGEREF _Toc84844207 \h </w:instrText>
      </w:r>
      <w:r>
        <w:fldChar w:fldCharType="separate"/>
      </w:r>
      <w:r>
        <w:t>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"_Toc84844208" </w:instrText>
      </w:r>
      <w:r>
        <w:fldChar w:fldCharType="separate"/>
      </w:r>
      <w:r>
        <w:rPr>
          <w:rStyle w:val="39"/>
          <w:color w:val="auto"/>
        </w:rPr>
        <w:t>1.5.2</w:t>
      </w:r>
      <w:r>
        <w:rPr>
          <w:rStyle w:val="39"/>
          <w:rFonts w:hint="eastAsia"/>
          <w:color w:val="auto"/>
        </w:rPr>
        <w:t>环境质量标准</w:t>
      </w:r>
      <w:r>
        <w:tab/>
      </w:r>
      <w:r>
        <w:fldChar w:fldCharType="begin"/>
      </w:r>
      <w:r>
        <w:instrText xml:space="preserve"> PAGEREF _Toc84844208 \h </w:instrText>
      </w:r>
      <w:r>
        <w:fldChar w:fldCharType="separate"/>
      </w:r>
      <w:r>
        <w:t>10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"_Toc84844209" </w:instrText>
      </w:r>
      <w:r>
        <w:fldChar w:fldCharType="separate"/>
      </w:r>
      <w:r>
        <w:rPr>
          <w:rStyle w:val="39"/>
          <w:color w:val="auto"/>
        </w:rPr>
        <w:t>1.5.3</w:t>
      </w:r>
      <w:r>
        <w:rPr>
          <w:rStyle w:val="39"/>
          <w:rFonts w:hint="eastAsia"/>
          <w:color w:val="auto"/>
        </w:rPr>
        <w:t>排放标准</w:t>
      </w:r>
      <w:r>
        <w:tab/>
      </w:r>
      <w:r>
        <w:fldChar w:fldCharType="begin"/>
      </w:r>
      <w:r>
        <w:instrText xml:space="preserve"> PAGEREF _Toc84844209 \h </w:instrText>
      </w:r>
      <w:r>
        <w:fldChar w:fldCharType="separate"/>
      </w:r>
      <w:r>
        <w:t>13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"_Toc84844210" </w:instrText>
      </w:r>
      <w:r>
        <w:fldChar w:fldCharType="separate"/>
      </w:r>
      <w:r>
        <w:rPr>
          <w:rStyle w:val="39"/>
          <w:color w:val="auto"/>
        </w:rPr>
        <w:t xml:space="preserve">1.6 </w:t>
      </w:r>
      <w:r>
        <w:rPr>
          <w:rStyle w:val="39"/>
          <w:rFonts w:hint="eastAsia"/>
          <w:color w:val="auto"/>
        </w:rPr>
        <w:t>评价等级及评价范围</w:t>
      </w:r>
      <w:r>
        <w:tab/>
      </w:r>
      <w:r>
        <w:fldChar w:fldCharType="begin"/>
      </w:r>
      <w:r>
        <w:instrText xml:space="preserve"> PAGEREF _Toc84844210 \h </w:instrText>
      </w:r>
      <w:r>
        <w:fldChar w:fldCharType="separate"/>
      </w:r>
      <w:r>
        <w:t>15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"_Toc84844211" </w:instrText>
      </w:r>
      <w:r>
        <w:fldChar w:fldCharType="separate"/>
      </w:r>
      <w:r>
        <w:rPr>
          <w:rStyle w:val="39"/>
          <w:color w:val="auto"/>
        </w:rPr>
        <w:t>1.6.1</w:t>
      </w:r>
      <w:r>
        <w:rPr>
          <w:rStyle w:val="39"/>
          <w:rFonts w:hint="eastAsia"/>
          <w:color w:val="auto"/>
        </w:rPr>
        <w:t>评价等级</w:t>
      </w:r>
      <w:r>
        <w:tab/>
      </w:r>
      <w:r>
        <w:fldChar w:fldCharType="begin"/>
      </w:r>
      <w:r>
        <w:instrText xml:space="preserve"> PAGEREF _Toc84844211 \h </w:instrText>
      </w:r>
      <w:r>
        <w:fldChar w:fldCharType="separate"/>
      </w:r>
      <w:r>
        <w:t>15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"_Toc84844212" </w:instrText>
      </w:r>
      <w:r>
        <w:fldChar w:fldCharType="separate"/>
      </w:r>
      <w:r>
        <w:rPr>
          <w:rStyle w:val="39"/>
          <w:color w:val="auto"/>
        </w:rPr>
        <w:t>1.6.2</w:t>
      </w:r>
      <w:r>
        <w:rPr>
          <w:rStyle w:val="39"/>
          <w:rFonts w:hint="eastAsia"/>
          <w:color w:val="auto"/>
        </w:rPr>
        <w:t>评价范围</w:t>
      </w:r>
      <w:r>
        <w:tab/>
      </w:r>
      <w:r>
        <w:fldChar w:fldCharType="begin"/>
      </w:r>
      <w:r>
        <w:instrText xml:space="preserve"> PAGEREF _Toc84844212 \h </w:instrText>
      </w:r>
      <w:r>
        <w:fldChar w:fldCharType="separate"/>
      </w:r>
      <w:r>
        <w:t>21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"_Toc84844213" </w:instrText>
      </w:r>
      <w:r>
        <w:fldChar w:fldCharType="separate"/>
      </w:r>
      <w:r>
        <w:rPr>
          <w:rStyle w:val="39"/>
          <w:color w:val="auto"/>
        </w:rPr>
        <w:t xml:space="preserve">1.7 </w:t>
      </w:r>
      <w:r>
        <w:rPr>
          <w:rStyle w:val="39"/>
          <w:rFonts w:hint="eastAsia"/>
          <w:color w:val="auto"/>
        </w:rPr>
        <w:t>污染控制与环境保护目标</w:t>
      </w:r>
      <w:r>
        <w:tab/>
      </w:r>
      <w:r>
        <w:fldChar w:fldCharType="begin"/>
      </w:r>
      <w:r>
        <w:instrText xml:space="preserve"> PAGEREF _Toc84844213 \h </w:instrText>
      </w:r>
      <w:r>
        <w:fldChar w:fldCharType="separate"/>
      </w:r>
      <w:r>
        <w:t>22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"_Toc84844214" </w:instrText>
      </w:r>
      <w:r>
        <w:fldChar w:fldCharType="separate"/>
      </w:r>
      <w:r>
        <w:rPr>
          <w:rStyle w:val="39"/>
          <w:color w:val="auto"/>
        </w:rPr>
        <w:t>1.7.1</w:t>
      </w:r>
      <w:r>
        <w:rPr>
          <w:rStyle w:val="39"/>
          <w:rFonts w:hint="eastAsia"/>
          <w:color w:val="auto"/>
        </w:rPr>
        <w:t>污染控制目标</w:t>
      </w:r>
      <w:r>
        <w:tab/>
      </w:r>
      <w:r>
        <w:fldChar w:fldCharType="begin"/>
      </w:r>
      <w:r>
        <w:instrText xml:space="preserve"> PAGEREF _Toc84844214 \h </w:instrText>
      </w:r>
      <w:r>
        <w:fldChar w:fldCharType="separate"/>
      </w:r>
      <w:r>
        <w:t>22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"_Toc84844215" </w:instrText>
      </w:r>
      <w:r>
        <w:fldChar w:fldCharType="separate"/>
      </w:r>
      <w:r>
        <w:rPr>
          <w:rStyle w:val="39"/>
          <w:color w:val="auto"/>
        </w:rPr>
        <w:t>1.7.2</w:t>
      </w:r>
      <w:r>
        <w:rPr>
          <w:rStyle w:val="39"/>
          <w:rFonts w:hint="eastAsia"/>
          <w:color w:val="auto"/>
        </w:rPr>
        <w:t>环境保护目标</w:t>
      </w:r>
      <w:r>
        <w:tab/>
      </w:r>
      <w:r>
        <w:fldChar w:fldCharType="begin"/>
      </w:r>
      <w:r>
        <w:instrText xml:space="preserve"> PAGEREF _Toc84844215 \h </w:instrText>
      </w:r>
      <w:r>
        <w:fldChar w:fldCharType="separate"/>
      </w:r>
      <w:r>
        <w:t>22</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"_Toc84844216" </w:instrText>
      </w:r>
      <w:r>
        <w:fldChar w:fldCharType="separate"/>
      </w:r>
      <w:r>
        <w:rPr>
          <w:rStyle w:val="39"/>
          <w:color w:val="auto"/>
        </w:rPr>
        <w:t>1.8</w:t>
      </w:r>
      <w:r>
        <w:rPr>
          <w:rStyle w:val="39"/>
          <w:rFonts w:hint="eastAsia"/>
          <w:color w:val="auto"/>
        </w:rPr>
        <w:t>产业政策、规划符合性和选址合理性分析</w:t>
      </w:r>
      <w:r>
        <w:tab/>
      </w:r>
      <w:r>
        <w:fldChar w:fldCharType="begin"/>
      </w:r>
      <w:r>
        <w:instrText xml:space="preserve"> PAGEREF _Toc84844216 \h </w:instrText>
      </w:r>
      <w:r>
        <w:fldChar w:fldCharType="separate"/>
      </w:r>
      <w:r>
        <w:t>25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"_Toc84844217" </w:instrText>
      </w:r>
      <w:r>
        <w:fldChar w:fldCharType="separate"/>
      </w:r>
      <w:r>
        <w:rPr>
          <w:rStyle w:val="39"/>
          <w:color w:val="auto"/>
        </w:rPr>
        <w:t>1.8.1</w:t>
      </w:r>
      <w:r>
        <w:rPr>
          <w:rStyle w:val="39"/>
          <w:rFonts w:hint="eastAsia"/>
          <w:color w:val="auto"/>
        </w:rPr>
        <w:t>产业政策符合性分析</w:t>
      </w:r>
      <w:r>
        <w:tab/>
      </w:r>
      <w:r>
        <w:fldChar w:fldCharType="begin"/>
      </w:r>
      <w:r>
        <w:instrText xml:space="preserve"> PAGEREF _Toc84844217 \h </w:instrText>
      </w:r>
      <w:r>
        <w:fldChar w:fldCharType="separate"/>
      </w:r>
      <w:r>
        <w:t>25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"_Toc84844218" </w:instrText>
      </w:r>
      <w:r>
        <w:fldChar w:fldCharType="separate"/>
      </w:r>
      <w:r>
        <w:rPr>
          <w:rStyle w:val="39"/>
          <w:color w:val="auto"/>
        </w:rPr>
        <w:t>1.8.2</w:t>
      </w:r>
      <w:r>
        <w:rPr>
          <w:rStyle w:val="39"/>
          <w:rFonts w:hint="eastAsia"/>
          <w:color w:val="auto"/>
        </w:rPr>
        <w:t>与重庆市相关规划的符合性分析</w:t>
      </w:r>
      <w:r>
        <w:tab/>
      </w:r>
      <w:r>
        <w:fldChar w:fldCharType="begin"/>
      </w:r>
      <w:r>
        <w:instrText xml:space="preserve"> PAGEREF _Toc84844218 \h </w:instrText>
      </w:r>
      <w:r>
        <w:fldChar w:fldCharType="separate"/>
      </w:r>
      <w:r>
        <w:t>26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"_Toc84844219" </w:instrText>
      </w:r>
      <w:r>
        <w:fldChar w:fldCharType="separate"/>
      </w:r>
      <w:r>
        <w:rPr>
          <w:rStyle w:val="39"/>
          <w:color w:val="auto"/>
        </w:rPr>
        <w:t>1.8.3</w:t>
      </w:r>
      <w:r>
        <w:rPr>
          <w:rStyle w:val="39"/>
          <w:rFonts w:hint="eastAsia"/>
          <w:color w:val="auto"/>
        </w:rPr>
        <w:t>与长寿区相关政策、规划符合性分析</w:t>
      </w:r>
      <w:r>
        <w:tab/>
      </w:r>
      <w:r>
        <w:fldChar w:fldCharType="begin"/>
      </w:r>
      <w:r>
        <w:instrText xml:space="preserve"> PAGEREF _Toc84844219 \h </w:instrText>
      </w:r>
      <w:r>
        <w:fldChar w:fldCharType="separate"/>
      </w:r>
      <w:r>
        <w:t>38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"_Toc84844220" </w:instrText>
      </w:r>
      <w:r>
        <w:fldChar w:fldCharType="separate"/>
      </w:r>
      <w:r>
        <w:rPr>
          <w:rStyle w:val="39"/>
          <w:color w:val="auto"/>
        </w:rPr>
        <w:t>1.8.4</w:t>
      </w:r>
      <w:r>
        <w:rPr>
          <w:rStyle w:val="39"/>
          <w:rFonts w:hint="eastAsia"/>
          <w:color w:val="auto"/>
        </w:rPr>
        <w:t>相关环保政策符合性分析</w:t>
      </w:r>
      <w:r>
        <w:tab/>
      </w:r>
      <w:r>
        <w:fldChar w:fldCharType="begin"/>
      </w:r>
      <w:r>
        <w:instrText xml:space="preserve"> PAGEREF _Toc84844220 \h </w:instrText>
      </w:r>
      <w:r>
        <w:fldChar w:fldCharType="separate"/>
      </w:r>
      <w:r>
        <w:t>50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"_Toc84844221" </w:instrText>
      </w:r>
      <w:r>
        <w:fldChar w:fldCharType="separate"/>
      </w:r>
      <w:r>
        <w:rPr>
          <w:rStyle w:val="39"/>
          <w:color w:val="auto"/>
        </w:rPr>
        <w:t>1.8.5</w:t>
      </w:r>
      <w:r>
        <w:rPr>
          <w:rStyle w:val="39"/>
          <w:rFonts w:hint="eastAsia"/>
          <w:color w:val="auto"/>
        </w:rPr>
        <w:t>选址合理性分析</w:t>
      </w:r>
      <w:r>
        <w:tab/>
      </w:r>
      <w:r>
        <w:fldChar w:fldCharType="begin"/>
      </w:r>
      <w:r>
        <w:instrText xml:space="preserve"> PAGEREF _Toc84844221 \h </w:instrText>
      </w:r>
      <w:r>
        <w:fldChar w:fldCharType="separate"/>
      </w:r>
      <w:r>
        <w:t>6</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"_Toc84844222" </w:instrText>
      </w:r>
      <w:r>
        <w:fldChar w:fldCharType="separate"/>
      </w:r>
      <w:r>
        <w:rPr>
          <w:rStyle w:val="39"/>
          <w:color w:val="auto"/>
        </w:rPr>
        <w:t>2</w:t>
      </w:r>
      <w:r>
        <w:rPr>
          <w:rStyle w:val="39"/>
          <w:rFonts w:hint="eastAsia"/>
          <w:color w:val="auto"/>
        </w:rPr>
        <w:t>拟建项目概况</w:t>
      </w:r>
      <w:r>
        <w:tab/>
      </w:r>
      <w:r>
        <w:fldChar w:fldCharType="begin"/>
      </w:r>
      <w:r>
        <w:instrText xml:space="preserve"> PAGEREF _Toc84844222 \h </w:instrText>
      </w:r>
      <w:r>
        <w:fldChar w:fldCharType="separate"/>
      </w:r>
      <w:r>
        <w:t>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"_Toc84844223" </w:instrText>
      </w:r>
      <w:r>
        <w:fldChar w:fldCharType="separate"/>
      </w:r>
      <w:r>
        <w:rPr>
          <w:rStyle w:val="39"/>
          <w:color w:val="auto"/>
        </w:rPr>
        <w:t>2.1</w:t>
      </w:r>
      <w:r>
        <w:rPr>
          <w:rStyle w:val="39"/>
          <w:rFonts w:hint="eastAsia"/>
          <w:color w:val="auto"/>
        </w:rPr>
        <w:t>项目基本情况</w:t>
      </w:r>
      <w:r>
        <w:tab/>
      </w:r>
      <w:r>
        <w:fldChar w:fldCharType="begin"/>
      </w:r>
      <w:r>
        <w:instrText xml:space="preserve"> PAGEREF _Toc84844223 \h </w:instrText>
      </w:r>
      <w:r>
        <w:fldChar w:fldCharType="separate"/>
      </w:r>
      <w:r>
        <w:t>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"_Toc84844224" </w:instrText>
      </w:r>
      <w:r>
        <w:fldChar w:fldCharType="separate"/>
      </w:r>
      <w:r>
        <w:rPr>
          <w:rStyle w:val="39"/>
          <w:color w:val="auto"/>
        </w:rPr>
        <w:t>2.2</w:t>
      </w:r>
      <w:r>
        <w:rPr>
          <w:rStyle w:val="39"/>
          <w:rFonts w:hint="eastAsia"/>
          <w:color w:val="auto"/>
        </w:rPr>
        <w:t>生产规模及产品方案</w:t>
      </w:r>
      <w:r>
        <w:tab/>
      </w:r>
      <w:r>
        <w:fldChar w:fldCharType="begin"/>
      </w:r>
      <w:r>
        <w:instrText xml:space="preserve"> PAGEREF _Toc84844224 \h </w:instrText>
      </w:r>
      <w:r>
        <w:fldChar w:fldCharType="separate"/>
      </w:r>
      <w:r>
        <w:t>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"_Toc84844225" </w:instrText>
      </w:r>
      <w:r>
        <w:fldChar w:fldCharType="separate"/>
      </w:r>
      <w:r>
        <w:rPr>
          <w:rStyle w:val="39"/>
          <w:color w:val="auto"/>
        </w:rPr>
        <w:t>2.3</w:t>
      </w:r>
      <w:r>
        <w:rPr>
          <w:rStyle w:val="39"/>
          <w:rFonts w:hint="eastAsia"/>
          <w:color w:val="auto"/>
        </w:rPr>
        <w:t>产品质量标准</w:t>
      </w:r>
      <w:r>
        <w:tab/>
      </w:r>
      <w:r>
        <w:fldChar w:fldCharType="begin"/>
      </w:r>
      <w:r>
        <w:instrText xml:space="preserve"> PAGEREF _Toc84844225 \h </w:instrText>
      </w:r>
      <w:r>
        <w:fldChar w:fldCharType="separate"/>
      </w:r>
      <w:r>
        <w:t>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"_Toc84844226" </w:instrText>
      </w:r>
      <w:r>
        <w:fldChar w:fldCharType="separate"/>
      </w:r>
      <w:r>
        <w:rPr>
          <w:rStyle w:val="39"/>
          <w:color w:val="auto"/>
        </w:rPr>
        <w:t>2.4</w:t>
      </w:r>
      <w:r>
        <w:rPr>
          <w:rStyle w:val="39"/>
          <w:rFonts w:hint="eastAsia"/>
          <w:color w:val="auto"/>
        </w:rPr>
        <w:t>项目组成及主要建设内容</w:t>
      </w:r>
      <w:r>
        <w:tab/>
      </w:r>
      <w:r>
        <w:fldChar w:fldCharType="begin"/>
      </w:r>
      <w:r>
        <w:instrText xml:space="preserve"> PAGEREF _Toc84844226 \h </w:instrText>
      </w:r>
      <w:r>
        <w:fldChar w:fldCharType="separate"/>
      </w:r>
      <w:r>
        <w:t>9</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"_Toc84844227" </w:instrText>
      </w:r>
      <w:r>
        <w:fldChar w:fldCharType="separate"/>
      </w:r>
      <w:r>
        <w:rPr>
          <w:rStyle w:val="39"/>
          <w:color w:val="auto"/>
        </w:rPr>
        <w:t>2.5</w:t>
      </w:r>
      <w:r>
        <w:rPr>
          <w:rStyle w:val="39"/>
          <w:rFonts w:hint="eastAsia"/>
          <w:color w:val="auto"/>
        </w:rPr>
        <w:t>项目依托情况及依托可行性分析</w:t>
      </w:r>
      <w:r>
        <w:tab/>
      </w:r>
      <w:r>
        <w:fldChar w:fldCharType="begin"/>
      </w:r>
      <w:r>
        <w:instrText xml:space="preserve"> PAGEREF _Toc84844227 \h </w:instrText>
      </w:r>
      <w:r>
        <w:fldChar w:fldCharType="separate"/>
      </w:r>
      <w:r>
        <w:t>11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"_Toc84844228" </w:instrText>
      </w:r>
      <w:r>
        <w:fldChar w:fldCharType="separate"/>
      </w:r>
      <w:r>
        <w:rPr>
          <w:rStyle w:val="39"/>
          <w:color w:val="auto"/>
        </w:rPr>
        <w:t>2.6</w:t>
      </w:r>
      <w:r>
        <w:rPr>
          <w:rStyle w:val="39"/>
          <w:rFonts w:hint="eastAsia"/>
          <w:color w:val="auto"/>
        </w:rPr>
        <w:t>公用工程</w:t>
      </w:r>
      <w:r>
        <w:tab/>
      </w:r>
      <w:r>
        <w:fldChar w:fldCharType="begin"/>
      </w:r>
      <w:r>
        <w:instrText xml:space="preserve"> PAGEREF _Toc84844228 \h </w:instrText>
      </w:r>
      <w:r>
        <w:fldChar w:fldCharType="separate"/>
      </w:r>
      <w:r>
        <w:t>12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"_Toc84844229" </w:instrText>
      </w:r>
      <w:r>
        <w:fldChar w:fldCharType="separate"/>
      </w:r>
      <w:r>
        <w:rPr>
          <w:rStyle w:val="39"/>
          <w:color w:val="auto"/>
        </w:rPr>
        <w:t>2.6.1</w:t>
      </w:r>
      <w:r>
        <w:rPr>
          <w:rStyle w:val="39"/>
          <w:rFonts w:hint="eastAsia"/>
          <w:color w:val="auto"/>
        </w:rPr>
        <w:t>给排水</w:t>
      </w:r>
      <w:r>
        <w:tab/>
      </w:r>
      <w:r>
        <w:fldChar w:fldCharType="begin"/>
      </w:r>
      <w:r>
        <w:instrText xml:space="preserve"> PAGEREF _Toc84844229 \h </w:instrText>
      </w:r>
      <w:r>
        <w:fldChar w:fldCharType="separate"/>
      </w:r>
      <w:r>
        <w:t>12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"_Toc84844230" </w:instrText>
      </w:r>
      <w:r>
        <w:fldChar w:fldCharType="separate"/>
      </w:r>
      <w:r>
        <w:rPr>
          <w:rStyle w:val="39"/>
          <w:color w:val="auto"/>
        </w:rPr>
        <w:t>2.6.2</w:t>
      </w:r>
      <w:r>
        <w:rPr>
          <w:rStyle w:val="39"/>
          <w:rFonts w:hint="eastAsia"/>
          <w:color w:val="auto"/>
        </w:rPr>
        <w:t>供电</w:t>
      </w:r>
      <w:r>
        <w:tab/>
      </w:r>
      <w:r>
        <w:fldChar w:fldCharType="begin"/>
      </w:r>
      <w:r>
        <w:instrText xml:space="preserve"> PAGEREF _Toc84844230 \h </w:instrText>
      </w:r>
      <w:r>
        <w:fldChar w:fldCharType="separate"/>
      </w:r>
      <w:r>
        <w:t>13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"_Toc84844231" </w:instrText>
      </w:r>
      <w:r>
        <w:fldChar w:fldCharType="separate"/>
      </w:r>
      <w:r>
        <w:rPr>
          <w:rStyle w:val="39"/>
          <w:color w:val="auto"/>
        </w:rPr>
        <w:t>2.6.3</w:t>
      </w:r>
      <w:r>
        <w:rPr>
          <w:rStyle w:val="39"/>
          <w:rFonts w:hint="eastAsia"/>
          <w:color w:val="auto"/>
        </w:rPr>
        <w:t>供热</w:t>
      </w:r>
      <w:r>
        <w:tab/>
      </w:r>
      <w:r>
        <w:fldChar w:fldCharType="begin"/>
      </w:r>
      <w:r>
        <w:instrText xml:space="preserve"> PAGEREF _Toc84844231 \h </w:instrText>
      </w:r>
      <w:r>
        <w:fldChar w:fldCharType="separate"/>
      </w:r>
      <w:r>
        <w:t>13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"_Toc84844232" </w:instrText>
      </w:r>
      <w:r>
        <w:fldChar w:fldCharType="separate"/>
      </w:r>
      <w:r>
        <w:rPr>
          <w:rStyle w:val="39"/>
          <w:color w:val="auto"/>
        </w:rPr>
        <w:t>2.6.4</w:t>
      </w:r>
      <w:r>
        <w:rPr>
          <w:rStyle w:val="39"/>
          <w:rFonts w:hint="eastAsia"/>
          <w:color w:val="auto"/>
        </w:rPr>
        <w:t>仪表空气</w:t>
      </w:r>
      <w:r>
        <w:tab/>
      </w:r>
      <w:r>
        <w:fldChar w:fldCharType="begin"/>
      </w:r>
      <w:r>
        <w:instrText xml:space="preserve"> PAGEREF _Toc84844232 \h </w:instrText>
      </w:r>
      <w:r>
        <w:fldChar w:fldCharType="separate"/>
      </w:r>
      <w:r>
        <w:t>13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"_Toc84844233" </w:instrText>
      </w:r>
      <w:r>
        <w:fldChar w:fldCharType="separate"/>
      </w:r>
      <w:r>
        <w:rPr>
          <w:rStyle w:val="39"/>
          <w:color w:val="auto"/>
        </w:rPr>
        <w:t>2.7</w:t>
      </w:r>
      <w:r>
        <w:rPr>
          <w:rStyle w:val="39"/>
          <w:rFonts w:hint="eastAsia"/>
          <w:color w:val="auto"/>
        </w:rPr>
        <w:t>原辅材料及动力消耗</w:t>
      </w:r>
      <w:r>
        <w:tab/>
      </w:r>
      <w:r>
        <w:fldChar w:fldCharType="begin"/>
      </w:r>
      <w:r>
        <w:instrText xml:space="preserve"> PAGEREF _Toc84844233 \h </w:instrText>
      </w:r>
      <w:r>
        <w:fldChar w:fldCharType="separate"/>
      </w:r>
      <w:r>
        <w:t>14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"_Toc84844234" </w:instrText>
      </w:r>
      <w:r>
        <w:fldChar w:fldCharType="separate"/>
      </w:r>
      <w:r>
        <w:rPr>
          <w:rStyle w:val="39"/>
          <w:color w:val="auto"/>
        </w:rPr>
        <w:t>2.8</w:t>
      </w:r>
      <w:r>
        <w:rPr>
          <w:rStyle w:val="39"/>
          <w:rFonts w:hint="eastAsia"/>
          <w:color w:val="auto"/>
        </w:rPr>
        <w:t>储运工程</w:t>
      </w:r>
      <w:r>
        <w:tab/>
      </w:r>
      <w:r>
        <w:fldChar w:fldCharType="begin"/>
      </w:r>
      <w:r>
        <w:instrText xml:space="preserve"> PAGEREF _Toc84844234 \h </w:instrText>
      </w:r>
      <w:r>
        <w:fldChar w:fldCharType="separate"/>
      </w:r>
      <w:r>
        <w:t>14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"_Toc84844235" </w:instrText>
      </w:r>
      <w:r>
        <w:fldChar w:fldCharType="separate"/>
      </w:r>
      <w:r>
        <w:rPr>
          <w:rStyle w:val="39"/>
          <w:color w:val="auto"/>
        </w:rPr>
        <w:t>2.9</w:t>
      </w:r>
      <w:r>
        <w:rPr>
          <w:rStyle w:val="39"/>
          <w:rFonts w:hint="eastAsia"/>
          <w:color w:val="auto"/>
        </w:rPr>
        <w:t>主要设备</w:t>
      </w:r>
      <w:r>
        <w:tab/>
      </w:r>
      <w:r>
        <w:fldChar w:fldCharType="begin"/>
      </w:r>
      <w:r>
        <w:instrText xml:space="preserve"> PAGEREF _Toc84844235 \h </w:instrText>
      </w:r>
      <w:r>
        <w:fldChar w:fldCharType="separate"/>
      </w:r>
      <w:r>
        <w:t>15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"_Toc84844236" </w:instrText>
      </w:r>
      <w:r>
        <w:fldChar w:fldCharType="separate"/>
      </w:r>
      <w:r>
        <w:rPr>
          <w:rStyle w:val="39"/>
          <w:color w:val="auto"/>
        </w:rPr>
        <w:t>2.10</w:t>
      </w:r>
      <w:r>
        <w:rPr>
          <w:rStyle w:val="39"/>
          <w:rFonts w:hint="eastAsia"/>
          <w:color w:val="auto"/>
        </w:rPr>
        <w:t>平面布置及其合理性分析</w:t>
      </w:r>
      <w:r>
        <w:tab/>
      </w:r>
      <w:r>
        <w:fldChar w:fldCharType="begin"/>
      </w:r>
      <w:r>
        <w:instrText xml:space="preserve"> PAGEREF _Toc84844236 \h </w:instrText>
      </w:r>
      <w:r>
        <w:fldChar w:fldCharType="separate"/>
      </w:r>
      <w:r>
        <w:t>15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"_Toc84844237" </w:instrText>
      </w:r>
      <w:r>
        <w:fldChar w:fldCharType="separate"/>
      </w:r>
      <w:r>
        <w:rPr>
          <w:rStyle w:val="39"/>
          <w:color w:val="auto"/>
        </w:rPr>
        <w:t>2.11</w:t>
      </w:r>
      <w:r>
        <w:rPr>
          <w:rStyle w:val="39"/>
          <w:rFonts w:hint="eastAsia"/>
          <w:color w:val="auto"/>
        </w:rPr>
        <w:t>主要技术经济指标</w:t>
      </w:r>
      <w:r>
        <w:tab/>
      </w:r>
      <w:r>
        <w:fldChar w:fldCharType="begin"/>
      </w:r>
      <w:r>
        <w:instrText xml:space="preserve"> PAGEREF _Toc84844237 \h </w:instrText>
      </w:r>
      <w:r>
        <w:fldChar w:fldCharType="separate"/>
      </w:r>
      <w:r>
        <w:t>16</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"_Toc84844238" </w:instrText>
      </w:r>
      <w:r>
        <w:fldChar w:fldCharType="separate"/>
      </w:r>
      <w:r>
        <w:rPr>
          <w:rStyle w:val="39"/>
          <w:color w:val="auto"/>
        </w:rPr>
        <w:t>3</w:t>
      </w:r>
      <w:r>
        <w:rPr>
          <w:rStyle w:val="39"/>
          <w:rFonts w:hint="eastAsia"/>
          <w:color w:val="auto"/>
        </w:rPr>
        <w:t>工程分析</w:t>
      </w:r>
      <w:r>
        <w:tab/>
      </w:r>
      <w:r>
        <w:fldChar w:fldCharType="begin"/>
      </w:r>
      <w:r>
        <w:instrText xml:space="preserve"> PAGEREF _Toc84844238 \h </w:instrText>
      </w:r>
      <w:r>
        <w:fldChar w:fldCharType="separate"/>
      </w:r>
      <w:r>
        <w:t>17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"_Toc84844239" </w:instrText>
      </w:r>
      <w:r>
        <w:fldChar w:fldCharType="separate"/>
      </w:r>
      <w:r>
        <w:rPr>
          <w:rStyle w:val="39"/>
          <w:color w:val="auto"/>
        </w:rPr>
        <w:t>3.1</w:t>
      </w:r>
      <w:r>
        <w:rPr>
          <w:rStyle w:val="39"/>
          <w:rFonts w:hint="eastAsia"/>
          <w:color w:val="auto"/>
        </w:rPr>
        <w:t>项目技术方案及工艺原理</w:t>
      </w:r>
      <w:r>
        <w:tab/>
      </w:r>
      <w:r>
        <w:fldChar w:fldCharType="begin"/>
      </w:r>
      <w:r>
        <w:instrText xml:space="preserve"> PAGEREF _Toc84844239 \h </w:instrText>
      </w:r>
      <w:r>
        <w:fldChar w:fldCharType="separate"/>
      </w:r>
      <w:r>
        <w:t>17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"_Toc84844240" </w:instrText>
      </w:r>
      <w:r>
        <w:fldChar w:fldCharType="separate"/>
      </w:r>
      <w:r>
        <w:rPr>
          <w:rStyle w:val="39"/>
          <w:color w:val="auto"/>
        </w:rPr>
        <w:t>3.2</w:t>
      </w:r>
      <w:r>
        <w:rPr>
          <w:rStyle w:val="39"/>
          <w:rFonts w:hint="eastAsia"/>
          <w:color w:val="auto"/>
        </w:rPr>
        <w:t>生产工艺及排污分析</w:t>
      </w:r>
      <w:r>
        <w:tab/>
      </w:r>
      <w:r>
        <w:fldChar w:fldCharType="begin"/>
      </w:r>
      <w:r>
        <w:instrText xml:space="preserve"> PAGEREF _Toc84844240 \h </w:instrText>
      </w:r>
      <w:r>
        <w:fldChar w:fldCharType="separate"/>
      </w:r>
      <w:r>
        <w:t>17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"_Toc84844241" </w:instrText>
      </w:r>
      <w:r>
        <w:fldChar w:fldCharType="separate"/>
      </w:r>
      <w:r>
        <w:rPr>
          <w:rStyle w:val="39"/>
          <w:color w:val="auto"/>
        </w:rPr>
        <w:t>3.2.1</w:t>
      </w:r>
      <w:r>
        <w:rPr>
          <w:rStyle w:val="39"/>
          <w:rFonts w:hint="eastAsia"/>
          <w:color w:val="auto"/>
        </w:rPr>
        <w:t>氨合成工艺流程</w:t>
      </w:r>
      <w:r>
        <w:tab/>
      </w:r>
      <w:r>
        <w:fldChar w:fldCharType="begin"/>
      </w:r>
      <w:r>
        <w:instrText xml:space="preserve"> PAGEREF _Toc84844241 \h </w:instrText>
      </w:r>
      <w:r>
        <w:fldChar w:fldCharType="separate"/>
      </w:r>
      <w:r>
        <w:t>17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"_Toc84844242" </w:instrText>
      </w:r>
      <w:r>
        <w:fldChar w:fldCharType="separate"/>
      </w:r>
      <w:r>
        <w:rPr>
          <w:rStyle w:val="39"/>
          <w:color w:val="auto"/>
        </w:rPr>
        <w:t>3.2.2</w:t>
      </w:r>
      <w:r>
        <w:rPr>
          <w:rStyle w:val="39"/>
          <w:rFonts w:hint="eastAsia"/>
          <w:color w:val="auto"/>
        </w:rPr>
        <w:t>二氧化碳液化工艺流程</w:t>
      </w:r>
      <w:r>
        <w:tab/>
      </w:r>
      <w:r>
        <w:fldChar w:fldCharType="begin"/>
      </w:r>
      <w:r>
        <w:instrText xml:space="preserve"> PAGEREF _Toc84844242 \h </w:instrText>
      </w:r>
      <w:r>
        <w:fldChar w:fldCharType="separate"/>
      </w:r>
      <w:r>
        <w:rPr>
          <w:rFonts w:hint="eastAsia"/>
          <w:b/>
          <w:bCs/>
        </w:rPr>
        <w:t>错误!未定义书签。</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"_Toc84844243" </w:instrText>
      </w:r>
      <w:r>
        <w:fldChar w:fldCharType="separate"/>
      </w:r>
      <w:r>
        <w:rPr>
          <w:rStyle w:val="39"/>
          <w:color w:val="auto"/>
        </w:rPr>
        <w:t>3.2.3</w:t>
      </w:r>
      <w:r>
        <w:rPr>
          <w:rStyle w:val="39"/>
          <w:rFonts w:hint="eastAsia"/>
          <w:color w:val="auto"/>
        </w:rPr>
        <w:t>物料平衡</w:t>
      </w:r>
      <w:r>
        <w:tab/>
      </w:r>
      <w:r>
        <w:fldChar w:fldCharType="begin"/>
      </w:r>
      <w:r>
        <w:instrText xml:space="preserve"> PAGEREF _Toc84844243 \h </w:instrText>
      </w:r>
      <w:r>
        <w:fldChar w:fldCharType="separate"/>
      </w:r>
      <w:r>
        <w:t>17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"_Toc84844244" </w:instrText>
      </w:r>
      <w:r>
        <w:fldChar w:fldCharType="separate"/>
      </w:r>
      <w:r>
        <w:rPr>
          <w:rStyle w:val="39"/>
          <w:color w:val="auto"/>
        </w:rPr>
        <w:t>3.2.4</w:t>
      </w:r>
      <w:r>
        <w:rPr>
          <w:rStyle w:val="39"/>
          <w:rFonts w:hint="eastAsia"/>
          <w:color w:val="auto"/>
        </w:rPr>
        <w:t>产、排污分析</w:t>
      </w:r>
      <w:r>
        <w:tab/>
      </w:r>
      <w:r>
        <w:fldChar w:fldCharType="begin"/>
      </w:r>
      <w:r>
        <w:instrText xml:space="preserve"> PAGEREF _Toc84844244 \h </w:instrText>
      </w:r>
      <w:r>
        <w:fldChar w:fldCharType="separate"/>
      </w:r>
      <w:r>
        <w:t>17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"_Toc84844245" </w:instrText>
      </w:r>
      <w:r>
        <w:fldChar w:fldCharType="separate"/>
      </w:r>
      <w:r>
        <w:rPr>
          <w:rStyle w:val="39"/>
          <w:color w:val="auto"/>
        </w:rPr>
        <w:t>3.3</w:t>
      </w:r>
      <w:r>
        <w:rPr>
          <w:rStyle w:val="39"/>
          <w:rFonts w:hint="eastAsia"/>
          <w:color w:val="auto"/>
        </w:rPr>
        <w:t>公辅工程及生活排污分析</w:t>
      </w:r>
      <w:r>
        <w:tab/>
      </w:r>
      <w:r>
        <w:fldChar w:fldCharType="begin"/>
      </w:r>
      <w:r>
        <w:instrText xml:space="preserve"> PAGEREF _Toc84844245 \h </w:instrText>
      </w:r>
      <w:r>
        <w:fldChar w:fldCharType="separate"/>
      </w:r>
      <w:r>
        <w:t>20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"_Toc84844246" </w:instrText>
      </w:r>
      <w:r>
        <w:fldChar w:fldCharType="separate"/>
      </w:r>
      <w:r>
        <w:rPr>
          <w:rStyle w:val="39"/>
          <w:color w:val="auto"/>
        </w:rPr>
        <w:t>3.3.1</w:t>
      </w:r>
      <w:r>
        <w:rPr>
          <w:rStyle w:val="39"/>
          <w:rFonts w:hint="eastAsia"/>
          <w:color w:val="auto"/>
        </w:rPr>
        <w:t>废水</w:t>
      </w:r>
      <w:r>
        <w:tab/>
      </w:r>
      <w:r>
        <w:fldChar w:fldCharType="begin"/>
      </w:r>
      <w:r>
        <w:instrText xml:space="preserve"> PAGEREF _Toc84844246 \h </w:instrText>
      </w:r>
      <w:r>
        <w:fldChar w:fldCharType="separate"/>
      </w:r>
      <w:r>
        <w:t>20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"_Toc84844247" </w:instrText>
      </w:r>
      <w:r>
        <w:fldChar w:fldCharType="separate"/>
      </w:r>
      <w:r>
        <w:rPr>
          <w:rStyle w:val="39"/>
          <w:color w:val="auto"/>
        </w:rPr>
        <w:t>3.3.2</w:t>
      </w:r>
      <w:r>
        <w:rPr>
          <w:rStyle w:val="39"/>
          <w:rFonts w:hint="eastAsia"/>
          <w:color w:val="auto"/>
        </w:rPr>
        <w:t>废气</w:t>
      </w:r>
      <w:r>
        <w:tab/>
      </w:r>
      <w:r>
        <w:fldChar w:fldCharType="begin"/>
      </w:r>
      <w:r>
        <w:instrText xml:space="preserve"> PAGEREF _Toc84844247 \h </w:instrText>
      </w:r>
      <w:r>
        <w:fldChar w:fldCharType="separate"/>
      </w:r>
      <w:r>
        <w:t>21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"_Toc84844248" </w:instrText>
      </w:r>
      <w:r>
        <w:fldChar w:fldCharType="separate"/>
      </w:r>
      <w:r>
        <w:rPr>
          <w:rStyle w:val="39"/>
          <w:color w:val="auto"/>
        </w:rPr>
        <w:t>3.3.3</w:t>
      </w:r>
      <w:r>
        <w:rPr>
          <w:rStyle w:val="39"/>
          <w:rFonts w:hint="eastAsia"/>
          <w:color w:val="auto"/>
        </w:rPr>
        <w:t>固体废物</w:t>
      </w:r>
      <w:r>
        <w:tab/>
      </w:r>
      <w:r>
        <w:fldChar w:fldCharType="begin"/>
      </w:r>
      <w:r>
        <w:instrText xml:space="preserve"> PAGEREF _Toc84844248 \h </w:instrText>
      </w:r>
      <w:r>
        <w:fldChar w:fldCharType="separate"/>
      </w:r>
      <w:r>
        <w:t>21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"_Toc84844249" </w:instrText>
      </w:r>
      <w:r>
        <w:fldChar w:fldCharType="separate"/>
      </w:r>
      <w:r>
        <w:rPr>
          <w:rStyle w:val="39"/>
          <w:color w:val="auto"/>
        </w:rPr>
        <w:t>3.3.4</w:t>
      </w:r>
      <w:r>
        <w:rPr>
          <w:rStyle w:val="39"/>
          <w:rFonts w:hint="eastAsia"/>
          <w:color w:val="auto"/>
        </w:rPr>
        <w:t>噪声</w:t>
      </w:r>
      <w:r>
        <w:tab/>
      </w:r>
      <w:r>
        <w:fldChar w:fldCharType="begin"/>
      </w:r>
      <w:r>
        <w:instrText xml:space="preserve"> PAGEREF _Toc84844249 \h </w:instrText>
      </w:r>
      <w:r>
        <w:fldChar w:fldCharType="separate"/>
      </w:r>
      <w:r>
        <w:t>22</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"_Toc84844250" </w:instrText>
      </w:r>
      <w:r>
        <w:fldChar w:fldCharType="separate"/>
      </w:r>
      <w:r>
        <w:rPr>
          <w:rStyle w:val="39"/>
          <w:color w:val="auto"/>
        </w:rPr>
        <w:t>3.4</w:t>
      </w:r>
      <w:r>
        <w:rPr>
          <w:rStyle w:val="39"/>
          <w:rFonts w:hint="eastAsia"/>
          <w:color w:val="auto"/>
        </w:rPr>
        <w:t>水平衡和氨平衡</w:t>
      </w:r>
      <w:r>
        <w:tab/>
      </w:r>
      <w:r>
        <w:fldChar w:fldCharType="begin"/>
      </w:r>
      <w:r>
        <w:instrText xml:space="preserve"> PAGEREF _Toc84844250 \h </w:instrText>
      </w:r>
      <w:r>
        <w:fldChar w:fldCharType="separate"/>
      </w:r>
      <w:r>
        <w:t>22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"_Toc84844251" </w:instrText>
      </w:r>
      <w:r>
        <w:fldChar w:fldCharType="separate"/>
      </w:r>
      <w:r>
        <w:rPr>
          <w:rStyle w:val="39"/>
          <w:color w:val="auto"/>
        </w:rPr>
        <w:t>3.4.1</w:t>
      </w:r>
      <w:r>
        <w:rPr>
          <w:rStyle w:val="39"/>
          <w:rFonts w:hint="eastAsia"/>
          <w:color w:val="auto"/>
        </w:rPr>
        <w:t>水平衡</w:t>
      </w:r>
      <w:r>
        <w:tab/>
      </w:r>
      <w:r>
        <w:fldChar w:fldCharType="begin"/>
      </w:r>
      <w:r>
        <w:instrText xml:space="preserve"> PAGEREF _Toc84844251 \h </w:instrText>
      </w:r>
      <w:r>
        <w:fldChar w:fldCharType="separate"/>
      </w:r>
      <w:r>
        <w:t>22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"_Toc84844252" </w:instrText>
      </w:r>
      <w:r>
        <w:fldChar w:fldCharType="separate"/>
      </w:r>
      <w:r>
        <w:rPr>
          <w:rStyle w:val="39"/>
          <w:color w:val="auto"/>
        </w:rPr>
        <w:t>3.4.2</w:t>
      </w:r>
      <w:r>
        <w:rPr>
          <w:rStyle w:val="39"/>
          <w:rFonts w:hint="eastAsia"/>
          <w:color w:val="auto"/>
        </w:rPr>
        <w:t>氨平衡</w:t>
      </w:r>
      <w:r>
        <w:tab/>
      </w:r>
      <w:r>
        <w:fldChar w:fldCharType="begin"/>
      </w:r>
      <w:r>
        <w:instrText xml:space="preserve"> PAGEREF _Toc84844252 \h </w:instrText>
      </w:r>
      <w:r>
        <w:fldChar w:fldCharType="separate"/>
      </w:r>
      <w:r>
        <w:t>22</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"_Toc84844253" </w:instrText>
      </w:r>
      <w:r>
        <w:fldChar w:fldCharType="separate"/>
      </w:r>
      <w:r>
        <w:rPr>
          <w:rStyle w:val="39"/>
          <w:color w:val="auto"/>
        </w:rPr>
        <w:t>3.5</w:t>
      </w:r>
      <w:r>
        <w:rPr>
          <w:rStyle w:val="39"/>
          <w:rFonts w:hint="eastAsia"/>
          <w:color w:val="auto"/>
        </w:rPr>
        <w:t>拟建项目污染物产生、治理及排放情况汇总</w:t>
      </w:r>
      <w:r>
        <w:tab/>
      </w:r>
      <w:r>
        <w:fldChar w:fldCharType="begin"/>
      </w:r>
      <w:r>
        <w:instrText xml:space="preserve"> PAGEREF _Toc84844253 \h </w:instrText>
      </w:r>
      <w:r>
        <w:fldChar w:fldCharType="separate"/>
      </w:r>
      <w:r>
        <w:t>23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"_Toc84844254" </w:instrText>
      </w:r>
      <w:r>
        <w:fldChar w:fldCharType="separate"/>
      </w:r>
      <w:r>
        <w:rPr>
          <w:rStyle w:val="39"/>
          <w:color w:val="auto"/>
        </w:rPr>
        <w:t>3.5.1</w:t>
      </w:r>
      <w:r>
        <w:rPr>
          <w:rStyle w:val="39"/>
          <w:rFonts w:hint="eastAsia"/>
          <w:color w:val="auto"/>
        </w:rPr>
        <w:t>废气</w:t>
      </w:r>
      <w:r>
        <w:tab/>
      </w:r>
      <w:r>
        <w:fldChar w:fldCharType="begin"/>
      </w:r>
      <w:r>
        <w:instrText xml:space="preserve"> PAGEREF _Toc84844254 \h </w:instrText>
      </w:r>
      <w:r>
        <w:fldChar w:fldCharType="separate"/>
      </w:r>
      <w:r>
        <w:t>23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"_Toc84844255" </w:instrText>
      </w:r>
      <w:r>
        <w:fldChar w:fldCharType="separate"/>
      </w:r>
      <w:r>
        <w:rPr>
          <w:rStyle w:val="39"/>
          <w:color w:val="auto"/>
        </w:rPr>
        <w:t>3.5.2</w:t>
      </w:r>
      <w:r>
        <w:rPr>
          <w:rStyle w:val="39"/>
          <w:rFonts w:hint="eastAsia"/>
          <w:color w:val="auto"/>
        </w:rPr>
        <w:t>废水</w:t>
      </w:r>
      <w:r>
        <w:tab/>
      </w:r>
      <w:r>
        <w:fldChar w:fldCharType="begin"/>
      </w:r>
      <w:r>
        <w:instrText xml:space="preserve"> PAGEREF _Toc84844255 \h </w:instrText>
      </w:r>
      <w:r>
        <w:fldChar w:fldCharType="separate"/>
      </w:r>
      <w:r>
        <w:t>23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"_Toc84844256" </w:instrText>
      </w:r>
      <w:r>
        <w:fldChar w:fldCharType="separate"/>
      </w:r>
      <w:r>
        <w:rPr>
          <w:rStyle w:val="39"/>
          <w:color w:val="auto"/>
        </w:rPr>
        <w:t>3.5.3</w:t>
      </w:r>
      <w:r>
        <w:rPr>
          <w:rStyle w:val="39"/>
          <w:rFonts w:hint="eastAsia"/>
          <w:color w:val="auto"/>
        </w:rPr>
        <w:t>固体废物</w:t>
      </w:r>
      <w:r>
        <w:tab/>
      </w:r>
      <w:r>
        <w:fldChar w:fldCharType="begin"/>
      </w:r>
      <w:r>
        <w:instrText xml:space="preserve"> PAGEREF _Toc84844256 \h </w:instrText>
      </w:r>
      <w:r>
        <w:fldChar w:fldCharType="separate"/>
      </w:r>
      <w:r>
        <w:t>23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"_Toc84844257" </w:instrText>
      </w:r>
      <w:r>
        <w:fldChar w:fldCharType="separate"/>
      </w:r>
      <w:r>
        <w:rPr>
          <w:rStyle w:val="39"/>
          <w:color w:val="auto"/>
        </w:rPr>
        <w:t>3.5.4</w:t>
      </w:r>
      <w:r>
        <w:rPr>
          <w:rStyle w:val="39"/>
          <w:rFonts w:hint="eastAsia"/>
          <w:color w:val="auto"/>
        </w:rPr>
        <w:t>噪声</w:t>
      </w:r>
      <w:r>
        <w:tab/>
      </w:r>
      <w:r>
        <w:fldChar w:fldCharType="begin"/>
      </w:r>
      <w:r>
        <w:instrText xml:space="preserve"> PAGEREF _Toc84844257 \h </w:instrText>
      </w:r>
      <w:r>
        <w:fldChar w:fldCharType="separate"/>
      </w:r>
      <w:r>
        <w:t>23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"_Toc84844258" </w:instrText>
      </w:r>
      <w:r>
        <w:fldChar w:fldCharType="separate"/>
      </w:r>
      <w:r>
        <w:rPr>
          <w:rStyle w:val="39"/>
          <w:color w:val="auto"/>
        </w:rPr>
        <w:t>3.5.5</w:t>
      </w:r>
      <w:r>
        <w:rPr>
          <w:rStyle w:val="39"/>
          <w:rFonts w:hint="eastAsia"/>
          <w:color w:val="auto"/>
        </w:rPr>
        <w:t>拟建项目污染物汇总</w:t>
      </w:r>
      <w:r>
        <w:tab/>
      </w:r>
      <w:r>
        <w:fldChar w:fldCharType="begin"/>
      </w:r>
      <w:r>
        <w:instrText xml:space="preserve"> PAGEREF _Toc84844258 \h </w:instrText>
      </w:r>
      <w:r>
        <w:fldChar w:fldCharType="separate"/>
      </w:r>
      <w:r>
        <w:t>28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"_Toc84844259" </w:instrText>
      </w:r>
      <w:r>
        <w:fldChar w:fldCharType="separate"/>
      </w:r>
      <w:r>
        <w:rPr>
          <w:rStyle w:val="39"/>
          <w:color w:val="auto"/>
        </w:rPr>
        <w:t>3.6</w:t>
      </w:r>
      <w:r>
        <w:rPr>
          <w:rStyle w:val="39"/>
          <w:rFonts w:hint="eastAsia"/>
          <w:color w:val="auto"/>
        </w:rPr>
        <w:t>非正常工况排放分析</w:t>
      </w:r>
      <w:r>
        <w:tab/>
      </w:r>
      <w:r>
        <w:fldChar w:fldCharType="begin"/>
      </w:r>
      <w:r>
        <w:instrText xml:space="preserve"> PAGEREF _Toc84844259 \h </w:instrText>
      </w:r>
      <w:r>
        <w:fldChar w:fldCharType="separate"/>
      </w:r>
      <w:r>
        <w:t>29</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"_Toc84844260" </w:instrText>
      </w:r>
      <w:r>
        <w:fldChar w:fldCharType="separate"/>
      </w:r>
      <w:r>
        <w:rPr>
          <w:rStyle w:val="39"/>
          <w:color w:val="auto"/>
        </w:rPr>
        <w:t>3.7</w:t>
      </w:r>
      <w:r>
        <w:rPr>
          <w:rStyle w:val="39"/>
          <w:rFonts w:hint="eastAsia"/>
          <w:color w:val="auto"/>
        </w:rPr>
        <w:t>清洁生产</w:t>
      </w:r>
      <w:r>
        <w:tab/>
      </w:r>
      <w:r>
        <w:fldChar w:fldCharType="begin"/>
      </w:r>
      <w:r>
        <w:instrText xml:space="preserve"> PAGEREF _Toc84844260 \h </w:instrText>
      </w:r>
      <w:r>
        <w:fldChar w:fldCharType="separate"/>
      </w:r>
      <w:r>
        <w:t>29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"_Toc84844261" </w:instrText>
      </w:r>
      <w:r>
        <w:fldChar w:fldCharType="separate"/>
      </w:r>
      <w:r>
        <w:rPr>
          <w:rStyle w:val="39"/>
          <w:color w:val="auto"/>
        </w:rPr>
        <w:t>3.7.1</w:t>
      </w:r>
      <w:r>
        <w:rPr>
          <w:rStyle w:val="39"/>
          <w:rFonts w:hint="eastAsia"/>
          <w:color w:val="auto"/>
        </w:rPr>
        <w:t>生产工艺与装备要求</w:t>
      </w:r>
      <w:r>
        <w:tab/>
      </w:r>
      <w:r>
        <w:fldChar w:fldCharType="begin"/>
      </w:r>
      <w:r>
        <w:instrText xml:space="preserve"> PAGEREF _Toc84844261 \h </w:instrText>
      </w:r>
      <w:r>
        <w:fldChar w:fldCharType="separate"/>
      </w:r>
      <w:r>
        <w:t>30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"_Toc84844262" </w:instrText>
      </w:r>
      <w:r>
        <w:fldChar w:fldCharType="separate"/>
      </w:r>
      <w:r>
        <w:rPr>
          <w:rStyle w:val="39"/>
          <w:color w:val="auto"/>
        </w:rPr>
        <w:t>3.7.2</w:t>
      </w:r>
      <w:r>
        <w:rPr>
          <w:rStyle w:val="39"/>
          <w:rFonts w:hint="eastAsia"/>
          <w:color w:val="auto"/>
        </w:rPr>
        <w:t>废物回收处理要求</w:t>
      </w:r>
      <w:r>
        <w:tab/>
      </w:r>
      <w:r>
        <w:fldChar w:fldCharType="begin"/>
      </w:r>
      <w:r>
        <w:instrText xml:space="preserve"> PAGEREF _Toc84844262 \h </w:instrText>
      </w:r>
      <w:r>
        <w:fldChar w:fldCharType="separate"/>
      </w:r>
      <w:r>
        <w:t>31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"_Toc84844263" </w:instrText>
      </w:r>
      <w:r>
        <w:fldChar w:fldCharType="separate"/>
      </w:r>
      <w:r>
        <w:rPr>
          <w:rStyle w:val="39"/>
          <w:color w:val="auto"/>
        </w:rPr>
        <w:t>3.7.3</w:t>
      </w:r>
      <w:r>
        <w:rPr>
          <w:rStyle w:val="39"/>
          <w:rFonts w:hint="eastAsia"/>
          <w:color w:val="auto"/>
        </w:rPr>
        <w:t>资源能源利用指标</w:t>
      </w:r>
      <w:r>
        <w:tab/>
      </w:r>
      <w:r>
        <w:fldChar w:fldCharType="begin"/>
      </w:r>
      <w:r>
        <w:instrText xml:space="preserve"> PAGEREF _Toc84844263 \h </w:instrText>
      </w:r>
      <w:r>
        <w:fldChar w:fldCharType="separate"/>
      </w:r>
      <w:r>
        <w:t>31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"_Toc84844264" </w:instrText>
      </w:r>
      <w:r>
        <w:fldChar w:fldCharType="separate"/>
      </w:r>
      <w:r>
        <w:rPr>
          <w:rStyle w:val="39"/>
          <w:color w:val="auto"/>
        </w:rPr>
        <w:t>3.7.4</w:t>
      </w:r>
      <w:r>
        <w:rPr>
          <w:rStyle w:val="39"/>
          <w:rFonts w:hint="eastAsia"/>
          <w:color w:val="auto"/>
        </w:rPr>
        <w:t>污染物产生指标</w:t>
      </w:r>
      <w:r>
        <w:tab/>
      </w:r>
      <w:r>
        <w:fldChar w:fldCharType="begin"/>
      </w:r>
      <w:r>
        <w:instrText xml:space="preserve"> PAGEREF _Toc84844264 \h </w:instrText>
      </w:r>
      <w:r>
        <w:fldChar w:fldCharType="separate"/>
      </w:r>
      <w:r>
        <w:t>32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"_Toc84844265" </w:instrText>
      </w:r>
      <w:r>
        <w:fldChar w:fldCharType="separate"/>
      </w:r>
      <w:r>
        <w:rPr>
          <w:rStyle w:val="39"/>
          <w:color w:val="auto"/>
        </w:rPr>
        <w:t>3.7.5</w:t>
      </w:r>
      <w:r>
        <w:rPr>
          <w:rStyle w:val="39"/>
          <w:rFonts w:hint="eastAsia"/>
          <w:color w:val="auto"/>
        </w:rPr>
        <w:t>环境管理要求</w:t>
      </w:r>
      <w:r>
        <w:tab/>
      </w:r>
      <w:r>
        <w:fldChar w:fldCharType="begin"/>
      </w:r>
      <w:r>
        <w:instrText xml:space="preserve"> PAGEREF _Toc84844265 \h </w:instrText>
      </w:r>
      <w:r>
        <w:fldChar w:fldCharType="separate"/>
      </w:r>
      <w:r>
        <w:t>32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"_Toc84844266" </w:instrText>
      </w:r>
      <w:r>
        <w:fldChar w:fldCharType="separate"/>
      </w:r>
      <w:r>
        <w:rPr>
          <w:rStyle w:val="39"/>
          <w:color w:val="auto"/>
        </w:rPr>
        <w:t>3.7.6</w:t>
      </w:r>
      <w:r>
        <w:rPr>
          <w:rStyle w:val="39"/>
          <w:rFonts w:hint="eastAsia"/>
          <w:color w:val="auto"/>
        </w:rPr>
        <w:t>小结</w:t>
      </w:r>
      <w:r>
        <w:tab/>
      </w:r>
      <w:r>
        <w:fldChar w:fldCharType="begin"/>
      </w:r>
      <w:r>
        <w:instrText xml:space="preserve"> PAGEREF _Toc84844266 \h </w:instrText>
      </w:r>
      <w:r>
        <w:fldChar w:fldCharType="separate"/>
      </w:r>
      <w:r>
        <w:t>33</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"_Toc84844267" </w:instrText>
      </w:r>
      <w:r>
        <w:fldChar w:fldCharType="separate"/>
      </w:r>
      <w:r>
        <w:rPr>
          <w:rStyle w:val="39"/>
          <w:color w:val="auto"/>
        </w:rPr>
        <w:t>4</w:t>
      </w:r>
      <w:r>
        <w:rPr>
          <w:rStyle w:val="39"/>
          <w:rFonts w:hint="eastAsia"/>
          <w:color w:val="auto"/>
        </w:rPr>
        <w:t>区域环境概况</w:t>
      </w:r>
      <w:r>
        <w:tab/>
      </w:r>
      <w:r>
        <w:fldChar w:fldCharType="begin"/>
      </w:r>
      <w:r>
        <w:instrText xml:space="preserve"> PAGEREF _Toc84844267 \h </w:instrText>
      </w:r>
      <w:r>
        <w:fldChar w:fldCharType="separate"/>
      </w:r>
      <w:r>
        <w:t>34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"_Toc84844268" </w:instrText>
      </w:r>
      <w:r>
        <w:fldChar w:fldCharType="separate"/>
      </w:r>
      <w:r>
        <w:rPr>
          <w:rStyle w:val="39"/>
          <w:color w:val="auto"/>
        </w:rPr>
        <w:t>4.1</w:t>
      </w:r>
      <w:r>
        <w:rPr>
          <w:rStyle w:val="39"/>
          <w:rFonts w:hint="eastAsia"/>
          <w:color w:val="auto"/>
        </w:rPr>
        <w:t>自然环境</w:t>
      </w:r>
      <w:r>
        <w:tab/>
      </w:r>
      <w:r>
        <w:fldChar w:fldCharType="begin"/>
      </w:r>
      <w:r>
        <w:instrText xml:space="preserve"> PAGEREF _Toc84844268 \h </w:instrText>
      </w:r>
      <w:r>
        <w:fldChar w:fldCharType="separate"/>
      </w:r>
      <w:r>
        <w:t>34</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"_Toc84844269" </w:instrText>
      </w:r>
      <w:r>
        <w:fldChar w:fldCharType="separate"/>
      </w:r>
      <w:r>
        <w:rPr>
          <w:rStyle w:val="39"/>
          <w:color w:val="auto"/>
        </w:rPr>
        <w:t>4.1.1</w:t>
      </w:r>
      <w:r>
        <w:rPr>
          <w:rStyle w:val="39"/>
          <w:rFonts w:hint="eastAsia"/>
          <w:color w:val="auto"/>
        </w:rPr>
        <w:t>地理位置与交通</w:t>
      </w:r>
      <w:r>
        <w:tab/>
      </w:r>
      <w:r>
        <w:fldChar w:fldCharType="begin"/>
      </w:r>
      <w:r>
        <w:instrText xml:space="preserve"> PAGEREF _Toc84844269 \h </w:instrText>
      </w:r>
      <w:r>
        <w:fldChar w:fldCharType="separate"/>
      </w:r>
      <w:r>
        <w:t>34</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"_Toc84844270" </w:instrText>
      </w:r>
      <w:r>
        <w:fldChar w:fldCharType="separate"/>
      </w:r>
      <w:r>
        <w:rPr>
          <w:rStyle w:val="39"/>
          <w:color w:val="auto"/>
        </w:rPr>
        <w:t>4.1.2</w:t>
      </w:r>
      <w:r>
        <w:rPr>
          <w:rStyle w:val="39"/>
          <w:rFonts w:hint="eastAsia"/>
          <w:color w:val="auto"/>
        </w:rPr>
        <w:t>地形、地貌与地质情况</w:t>
      </w:r>
      <w:r>
        <w:tab/>
      </w:r>
      <w:r>
        <w:fldChar w:fldCharType="begin"/>
      </w:r>
      <w:r>
        <w:instrText xml:space="preserve"> PAGEREF _Toc84844270 \h </w:instrText>
      </w:r>
      <w:r>
        <w:fldChar w:fldCharType="separate"/>
      </w:r>
      <w:r>
        <w:t>34</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"_Toc84844271" </w:instrText>
      </w:r>
      <w:r>
        <w:fldChar w:fldCharType="separate"/>
      </w:r>
      <w:r>
        <w:rPr>
          <w:rStyle w:val="39"/>
          <w:color w:val="auto"/>
        </w:rPr>
        <w:t xml:space="preserve">4.1.3 </w:t>
      </w:r>
      <w:r>
        <w:rPr>
          <w:rStyle w:val="39"/>
          <w:rFonts w:hint="eastAsia"/>
          <w:color w:val="auto"/>
        </w:rPr>
        <w:t>气候与气象</w:t>
      </w:r>
      <w:r>
        <w:tab/>
      </w:r>
      <w:r>
        <w:fldChar w:fldCharType="begin"/>
      </w:r>
      <w:r>
        <w:instrText xml:space="preserve"> PAGEREF _Toc84844271 \h </w:instrText>
      </w:r>
      <w:r>
        <w:fldChar w:fldCharType="separate"/>
      </w:r>
      <w:r>
        <w:t>35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"_Toc84844272" </w:instrText>
      </w:r>
      <w:r>
        <w:fldChar w:fldCharType="separate"/>
      </w:r>
      <w:r>
        <w:rPr>
          <w:rStyle w:val="39"/>
          <w:color w:val="auto"/>
        </w:rPr>
        <w:t>4.1.4</w:t>
      </w:r>
      <w:r>
        <w:rPr>
          <w:rStyle w:val="39"/>
          <w:rFonts w:hint="eastAsia"/>
          <w:color w:val="auto"/>
        </w:rPr>
        <w:t>水文</w:t>
      </w:r>
      <w:r>
        <w:tab/>
      </w:r>
      <w:r>
        <w:fldChar w:fldCharType="begin"/>
      </w:r>
      <w:r>
        <w:instrText xml:space="preserve"> PAGEREF _Toc84844272 \h </w:instrText>
      </w:r>
      <w:r>
        <w:fldChar w:fldCharType="separate"/>
      </w:r>
      <w:r>
        <w:t>35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"_Toc84844273" </w:instrText>
      </w:r>
      <w:r>
        <w:fldChar w:fldCharType="separate"/>
      </w:r>
      <w:r>
        <w:rPr>
          <w:rStyle w:val="39"/>
          <w:color w:val="auto"/>
        </w:rPr>
        <w:t>4.1.5</w:t>
      </w:r>
      <w:r>
        <w:rPr>
          <w:rStyle w:val="39"/>
          <w:rFonts w:hint="eastAsia"/>
          <w:color w:val="auto"/>
        </w:rPr>
        <w:t>地下水</w:t>
      </w:r>
      <w:r>
        <w:tab/>
      </w:r>
      <w:r>
        <w:fldChar w:fldCharType="begin"/>
      </w:r>
      <w:r>
        <w:instrText xml:space="preserve"> PAGEREF _Toc84844273 \h </w:instrText>
      </w:r>
      <w:r>
        <w:fldChar w:fldCharType="separate"/>
      </w:r>
      <w:r>
        <w:t>36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"_Toc84844274" </w:instrText>
      </w:r>
      <w:r>
        <w:fldChar w:fldCharType="separate"/>
      </w:r>
      <w:r>
        <w:rPr>
          <w:rStyle w:val="39"/>
          <w:color w:val="auto"/>
        </w:rPr>
        <w:t>4.1.6</w:t>
      </w:r>
      <w:r>
        <w:rPr>
          <w:rStyle w:val="39"/>
          <w:rFonts w:hint="eastAsia"/>
          <w:color w:val="auto"/>
        </w:rPr>
        <w:t>自然资源</w:t>
      </w:r>
      <w:r>
        <w:tab/>
      </w:r>
      <w:r>
        <w:fldChar w:fldCharType="begin"/>
      </w:r>
      <w:r>
        <w:instrText xml:space="preserve"> PAGEREF _Toc84844274 \h </w:instrText>
      </w:r>
      <w:r>
        <w:fldChar w:fldCharType="separate"/>
      </w:r>
      <w:r>
        <w:t>40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"_Toc84844275" </w:instrText>
      </w:r>
      <w:r>
        <w:fldChar w:fldCharType="separate"/>
      </w:r>
      <w:r>
        <w:rPr>
          <w:rStyle w:val="39"/>
          <w:color w:val="auto"/>
        </w:rPr>
        <w:t>4.2</w:t>
      </w:r>
      <w:r>
        <w:rPr>
          <w:rStyle w:val="39"/>
          <w:rFonts w:hint="eastAsia"/>
          <w:color w:val="auto"/>
        </w:rPr>
        <w:t>发展规划</w:t>
      </w:r>
      <w:r>
        <w:tab/>
      </w:r>
      <w:r>
        <w:fldChar w:fldCharType="begin"/>
      </w:r>
      <w:r>
        <w:instrText xml:space="preserve"> PAGEREF _Toc84844275 \h </w:instrText>
      </w:r>
      <w:r>
        <w:fldChar w:fldCharType="separate"/>
      </w:r>
      <w:r>
        <w:t>40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"_Toc84844276" </w:instrText>
      </w:r>
      <w:r>
        <w:fldChar w:fldCharType="separate"/>
      </w:r>
      <w:r>
        <w:rPr>
          <w:rStyle w:val="39"/>
          <w:color w:val="auto"/>
        </w:rPr>
        <w:t xml:space="preserve">4.2.1 </w:t>
      </w:r>
      <w:r>
        <w:rPr>
          <w:rStyle w:val="39"/>
          <w:rFonts w:hint="eastAsia"/>
          <w:color w:val="auto"/>
        </w:rPr>
        <w:t>城镇总体规划</w:t>
      </w:r>
      <w:r>
        <w:tab/>
      </w:r>
      <w:r>
        <w:fldChar w:fldCharType="begin"/>
      </w:r>
      <w:r>
        <w:instrText xml:space="preserve"> PAGEREF _Toc84844276 \h </w:instrText>
      </w:r>
      <w:r>
        <w:fldChar w:fldCharType="separate"/>
      </w:r>
      <w:r>
        <w:t>40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"_Toc84844277" </w:instrText>
      </w:r>
      <w:r>
        <w:fldChar w:fldCharType="separate"/>
      </w:r>
      <w:r>
        <w:rPr>
          <w:rStyle w:val="39"/>
          <w:color w:val="auto"/>
        </w:rPr>
        <w:t>4.2.2</w:t>
      </w:r>
      <w:r>
        <w:rPr>
          <w:rStyle w:val="39"/>
          <w:rFonts w:hint="eastAsia"/>
          <w:color w:val="auto"/>
        </w:rPr>
        <w:t>重庆长寿经济技术开发区规划</w:t>
      </w:r>
      <w:r>
        <w:tab/>
      </w:r>
      <w:r>
        <w:fldChar w:fldCharType="begin"/>
      </w:r>
      <w:r>
        <w:instrText xml:space="preserve"> PAGEREF _Toc84844277 \h </w:instrText>
      </w:r>
      <w:r>
        <w:fldChar w:fldCharType="separate"/>
      </w:r>
      <w:r>
        <w:t>41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"_Toc84844278" </w:instrText>
      </w:r>
      <w:r>
        <w:fldChar w:fldCharType="separate"/>
      </w:r>
      <w:r>
        <w:rPr>
          <w:rStyle w:val="39"/>
          <w:color w:val="auto"/>
        </w:rPr>
        <w:t>4.3</w:t>
      </w:r>
      <w:r>
        <w:rPr>
          <w:rStyle w:val="39"/>
          <w:rFonts w:hint="eastAsia"/>
          <w:color w:val="auto"/>
        </w:rPr>
        <w:t>污染源现状调查</w:t>
      </w:r>
      <w:r>
        <w:tab/>
      </w:r>
      <w:r>
        <w:fldChar w:fldCharType="begin"/>
      </w:r>
      <w:r>
        <w:instrText xml:space="preserve"> PAGEREF _Toc84844278 \h </w:instrText>
      </w:r>
      <w:r>
        <w:fldChar w:fldCharType="separate"/>
      </w:r>
      <w:r>
        <w:t>43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"_Toc84844279" </w:instrText>
      </w:r>
      <w:r>
        <w:fldChar w:fldCharType="separate"/>
      </w:r>
      <w:r>
        <w:rPr>
          <w:rStyle w:val="39"/>
          <w:color w:val="auto"/>
        </w:rPr>
        <w:t>4.4</w:t>
      </w:r>
      <w:r>
        <w:rPr>
          <w:rStyle w:val="39"/>
          <w:rFonts w:hint="eastAsia"/>
          <w:color w:val="auto"/>
        </w:rPr>
        <w:t>环境质量现状评价</w:t>
      </w:r>
      <w:r>
        <w:tab/>
      </w:r>
      <w:r>
        <w:fldChar w:fldCharType="begin"/>
      </w:r>
      <w:r>
        <w:instrText xml:space="preserve"> PAGEREF _Toc84844279 \h </w:instrText>
      </w:r>
      <w:r>
        <w:fldChar w:fldCharType="separate"/>
      </w:r>
      <w:r>
        <w:t>66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"_Toc84844280" </w:instrText>
      </w:r>
      <w:r>
        <w:fldChar w:fldCharType="separate"/>
      </w:r>
      <w:r>
        <w:rPr>
          <w:rStyle w:val="39"/>
          <w:color w:val="auto"/>
        </w:rPr>
        <w:t>4.4.1</w:t>
      </w:r>
      <w:r>
        <w:rPr>
          <w:rStyle w:val="39"/>
          <w:rFonts w:hint="eastAsia"/>
          <w:color w:val="auto"/>
        </w:rPr>
        <w:t>大气环境质量现状与评价</w:t>
      </w:r>
      <w:r>
        <w:tab/>
      </w:r>
      <w:r>
        <w:fldChar w:fldCharType="begin"/>
      </w:r>
      <w:r>
        <w:instrText xml:space="preserve"> PAGEREF _Toc84844280 \h </w:instrText>
      </w:r>
      <w:r>
        <w:fldChar w:fldCharType="separate"/>
      </w:r>
      <w:r>
        <w:t>66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"_Toc84844281" </w:instrText>
      </w:r>
      <w:r>
        <w:fldChar w:fldCharType="separate"/>
      </w:r>
      <w:r>
        <w:rPr>
          <w:rStyle w:val="39"/>
          <w:color w:val="auto"/>
        </w:rPr>
        <w:t>4.4.2</w:t>
      </w:r>
      <w:r>
        <w:rPr>
          <w:rStyle w:val="39"/>
          <w:rFonts w:hint="eastAsia"/>
          <w:color w:val="auto"/>
        </w:rPr>
        <w:t>地表水环境质量现状评价</w:t>
      </w:r>
      <w:r>
        <w:tab/>
      </w:r>
      <w:r>
        <w:fldChar w:fldCharType="begin"/>
      </w:r>
      <w:r>
        <w:instrText xml:space="preserve"> PAGEREF _Toc84844281 \h </w:instrText>
      </w:r>
      <w:r>
        <w:fldChar w:fldCharType="separate"/>
      </w:r>
      <w:r>
        <w:t>67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"_Toc84844282" </w:instrText>
      </w:r>
      <w:r>
        <w:fldChar w:fldCharType="separate"/>
      </w:r>
      <w:r>
        <w:rPr>
          <w:rStyle w:val="39"/>
          <w:color w:val="auto"/>
        </w:rPr>
        <w:t>4.4.3</w:t>
      </w:r>
      <w:r>
        <w:rPr>
          <w:rStyle w:val="39"/>
          <w:rFonts w:hint="eastAsia"/>
          <w:color w:val="auto"/>
        </w:rPr>
        <w:t>地下水环境现状监测与评价</w:t>
      </w:r>
      <w:r>
        <w:tab/>
      </w:r>
      <w:r>
        <w:fldChar w:fldCharType="begin"/>
      </w:r>
      <w:r>
        <w:instrText xml:space="preserve"> PAGEREF _Toc84844282 \h </w:instrText>
      </w:r>
      <w:r>
        <w:fldChar w:fldCharType="separate"/>
      </w:r>
      <w:r>
        <w:t>71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"_Toc84844283" </w:instrText>
      </w:r>
      <w:r>
        <w:fldChar w:fldCharType="separate"/>
      </w:r>
      <w:r>
        <w:rPr>
          <w:rStyle w:val="39"/>
          <w:color w:val="auto"/>
        </w:rPr>
        <w:t>4.4.4</w:t>
      </w:r>
      <w:r>
        <w:rPr>
          <w:rStyle w:val="39"/>
          <w:rFonts w:hint="eastAsia"/>
          <w:color w:val="auto"/>
        </w:rPr>
        <w:t>噪声</w:t>
      </w:r>
      <w:r>
        <w:tab/>
      </w:r>
      <w:r>
        <w:fldChar w:fldCharType="begin"/>
      </w:r>
      <w:r>
        <w:instrText xml:space="preserve"> PAGEREF _Toc84844283 \h </w:instrText>
      </w:r>
      <w:r>
        <w:fldChar w:fldCharType="separate"/>
      </w:r>
      <w:r>
        <w:t>76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"_Toc84844284" </w:instrText>
      </w:r>
      <w:r>
        <w:fldChar w:fldCharType="separate"/>
      </w:r>
      <w:r>
        <w:rPr>
          <w:rStyle w:val="39"/>
          <w:color w:val="auto"/>
        </w:rPr>
        <w:t>4.4.5</w:t>
      </w:r>
      <w:r>
        <w:rPr>
          <w:rStyle w:val="39"/>
          <w:rFonts w:hint="eastAsia"/>
          <w:color w:val="auto"/>
        </w:rPr>
        <w:t>土壤</w:t>
      </w:r>
      <w:r>
        <w:tab/>
      </w:r>
      <w:r>
        <w:fldChar w:fldCharType="begin"/>
      </w:r>
      <w:r>
        <w:instrText xml:space="preserve"> PAGEREF _Toc84844284 \h </w:instrText>
      </w:r>
      <w:r>
        <w:fldChar w:fldCharType="separate"/>
      </w:r>
      <w:r>
        <w:t>76</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"_Toc84844285" </w:instrText>
      </w:r>
      <w:r>
        <w:fldChar w:fldCharType="separate"/>
      </w:r>
      <w:r>
        <w:rPr>
          <w:rStyle w:val="39"/>
          <w:color w:val="auto"/>
        </w:rPr>
        <w:t>5</w:t>
      </w:r>
      <w:r>
        <w:rPr>
          <w:rStyle w:val="39"/>
          <w:rFonts w:hint="eastAsia"/>
          <w:color w:val="auto"/>
        </w:rPr>
        <w:t>环境影响预测及评价</w:t>
      </w:r>
      <w:r>
        <w:tab/>
      </w:r>
      <w:r>
        <w:fldChar w:fldCharType="begin"/>
      </w:r>
      <w:r>
        <w:instrText xml:space="preserve"> PAGEREF _Toc84844285 \h </w:instrText>
      </w:r>
      <w:r>
        <w:fldChar w:fldCharType="separate"/>
      </w:r>
      <w:r>
        <w:t>82</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"_Toc84844286" </w:instrText>
      </w:r>
      <w:r>
        <w:fldChar w:fldCharType="separate"/>
      </w:r>
      <w:r>
        <w:rPr>
          <w:rStyle w:val="39"/>
          <w:color w:val="auto"/>
        </w:rPr>
        <w:t>5.1</w:t>
      </w:r>
      <w:r>
        <w:rPr>
          <w:rStyle w:val="39"/>
          <w:rFonts w:hint="eastAsia"/>
          <w:color w:val="auto"/>
        </w:rPr>
        <w:t>施工期环境影响预测及评价</w:t>
      </w:r>
      <w:r>
        <w:tab/>
      </w:r>
      <w:r>
        <w:fldChar w:fldCharType="begin"/>
      </w:r>
      <w:r>
        <w:instrText xml:space="preserve"> PAGEREF _Toc84844286 \h </w:instrText>
      </w:r>
      <w:r>
        <w:fldChar w:fldCharType="separate"/>
      </w:r>
      <w:r>
        <w:t>82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"_Toc84844287" </w:instrText>
      </w:r>
      <w:r>
        <w:fldChar w:fldCharType="separate"/>
      </w:r>
      <w:r>
        <w:rPr>
          <w:rStyle w:val="39"/>
          <w:color w:val="auto"/>
        </w:rPr>
        <w:t>5.1.1</w:t>
      </w:r>
      <w:r>
        <w:rPr>
          <w:rStyle w:val="39"/>
          <w:rFonts w:hint="eastAsia"/>
          <w:color w:val="auto"/>
        </w:rPr>
        <w:t>施工期环境影响分析</w:t>
      </w:r>
      <w:r>
        <w:tab/>
      </w:r>
      <w:r>
        <w:fldChar w:fldCharType="begin"/>
      </w:r>
      <w:r>
        <w:instrText xml:space="preserve"> PAGEREF _Toc84844287 \h </w:instrText>
      </w:r>
      <w:r>
        <w:fldChar w:fldCharType="separate"/>
      </w:r>
      <w:r>
        <w:t>82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"_Toc84844288" </w:instrText>
      </w:r>
      <w:r>
        <w:fldChar w:fldCharType="separate"/>
      </w:r>
      <w:r>
        <w:rPr>
          <w:rStyle w:val="39"/>
          <w:color w:val="auto"/>
        </w:rPr>
        <w:t>5.1.2</w:t>
      </w:r>
      <w:r>
        <w:rPr>
          <w:rStyle w:val="39"/>
          <w:rFonts w:hint="eastAsia"/>
          <w:color w:val="auto"/>
        </w:rPr>
        <w:t>施工期环境污染防治措施</w:t>
      </w:r>
      <w:r>
        <w:tab/>
      </w:r>
      <w:r>
        <w:fldChar w:fldCharType="begin"/>
      </w:r>
      <w:r>
        <w:instrText xml:space="preserve"> PAGEREF _Toc84844288 \h </w:instrText>
      </w:r>
      <w:r>
        <w:fldChar w:fldCharType="separate"/>
      </w:r>
      <w:r>
        <w:t>85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"_Toc84844289" </w:instrText>
      </w:r>
      <w:r>
        <w:fldChar w:fldCharType="separate"/>
      </w:r>
      <w:r>
        <w:rPr>
          <w:rStyle w:val="39"/>
          <w:color w:val="auto"/>
        </w:rPr>
        <w:t>5.2</w:t>
      </w:r>
      <w:r>
        <w:rPr>
          <w:rStyle w:val="39"/>
          <w:rFonts w:hint="eastAsia"/>
          <w:color w:val="auto"/>
        </w:rPr>
        <w:t>营运期环境影响预测及评价</w:t>
      </w:r>
      <w:r>
        <w:tab/>
      </w:r>
      <w:r>
        <w:fldChar w:fldCharType="begin"/>
      </w:r>
      <w:r>
        <w:instrText xml:space="preserve"> PAGEREF _Toc84844289 \h </w:instrText>
      </w:r>
      <w:r>
        <w:fldChar w:fldCharType="separate"/>
      </w:r>
      <w:r>
        <w:t>89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"_Toc84844290" </w:instrText>
      </w:r>
      <w:r>
        <w:fldChar w:fldCharType="separate"/>
      </w:r>
      <w:r>
        <w:rPr>
          <w:rStyle w:val="39"/>
          <w:color w:val="auto"/>
        </w:rPr>
        <w:t>5.2.1</w:t>
      </w:r>
      <w:r>
        <w:rPr>
          <w:rStyle w:val="39"/>
          <w:rFonts w:hint="eastAsia"/>
          <w:color w:val="auto"/>
        </w:rPr>
        <w:t>环境空气质量影响预测与评价</w:t>
      </w:r>
      <w:r>
        <w:tab/>
      </w:r>
      <w:r>
        <w:fldChar w:fldCharType="begin"/>
      </w:r>
      <w:r>
        <w:instrText xml:space="preserve"> PAGEREF _Toc84844290 \h </w:instrText>
      </w:r>
      <w:r>
        <w:fldChar w:fldCharType="separate"/>
      </w:r>
      <w:r>
        <w:t>89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"_Toc84844291" </w:instrText>
      </w:r>
      <w:r>
        <w:fldChar w:fldCharType="separate"/>
      </w:r>
      <w:r>
        <w:rPr>
          <w:rStyle w:val="39"/>
          <w:color w:val="auto"/>
        </w:rPr>
        <w:t>5.2.2</w:t>
      </w:r>
      <w:r>
        <w:rPr>
          <w:rStyle w:val="39"/>
          <w:rFonts w:hint="eastAsia"/>
          <w:color w:val="auto"/>
        </w:rPr>
        <w:t>地表水环境影响分析</w:t>
      </w:r>
      <w:r>
        <w:tab/>
      </w:r>
      <w:r>
        <w:fldChar w:fldCharType="begin"/>
      </w:r>
      <w:r>
        <w:instrText xml:space="preserve"> PAGEREF _Toc84844291 \h </w:instrText>
      </w:r>
      <w:r>
        <w:fldChar w:fldCharType="separate"/>
      </w:r>
      <w:r>
        <w:t>119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"_Toc84844292" </w:instrText>
      </w:r>
      <w:r>
        <w:fldChar w:fldCharType="separate"/>
      </w:r>
      <w:r>
        <w:rPr>
          <w:rStyle w:val="39"/>
          <w:color w:val="auto"/>
        </w:rPr>
        <w:t>5.2.3</w:t>
      </w:r>
      <w:r>
        <w:rPr>
          <w:rStyle w:val="39"/>
          <w:rFonts w:hint="eastAsia"/>
          <w:color w:val="auto"/>
        </w:rPr>
        <w:t>噪声</w:t>
      </w:r>
      <w:r>
        <w:tab/>
      </w:r>
      <w:r>
        <w:fldChar w:fldCharType="begin"/>
      </w:r>
      <w:r>
        <w:instrText xml:space="preserve"> PAGEREF _Toc84844292 \h </w:instrText>
      </w:r>
      <w:r>
        <w:fldChar w:fldCharType="separate"/>
      </w:r>
      <w:r>
        <w:t>125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"_Toc84844293" </w:instrText>
      </w:r>
      <w:r>
        <w:fldChar w:fldCharType="separate"/>
      </w:r>
      <w:r>
        <w:rPr>
          <w:rStyle w:val="39"/>
          <w:color w:val="auto"/>
        </w:rPr>
        <w:t>5.2.4</w:t>
      </w:r>
      <w:r>
        <w:rPr>
          <w:rStyle w:val="39"/>
          <w:rFonts w:hint="eastAsia"/>
          <w:color w:val="auto"/>
        </w:rPr>
        <w:t>固废环境影响分析</w:t>
      </w:r>
      <w:r>
        <w:tab/>
      </w:r>
      <w:r>
        <w:fldChar w:fldCharType="begin"/>
      </w:r>
      <w:r>
        <w:instrText xml:space="preserve"> PAGEREF _Toc84844293 \h </w:instrText>
      </w:r>
      <w:r>
        <w:fldChar w:fldCharType="separate"/>
      </w:r>
      <w:r>
        <w:t>127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"_Toc84844294" </w:instrText>
      </w:r>
      <w:r>
        <w:fldChar w:fldCharType="separate"/>
      </w:r>
      <w:r>
        <w:rPr>
          <w:rStyle w:val="39"/>
          <w:color w:val="auto"/>
        </w:rPr>
        <w:t>5.2.5</w:t>
      </w:r>
      <w:r>
        <w:rPr>
          <w:rStyle w:val="39"/>
          <w:rFonts w:hint="eastAsia"/>
          <w:color w:val="auto"/>
        </w:rPr>
        <w:t>地下水环境影响分析</w:t>
      </w:r>
      <w:r>
        <w:tab/>
      </w:r>
      <w:r>
        <w:fldChar w:fldCharType="begin"/>
      </w:r>
      <w:r>
        <w:instrText xml:space="preserve"> PAGEREF _Toc84844294 \h </w:instrText>
      </w:r>
      <w:r>
        <w:fldChar w:fldCharType="separate"/>
      </w:r>
      <w:r>
        <w:t>129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"_Toc84844295" </w:instrText>
      </w:r>
      <w:r>
        <w:fldChar w:fldCharType="separate"/>
      </w:r>
      <w:r>
        <w:rPr>
          <w:rStyle w:val="39"/>
          <w:color w:val="auto"/>
        </w:rPr>
        <w:t>5.2.6</w:t>
      </w:r>
      <w:r>
        <w:rPr>
          <w:rStyle w:val="39"/>
          <w:rFonts w:hint="eastAsia"/>
          <w:color w:val="auto"/>
        </w:rPr>
        <w:t>土壤环境影响分析</w:t>
      </w:r>
      <w:r>
        <w:tab/>
      </w:r>
      <w:r>
        <w:fldChar w:fldCharType="begin"/>
      </w:r>
      <w:r>
        <w:instrText xml:space="preserve"> PAGEREF _Toc84844295 \h </w:instrText>
      </w:r>
      <w:r>
        <w:fldChar w:fldCharType="separate"/>
      </w:r>
      <w:r>
        <w:t>135</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"_Toc84844296" </w:instrText>
      </w:r>
      <w:r>
        <w:fldChar w:fldCharType="separate"/>
      </w:r>
      <w:r>
        <w:rPr>
          <w:rStyle w:val="39"/>
          <w:color w:val="auto"/>
        </w:rPr>
        <w:t>6</w:t>
      </w:r>
      <w:r>
        <w:rPr>
          <w:rStyle w:val="39"/>
          <w:rFonts w:hint="eastAsia"/>
          <w:color w:val="auto"/>
        </w:rPr>
        <w:t>环境风险评价</w:t>
      </w:r>
      <w:r>
        <w:tab/>
      </w:r>
      <w:r>
        <w:fldChar w:fldCharType="begin"/>
      </w:r>
      <w:r>
        <w:instrText xml:space="preserve"> PAGEREF _Toc84844296 \h </w:instrText>
      </w:r>
      <w:r>
        <w:fldChar w:fldCharType="separate"/>
      </w:r>
      <w:r>
        <w:t>140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"_Toc84844297" </w:instrText>
      </w:r>
      <w:r>
        <w:fldChar w:fldCharType="separate"/>
      </w:r>
      <w:r>
        <w:rPr>
          <w:rStyle w:val="39"/>
          <w:color w:val="auto"/>
        </w:rPr>
        <w:t>6.1</w:t>
      </w:r>
      <w:r>
        <w:rPr>
          <w:rStyle w:val="39"/>
          <w:rFonts w:hint="eastAsia"/>
          <w:color w:val="auto"/>
        </w:rPr>
        <w:t>环境风险评价程序</w:t>
      </w:r>
      <w:r>
        <w:tab/>
      </w:r>
      <w:r>
        <w:fldChar w:fldCharType="begin"/>
      </w:r>
      <w:r>
        <w:instrText xml:space="preserve"> PAGEREF _Toc84844297 \h </w:instrText>
      </w:r>
      <w:r>
        <w:fldChar w:fldCharType="separate"/>
      </w:r>
      <w:r>
        <w:t>140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"_Toc84844298" </w:instrText>
      </w:r>
      <w:r>
        <w:fldChar w:fldCharType="separate"/>
      </w:r>
      <w:r>
        <w:rPr>
          <w:rStyle w:val="39"/>
          <w:color w:val="auto"/>
        </w:rPr>
        <w:t>6.2</w:t>
      </w:r>
      <w:r>
        <w:rPr>
          <w:rStyle w:val="39"/>
          <w:rFonts w:hint="eastAsia"/>
          <w:color w:val="auto"/>
        </w:rPr>
        <w:t>环境风险调查</w:t>
      </w:r>
      <w:r>
        <w:tab/>
      </w:r>
      <w:r>
        <w:fldChar w:fldCharType="begin"/>
      </w:r>
      <w:r>
        <w:instrText xml:space="preserve"> PAGEREF _Toc84844298 \h </w:instrText>
      </w:r>
      <w:r>
        <w:fldChar w:fldCharType="separate"/>
      </w:r>
      <w:r>
        <w:t>141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"_Toc84844299" </w:instrText>
      </w:r>
      <w:r>
        <w:fldChar w:fldCharType="separate"/>
      </w:r>
      <w:r>
        <w:rPr>
          <w:rStyle w:val="39"/>
          <w:color w:val="auto"/>
        </w:rPr>
        <w:t>6.2.1</w:t>
      </w:r>
      <w:r>
        <w:rPr>
          <w:rStyle w:val="39"/>
          <w:rFonts w:hint="eastAsia"/>
          <w:color w:val="auto"/>
        </w:rPr>
        <w:t>项目风险源调查</w:t>
      </w:r>
      <w:r>
        <w:tab/>
      </w:r>
      <w:r>
        <w:fldChar w:fldCharType="begin"/>
      </w:r>
      <w:r>
        <w:instrText xml:space="preserve"> PAGEREF _Toc84844299 \h </w:instrText>
      </w:r>
      <w:r>
        <w:fldChar w:fldCharType="separate"/>
      </w:r>
      <w:r>
        <w:t>141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"_Toc84844300" </w:instrText>
      </w:r>
      <w:r>
        <w:fldChar w:fldCharType="separate"/>
      </w:r>
      <w:r>
        <w:rPr>
          <w:rStyle w:val="39"/>
          <w:color w:val="auto"/>
        </w:rPr>
        <w:t>6.2.2</w:t>
      </w:r>
      <w:r>
        <w:rPr>
          <w:rStyle w:val="39"/>
          <w:rFonts w:hint="eastAsia"/>
          <w:color w:val="auto"/>
        </w:rPr>
        <w:t>环境敏感目标调查</w:t>
      </w:r>
      <w:r>
        <w:tab/>
      </w:r>
      <w:r>
        <w:fldChar w:fldCharType="begin"/>
      </w:r>
      <w:r>
        <w:instrText xml:space="preserve"> PAGEREF _Toc84844300 \h </w:instrText>
      </w:r>
      <w:r>
        <w:fldChar w:fldCharType="separate"/>
      </w:r>
      <w:r>
        <w:t>144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"_Toc84844301" </w:instrText>
      </w:r>
      <w:r>
        <w:fldChar w:fldCharType="separate"/>
      </w:r>
      <w:r>
        <w:rPr>
          <w:rStyle w:val="39"/>
          <w:color w:val="auto"/>
        </w:rPr>
        <w:t>6.3</w:t>
      </w:r>
      <w:r>
        <w:rPr>
          <w:rStyle w:val="39"/>
          <w:rFonts w:hint="eastAsia"/>
          <w:color w:val="auto"/>
        </w:rPr>
        <w:t>环境风险潜势初判</w:t>
      </w:r>
      <w:r>
        <w:tab/>
      </w:r>
      <w:r>
        <w:fldChar w:fldCharType="begin"/>
      </w:r>
      <w:r>
        <w:instrText xml:space="preserve"> PAGEREF _Toc84844301 \h </w:instrText>
      </w:r>
      <w:r>
        <w:fldChar w:fldCharType="separate"/>
      </w:r>
      <w:r>
        <w:t>145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"_Toc84844302" </w:instrText>
      </w:r>
      <w:r>
        <w:fldChar w:fldCharType="separate"/>
      </w:r>
      <w:r>
        <w:rPr>
          <w:rStyle w:val="39"/>
          <w:color w:val="auto"/>
        </w:rPr>
        <w:t>6.3.1P</w:t>
      </w:r>
      <w:r>
        <w:rPr>
          <w:rStyle w:val="39"/>
          <w:rFonts w:hint="eastAsia"/>
          <w:color w:val="auto"/>
        </w:rPr>
        <w:t>的分级确定</w:t>
      </w:r>
      <w:r>
        <w:tab/>
      </w:r>
      <w:r>
        <w:fldChar w:fldCharType="begin"/>
      </w:r>
      <w:r>
        <w:instrText xml:space="preserve"> PAGEREF _Toc84844302 \h </w:instrText>
      </w:r>
      <w:r>
        <w:fldChar w:fldCharType="separate"/>
      </w:r>
      <w:r>
        <w:t>145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"_Toc84844303" </w:instrText>
      </w:r>
      <w:r>
        <w:fldChar w:fldCharType="separate"/>
      </w:r>
      <w:r>
        <w:rPr>
          <w:rStyle w:val="39"/>
          <w:color w:val="auto"/>
        </w:rPr>
        <w:t>6.3.2E</w:t>
      </w:r>
      <w:r>
        <w:rPr>
          <w:rStyle w:val="39"/>
          <w:rFonts w:hint="eastAsia"/>
          <w:color w:val="auto"/>
        </w:rPr>
        <w:t>的分级确定</w:t>
      </w:r>
      <w:r>
        <w:tab/>
      </w:r>
      <w:r>
        <w:fldChar w:fldCharType="begin"/>
      </w:r>
      <w:r>
        <w:instrText xml:space="preserve"> PAGEREF _Toc84844303 \h </w:instrText>
      </w:r>
      <w:r>
        <w:fldChar w:fldCharType="separate"/>
      </w:r>
      <w:r>
        <w:t>147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"_Toc84844304" </w:instrText>
      </w:r>
      <w:r>
        <w:fldChar w:fldCharType="separate"/>
      </w:r>
      <w:r>
        <w:rPr>
          <w:rStyle w:val="39"/>
          <w:color w:val="auto"/>
        </w:rPr>
        <w:t>6.3.3</w:t>
      </w:r>
      <w:r>
        <w:rPr>
          <w:rStyle w:val="39"/>
          <w:rFonts w:hint="eastAsia"/>
          <w:color w:val="auto"/>
        </w:rPr>
        <w:t>环境风险潜势判断</w:t>
      </w:r>
      <w:r>
        <w:tab/>
      </w:r>
      <w:r>
        <w:fldChar w:fldCharType="begin"/>
      </w:r>
      <w:r>
        <w:instrText xml:space="preserve"> PAGEREF _Toc84844304 \h </w:instrText>
      </w:r>
      <w:r>
        <w:fldChar w:fldCharType="separate"/>
      </w:r>
      <w:r>
        <w:t>148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"_Toc84844305" </w:instrText>
      </w:r>
      <w:r>
        <w:fldChar w:fldCharType="separate"/>
      </w:r>
      <w:r>
        <w:rPr>
          <w:rStyle w:val="39"/>
          <w:color w:val="auto"/>
        </w:rPr>
        <w:t>6.4</w:t>
      </w:r>
      <w:r>
        <w:rPr>
          <w:rStyle w:val="39"/>
          <w:rFonts w:hint="eastAsia"/>
          <w:color w:val="auto"/>
        </w:rPr>
        <w:t>评价等级及评价范围</w:t>
      </w:r>
      <w:r>
        <w:tab/>
      </w:r>
      <w:r>
        <w:fldChar w:fldCharType="begin"/>
      </w:r>
      <w:r>
        <w:instrText xml:space="preserve"> PAGEREF _Toc84844305 \h </w:instrText>
      </w:r>
      <w:r>
        <w:fldChar w:fldCharType="separate"/>
      </w:r>
      <w:r>
        <w:t>149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"_Toc84844306" </w:instrText>
      </w:r>
      <w:r>
        <w:fldChar w:fldCharType="separate"/>
      </w:r>
      <w:r>
        <w:rPr>
          <w:rStyle w:val="39"/>
          <w:color w:val="auto"/>
        </w:rPr>
        <w:t>6.4.1</w:t>
      </w:r>
      <w:r>
        <w:rPr>
          <w:rStyle w:val="39"/>
          <w:rFonts w:hint="eastAsia"/>
          <w:color w:val="auto"/>
        </w:rPr>
        <w:t>评价等级</w:t>
      </w:r>
      <w:r>
        <w:tab/>
      </w:r>
      <w:r>
        <w:fldChar w:fldCharType="begin"/>
      </w:r>
      <w:r>
        <w:instrText xml:space="preserve"> PAGEREF _Toc84844306 \h </w:instrText>
      </w:r>
      <w:r>
        <w:fldChar w:fldCharType="separate"/>
      </w:r>
      <w:r>
        <w:t>149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"_Toc84844307" </w:instrText>
      </w:r>
      <w:r>
        <w:fldChar w:fldCharType="separate"/>
      </w:r>
      <w:r>
        <w:rPr>
          <w:rStyle w:val="39"/>
          <w:color w:val="auto"/>
        </w:rPr>
        <w:t>6.4.2</w:t>
      </w:r>
      <w:r>
        <w:rPr>
          <w:rStyle w:val="39"/>
          <w:rFonts w:hint="eastAsia"/>
          <w:color w:val="auto"/>
        </w:rPr>
        <w:t>评价范围</w:t>
      </w:r>
      <w:r>
        <w:tab/>
      </w:r>
      <w:r>
        <w:fldChar w:fldCharType="begin"/>
      </w:r>
      <w:r>
        <w:instrText xml:space="preserve"> PAGEREF _Toc84844307 \h </w:instrText>
      </w:r>
      <w:r>
        <w:fldChar w:fldCharType="separate"/>
      </w:r>
      <w:r>
        <w:t>150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"_Toc84844308" </w:instrText>
      </w:r>
      <w:r>
        <w:fldChar w:fldCharType="separate"/>
      </w:r>
      <w:r>
        <w:rPr>
          <w:rStyle w:val="39"/>
          <w:color w:val="auto"/>
        </w:rPr>
        <w:t>6.5</w:t>
      </w:r>
      <w:r>
        <w:rPr>
          <w:rStyle w:val="39"/>
          <w:rFonts w:hint="eastAsia"/>
          <w:color w:val="auto"/>
        </w:rPr>
        <w:t>风险识别</w:t>
      </w:r>
      <w:r>
        <w:tab/>
      </w:r>
      <w:r>
        <w:fldChar w:fldCharType="begin"/>
      </w:r>
      <w:r>
        <w:instrText xml:space="preserve"> PAGEREF _Toc84844308 \h </w:instrText>
      </w:r>
      <w:r>
        <w:fldChar w:fldCharType="separate"/>
      </w:r>
      <w:r>
        <w:t>150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"_Toc84844309" </w:instrText>
      </w:r>
      <w:r>
        <w:fldChar w:fldCharType="separate"/>
      </w:r>
      <w:r>
        <w:rPr>
          <w:rStyle w:val="39"/>
          <w:color w:val="auto"/>
        </w:rPr>
        <w:t>6.5.1</w:t>
      </w:r>
      <w:r>
        <w:rPr>
          <w:rStyle w:val="39"/>
          <w:rFonts w:hint="eastAsia"/>
          <w:color w:val="auto"/>
        </w:rPr>
        <w:t>物质危险性识别</w:t>
      </w:r>
      <w:r>
        <w:tab/>
      </w:r>
      <w:r>
        <w:fldChar w:fldCharType="begin"/>
      </w:r>
      <w:r>
        <w:instrText xml:space="preserve"> PAGEREF _Toc84844309 \h </w:instrText>
      </w:r>
      <w:r>
        <w:fldChar w:fldCharType="separate"/>
      </w:r>
      <w:r>
        <w:t>150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"_Toc84844310" </w:instrText>
      </w:r>
      <w:r>
        <w:fldChar w:fldCharType="separate"/>
      </w:r>
      <w:r>
        <w:rPr>
          <w:rStyle w:val="39"/>
          <w:color w:val="auto"/>
        </w:rPr>
        <w:t>6.5.2</w:t>
      </w:r>
      <w:r>
        <w:rPr>
          <w:rStyle w:val="39"/>
          <w:rFonts w:hint="eastAsia"/>
          <w:color w:val="auto"/>
        </w:rPr>
        <w:t>生产系统危险性识别</w:t>
      </w:r>
      <w:r>
        <w:tab/>
      </w:r>
      <w:r>
        <w:fldChar w:fldCharType="begin"/>
      </w:r>
      <w:r>
        <w:instrText xml:space="preserve"> PAGEREF _Toc84844310 \h </w:instrText>
      </w:r>
      <w:r>
        <w:fldChar w:fldCharType="separate"/>
      </w:r>
      <w:r>
        <w:t>151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"_Toc84844311" </w:instrText>
      </w:r>
      <w:r>
        <w:fldChar w:fldCharType="separate"/>
      </w:r>
      <w:r>
        <w:rPr>
          <w:rStyle w:val="39"/>
          <w:color w:val="auto"/>
        </w:rPr>
        <w:t>6.5.3</w:t>
      </w:r>
      <w:r>
        <w:rPr>
          <w:rStyle w:val="39"/>
          <w:rFonts w:hint="eastAsia"/>
          <w:color w:val="auto"/>
        </w:rPr>
        <w:t>风险识别结果</w:t>
      </w:r>
      <w:r>
        <w:tab/>
      </w:r>
      <w:r>
        <w:fldChar w:fldCharType="begin"/>
      </w:r>
      <w:r>
        <w:instrText xml:space="preserve"> PAGEREF _Toc84844311 \h </w:instrText>
      </w:r>
      <w:r>
        <w:fldChar w:fldCharType="separate"/>
      </w:r>
      <w:r>
        <w:t>153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"_Toc84844312" </w:instrText>
      </w:r>
      <w:r>
        <w:fldChar w:fldCharType="separate"/>
      </w:r>
      <w:r>
        <w:rPr>
          <w:rStyle w:val="39"/>
          <w:color w:val="auto"/>
        </w:rPr>
        <w:t>6.6</w:t>
      </w:r>
      <w:r>
        <w:rPr>
          <w:rStyle w:val="39"/>
          <w:rFonts w:hint="eastAsia"/>
          <w:color w:val="auto"/>
        </w:rPr>
        <w:t>风险事故情形分析</w:t>
      </w:r>
      <w:r>
        <w:tab/>
      </w:r>
      <w:r>
        <w:fldChar w:fldCharType="begin"/>
      </w:r>
      <w:r>
        <w:instrText xml:space="preserve"> PAGEREF _Toc84844312 \h </w:instrText>
      </w:r>
      <w:r>
        <w:fldChar w:fldCharType="separate"/>
      </w:r>
      <w:r>
        <w:t>155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"_Toc84844313" </w:instrText>
      </w:r>
      <w:r>
        <w:fldChar w:fldCharType="separate"/>
      </w:r>
      <w:r>
        <w:rPr>
          <w:rStyle w:val="39"/>
          <w:color w:val="auto"/>
        </w:rPr>
        <w:t>6.6.1</w:t>
      </w:r>
      <w:r>
        <w:rPr>
          <w:rStyle w:val="39"/>
          <w:rFonts w:hint="eastAsia"/>
          <w:color w:val="auto"/>
        </w:rPr>
        <w:t>风险事故情形设定</w:t>
      </w:r>
      <w:r>
        <w:tab/>
      </w:r>
      <w:r>
        <w:fldChar w:fldCharType="begin"/>
      </w:r>
      <w:r>
        <w:instrText xml:space="preserve"> PAGEREF _Toc84844313 \h </w:instrText>
      </w:r>
      <w:r>
        <w:fldChar w:fldCharType="separate"/>
      </w:r>
      <w:r>
        <w:t>155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"_Toc84844314" </w:instrText>
      </w:r>
      <w:r>
        <w:fldChar w:fldCharType="separate"/>
      </w:r>
      <w:r>
        <w:rPr>
          <w:rStyle w:val="39"/>
          <w:color w:val="auto"/>
        </w:rPr>
        <w:t>6.6.2</w:t>
      </w:r>
      <w:r>
        <w:rPr>
          <w:rStyle w:val="39"/>
          <w:rFonts w:hint="eastAsia"/>
          <w:color w:val="auto"/>
        </w:rPr>
        <w:t>事故概率</w:t>
      </w:r>
      <w:r>
        <w:tab/>
      </w:r>
      <w:r>
        <w:fldChar w:fldCharType="begin"/>
      </w:r>
      <w:r>
        <w:instrText xml:space="preserve"> PAGEREF _Toc84844314 \h </w:instrText>
      </w:r>
      <w:r>
        <w:fldChar w:fldCharType="separate"/>
      </w:r>
      <w:r>
        <w:t>156</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"_Toc84844315" </w:instrText>
      </w:r>
      <w:r>
        <w:fldChar w:fldCharType="separate"/>
      </w:r>
      <w:r>
        <w:rPr>
          <w:rStyle w:val="39"/>
          <w:color w:val="auto"/>
        </w:rPr>
        <w:t>6.7</w:t>
      </w:r>
      <w:r>
        <w:rPr>
          <w:rStyle w:val="39"/>
          <w:rFonts w:hint="eastAsia"/>
          <w:color w:val="auto"/>
        </w:rPr>
        <w:t>源强分析</w:t>
      </w:r>
      <w:r>
        <w:tab/>
      </w:r>
      <w:r>
        <w:fldChar w:fldCharType="begin"/>
      </w:r>
      <w:r>
        <w:instrText xml:space="preserve"> PAGEREF _Toc84844315 \h </w:instrText>
      </w:r>
      <w:r>
        <w:fldChar w:fldCharType="separate"/>
      </w:r>
      <w:r>
        <w:t>157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"_Toc84844316" </w:instrText>
      </w:r>
      <w:r>
        <w:fldChar w:fldCharType="separate"/>
      </w:r>
      <w:r>
        <w:rPr>
          <w:rStyle w:val="39"/>
          <w:color w:val="auto"/>
        </w:rPr>
        <w:t>6.7.1</w:t>
      </w:r>
      <w:r>
        <w:rPr>
          <w:rStyle w:val="39"/>
          <w:rFonts w:hint="eastAsia"/>
          <w:color w:val="auto"/>
        </w:rPr>
        <w:t>泄漏事故源强确定</w:t>
      </w:r>
      <w:r>
        <w:tab/>
      </w:r>
      <w:r>
        <w:fldChar w:fldCharType="begin"/>
      </w:r>
      <w:r>
        <w:instrText xml:space="preserve"> PAGEREF _Toc84844316 \h </w:instrText>
      </w:r>
      <w:r>
        <w:fldChar w:fldCharType="separate"/>
      </w:r>
      <w:r>
        <w:t>157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"_Toc84844317" </w:instrText>
      </w:r>
      <w:r>
        <w:fldChar w:fldCharType="separate"/>
      </w:r>
      <w:r>
        <w:rPr>
          <w:rStyle w:val="39"/>
          <w:color w:val="auto"/>
        </w:rPr>
        <w:t>6.7.2</w:t>
      </w:r>
      <w:r>
        <w:rPr>
          <w:rStyle w:val="39"/>
          <w:rFonts w:hint="eastAsia"/>
          <w:color w:val="auto"/>
        </w:rPr>
        <w:t>燃爆次生污染事故源强</w:t>
      </w:r>
      <w:r>
        <w:tab/>
      </w:r>
      <w:r>
        <w:fldChar w:fldCharType="begin"/>
      </w:r>
      <w:r>
        <w:instrText xml:space="preserve"> PAGEREF _Toc84844317 \h </w:instrText>
      </w:r>
      <w:r>
        <w:fldChar w:fldCharType="separate"/>
      </w:r>
      <w:r>
        <w:t>158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"_Toc84844318" </w:instrText>
      </w:r>
      <w:r>
        <w:fldChar w:fldCharType="separate"/>
      </w:r>
      <w:r>
        <w:rPr>
          <w:rStyle w:val="39"/>
          <w:color w:val="auto"/>
        </w:rPr>
        <w:t xml:space="preserve">6.8 </w:t>
      </w:r>
      <w:r>
        <w:rPr>
          <w:rStyle w:val="39"/>
          <w:rFonts w:hint="eastAsia"/>
          <w:color w:val="auto"/>
        </w:rPr>
        <w:t>风险预测与评价</w:t>
      </w:r>
      <w:r>
        <w:tab/>
      </w:r>
      <w:r>
        <w:fldChar w:fldCharType="begin"/>
      </w:r>
      <w:r>
        <w:instrText xml:space="preserve"> PAGEREF _Toc84844318 \h </w:instrText>
      </w:r>
      <w:r>
        <w:fldChar w:fldCharType="separate"/>
      </w:r>
      <w:r>
        <w:t>158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"_Toc84844319" </w:instrText>
      </w:r>
      <w:r>
        <w:fldChar w:fldCharType="separate"/>
      </w:r>
      <w:r>
        <w:rPr>
          <w:rStyle w:val="39"/>
          <w:color w:val="auto"/>
        </w:rPr>
        <w:t>6.8.1</w:t>
      </w:r>
      <w:r>
        <w:rPr>
          <w:rStyle w:val="39"/>
          <w:rFonts w:hint="eastAsia"/>
          <w:color w:val="auto"/>
        </w:rPr>
        <w:t>大气环境风险分析</w:t>
      </w:r>
      <w:r>
        <w:tab/>
      </w:r>
      <w:r>
        <w:fldChar w:fldCharType="begin"/>
      </w:r>
      <w:r>
        <w:instrText xml:space="preserve"> PAGEREF _Toc84844319 \h </w:instrText>
      </w:r>
      <w:r>
        <w:fldChar w:fldCharType="separate"/>
      </w:r>
      <w:r>
        <w:t>158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"_Toc84844320" </w:instrText>
      </w:r>
      <w:r>
        <w:fldChar w:fldCharType="separate"/>
      </w:r>
      <w:r>
        <w:rPr>
          <w:rStyle w:val="39"/>
          <w:color w:val="auto"/>
        </w:rPr>
        <w:t>6.8.2</w:t>
      </w:r>
      <w:r>
        <w:rPr>
          <w:rStyle w:val="39"/>
          <w:rFonts w:hint="eastAsia"/>
          <w:color w:val="auto"/>
        </w:rPr>
        <w:t>地表水环境风险分析</w:t>
      </w:r>
      <w:r>
        <w:tab/>
      </w:r>
      <w:r>
        <w:fldChar w:fldCharType="begin"/>
      </w:r>
      <w:r>
        <w:instrText xml:space="preserve"> PAGEREF _Toc84844320 \h </w:instrText>
      </w:r>
      <w:r>
        <w:fldChar w:fldCharType="separate"/>
      </w:r>
      <w:r>
        <w:t>166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"_Toc84844321" </w:instrText>
      </w:r>
      <w:r>
        <w:fldChar w:fldCharType="separate"/>
      </w:r>
      <w:r>
        <w:rPr>
          <w:rStyle w:val="39"/>
          <w:color w:val="auto"/>
        </w:rPr>
        <w:t>6.8.3</w:t>
      </w:r>
      <w:r>
        <w:rPr>
          <w:rStyle w:val="39"/>
          <w:rFonts w:hint="eastAsia"/>
          <w:color w:val="auto"/>
        </w:rPr>
        <w:t>地下水环境风险分析</w:t>
      </w:r>
      <w:r>
        <w:tab/>
      </w:r>
      <w:r>
        <w:fldChar w:fldCharType="begin"/>
      </w:r>
      <w:r>
        <w:instrText xml:space="preserve"> PAGEREF _Toc84844321 \h </w:instrText>
      </w:r>
      <w:r>
        <w:fldChar w:fldCharType="separate"/>
      </w:r>
      <w:r>
        <w:t>170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"_Toc84844322" </w:instrText>
      </w:r>
      <w:r>
        <w:fldChar w:fldCharType="separate"/>
      </w:r>
      <w:r>
        <w:rPr>
          <w:rStyle w:val="39"/>
          <w:color w:val="auto"/>
        </w:rPr>
        <w:t>6.8.4</w:t>
      </w:r>
      <w:r>
        <w:rPr>
          <w:rStyle w:val="39"/>
          <w:rFonts w:hint="eastAsia"/>
          <w:color w:val="auto"/>
        </w:rPr>
        <w:t>环境风险评价</w:t>
      </w:r>
      <w:r>
        <w:tab/>
      </w:r>
      <w:r>
        <w:fldChar w:fldCharType="begin"/>
      </w:r>
      <w:r>
        <w:instrText xml:space="preserve"> PAGEREF _Toc84844322 \h </w:instrText>
      </w:r>
      <w:r>
        <w:fldChar w:fldCharType="separate"/>
      </w:r>
      <w:r>
        <w:t>171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"_Toc84844323" </w:instrText>
      </w:r>
      <w:r>
        <w:fldChar w:fldCharType="separate"/>
      </w:r>
      <w:r>
        <w:rPr>
          <w:rStyle w:val="39"/>
          <w:color w:val="auto"/>
        </w:rPr>
        <w:t>6.9</w:t>
      </w:r>
      <w:r>
        <w:rPr>
          <w:rStyle w:val="39"/>
          <w:rFonts w:hint="eastAsia"/>
          <w:color w:val="auto"/>
        </w:rPr>
        <w:t>环境风险管理</w:t>
      </w:r>
      <w:r>
        <w:tab/>
      </w:r>
      <w:r>
        <w:fldChar w:fldCharType="begin"/>
      </w:r>
      <w:r>
        <w:instrText xml:space="preserve"> PAGEREF _Toc84844323 \h </w:instrText>
      </w:r>
      <w:r>
        <w:fldChar w:fldCharType="separate"/>
      </w:r>
      <w:r>
        <w:t>173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"_Toc84844324" </w:instrText>
      </w:r>
      <w:r>
        <w:fldChar w:fldCharType="separate"/>
      </w:r>
      <w:r>
        <w:rPr>
          <w:rStyle w:val="39"/>
          <w:color w:val="auto"/>
        </w:rPr>
        <w:t>6.9.1</w:t>
      </w:r>
      <w:r>
        <w:rPr>
          <w:rStyle w:val="39"/>
          <w:rFonts w:hint="eastAsia"/>
          <w:color w:val="auto"/>
        </w:rPr>
        <w:t>环境风险管理目标</w:t>
      </w:r>
      <w:r>
        <w:tab/>
      </w:r>
      <w:r>
        <w:fldChar w:fldCharType="begin"/>
      </w:r>
      <w:r>
        <w:instrText xml:space="preserve"> PAGEREF _Toc84844324 \h </w:instrText>
      </w:r>
      <w:r>
        <w:fldChar w:fldCharType="separate"/>
      </w:r>
      <w:r>
        <w:t>173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"_Toc84844325" </w:instrText>
      </w:r>
      <w:r>
        <w:fldChar w:fldCharType="separate"/>
      </w:r>
      <w:r>
        <w:rPr>
          <w:rStyle w:val="39"/>
          <w:color w:val="auto"/>
        </w:rPr>
        <w:t>6.9.2</w:t>
      </w:r>
      <w:r>
        <w:rPr>
          <w:rStyle w:val="39"/>
          <w:rFonts w:hint="eastAsia"/>
          <w:color w:val="auto"/>
        </w:rPr>
        <w:t>环境风险防范措施</w:t>
      </w:r>
      <w:r>
        <w:tab/>
      </w:r>
      <w:r>
        <w:fldChar w:fldCharType="begin"/>
      </w:r>
      <w:r>
        <w:instrText xml:space="preserve"> PAGEREF _Toc84844325 \h </w:instrText>
      </w:r>
      <w:r>
        <w:fldChar w:fldCharType="separate"/>
      </w:r>
      <w:r>
        <w:t>173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"_Toc84844326" </w:instrText>
      </w:r>
      <w:r>
        <w:fldChar w:fldCharType="separate"/>
      </w:r>
      <w:r>
        <w:rPr>
          <w:rStyle w:val="39"/>
          <w:color w:val="auto"/>
        </w:rPr>
        <w:t>6.9.3</w:t>
      </w:r>
      <w:r>
        <w:rPr>
          <w:rStyle w:val="39"/>
          <w:rFonts w:hint="eastAsia"/>
          <w:color w:val="auto"/>
        </w:rPr>
        <w:t>应急处置措施</w:t>
      </w:r>
      <w:r>
        <w:tab/>
      </w:r>
      <w:r>
        <w:fldChar w:fldCharType="begin"/>
      </w:r>
      <w:r>
        <w:instrText xml:space="preserve"> PAGEREF _Toc84844326 \h </w:instrText>
      </w:r>
      <w:r>
        <w:fldChar w:fldCharType="separate"/>
      </w:r>
      <w:r>
        <w:t>179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"_Toc84844327" </w:instrText>
      </w:r>
      <w:r>
        <w:fldChar w:fldCharType="separate"/>
      </w:r>
      <w:r>
        <w:rPr>
          <w:rStyle w:val="39"/>
          <w:color w:val="auto"/>
        </w:rPr>
        <w:t>6.9.4</w:t>
      </w:r>
      <w:r>
        <w:rPr>
          <w:rStyle w:val="39"/>
          <w:rFonts w:hint="eastAsia"/>
          <w:color w:val="auto"/>
        </w:rPr>
        <w:t>环境应急监测</w:t>
      </w:r>
      <w:r>
        <w:tab/>
      </w:r>
      <w:r>
        <w:fldChar w:fldCharType="begin"/>
      </w:r>
      <w:r>
        <w:instrText xml:space="preserve"> PAGEREF _Toc84844327 \h </w:instrText>
      </w:r>
      <w:r>
        <w:fldChar w:fldCharType="separate"/>
      </w:r>
      <w:r>
        <w:t>183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"_Toc84844328" </w:instrText>
      </w:r>
      <w:r>
        <w:fldChar w:fldCharType="separate"/>
      </w:r>
      <w:r>
        <w:rPr>
          <w:rStyle w:val="39"/>
          <w:color w:val="auto"/>
        </w:rPr>
        <w:t>6.9.5</w:t>
      </w:r>
      <w:r>
        <w:rPr>
          <w:rStyle w:val="39"/>
          <w:rFonts w:hint="eastAsia"/>
          <w:color w:val="auto"/>
        </w:rPr>
        <w:t>应急预案编制要求</w:t>
      </w:r>
      <w:r>
        <w:tab/>
      </w:r>
      <w:r>
        <w:fldChar w:fldCharType="begin"/>
      </w:r>
      <w:r>
        <w:instrText xml:space="preserve"> PAGEREF _Toc84844328 \h </w:instrText>
      </w:r>
      <w:r>
        <w:fldChar w:fldCharType="separate"/>
      </w:r>
      <w:r>
        <w:t>184</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"_Toc84844329" </w:instrText>
      </w:r>
      <w:r>
        <w:fldChar w:fldCharType="separate"/>
      </w:r>
      <w:r>
        <w:rPr>
          <w:rStyle w:val="39"/>
          <w:color w:val="auto"/>
        </w:rPr>
        <w:t>6.10</w:t>
      </w:r>
      <w:r>
        <w:rPr>
          <w:rStyle w:val="39"/>
          <w:rFonts w:hint="eastAsia"/>
          <w:color w:val="auto"/>
        </w:rPr>
        <w:t>风险防范措施及估算投资</w:t>
      </w:r>
      <w:r>
        <w:tab/>
      </w:r>
      <w:r>
        <w:fldChar w:fldCharType="begin"/>
      </w:r>
      <w:r>
        <w:instrText xml:space="preserve"> PAGEREF _Toc84844329 \h </w:instrText>
      </w:r>
      <w:r>
        <w:fldChar w:fldCharType="separate"/>
      </w:r>
      <w:r>
        <w:t>185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"_Toc84844330" </w:instrText>
      </w:r>
      <w:r>
        <w:fldChar w:fldCharType="separate"/>
      </w:r>
      <w:r>
        <w:rPr>
          <w:rStyle w:val="39"/>
          <w:color w:val="auto"/>
        </w:rPr>
        <w:t>6.11</w:t>
      </w:r>
      <w:r>
        <w:rPr>
          <w:rStyle w:val="39"/>
          <w:rFonts w:hint="eastAsia"/>
          <w:color w:val="auto"/>
        </w:rPr>
        <w:t>评价结论与建议</w:t>
      </w:r>
      <w:r>
        <w:tab/>
      </w:r>
      <w:r>
        <w:fldChar w:fldCharType="begin"/>
      </w:r>
      <w:r>
        <w:instrText xml:space="preserve"> PAGEREF _Toc84844330 \h </w:instrText>
      </w:r>
      <w:r>
        <w:fldChar w:fldCharType="separate"/>
      </w:r>
      <w:r>
        <w:t>186</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"_Toc84844331" </w:instrText>
      </w:r>
      <w:r>
        <w:fldChar w:fldCharType="separate"/>
      </w:r>
      <w:r>
        <w:rPr>
          <w:rStyle w:val="39"/>
          <w:color w:val="auto"/>
        </w:rPr>
        <w:t>7</w:t>
      </w:r>
      <w:r>
        <w:rPr>
          <w:rStyle w:val="39"/>
          <w:rFonts w:hint="eastAsia"/>
          <w:color w:val="auto"/>
        </w:rPr>
        <w:t>污染防治措施及技术经济分析</w:t>
      </w:r>
      <w:r>
        <w:tab/>
      </w:r>
      <w:r>
        <w:fldChar w:fldCharType="begin"/>
      </w:r>
      <w:r>
        <w:instrText xml:space="preserve"> PAGEREF _Toc84844331 \h </w:instrText>
      </w:r>
      <w:r>
        <w:fldChar w:fldCharType="separate"/>
      </w:r>
      <w:r>
        <w:t>191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"_Toc84844332" </w:instrText>
      </w:r>
      <w:r>
        <w:fldChar w:fldCharType="separate"/>
      </w:r>
      <w:r>
        <w:rPr>
          <w:rStyle w:val="39"/>
          <w:color w:val="auto"/>
        </w:rPr>
        <w:t>7.1</w:t>
      </w:r>
      <w:r>
        <w:rPr>
          <w:rStyle w:val="39"/>
          <w:rFonts w:hint="eastAsia"/>
          <w:color w:val="auto"/>
        </w:rPr>
        <w:t>污染防治措施</w:t>
      </w:r>
      <w:r>
        <w:tab/>
      </w:r>
      <w:r>
        <w:fldChar w:fldCharType="begin"/>
      </w:r>
      <w:r>
        <w:instrText xml:space="preserve"> PAGEREF _Toc84844332 \h </w:instrText>
      </w:r>
      <w:r>
        <w:fldChar w:fldCharType="separate"/>
      </w:r>
      <w:r>
        <w:t>191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"_Toc84844333" </w:instrText>
      </w:r>
      <w:r>
        <w:fldChar w:fldCharType="separate"/>
      </w:r>
      <w:r>
        <w:rPr>
          <w:rStyle w:val="39"/>
          <w:color w:val="auto"/>
        </w:rPr>
        <w:t>7.1.1</w:t>
      </w:r>
      <w:r>
        <w:rPr>
          <w:rStyle w:val="39"/>
          <w:rFonts w:hint="eastAsia"/>
          <w:color w:val="auto"/>
        </w:rPr>
        <w:t>废水</w:t>
      </w:r>
      <w:r>
        <w:tab/>
      </w:r>
      <w:r>
        <w:fldChar w:fldCharType="begin"/>
      </w:r>
      <w:r>
        <w:instrText xml:space="preserve"> PAGEREF _Toc84844333 \h </w:instrText>
      </w:r>
      <w:r>
        <w:fldChar w:fldCharType="separate"/>
      </w:r>
      <w:r>
        <w:t>191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"_Toc84844334" </w:instrText>
      </w:r>
      <w:r>
        <w:fldChar w:fldCharType="separate"/>
      </w:r>
      <w:r>
        <w:rPr>
          <w:rStyle w:val="39"/>
          <w:color w:val="auto"/>
        </w:rPr>
        <w:t>7.1.2</w:t>
      </w:r>
      <w:r>
        <w:rPr>
          <w:rStyle w:val="39"/>
          <w:rFonts w:hint="eastAsia"/>
          <w:color w:val="auto"/>
        </w:rPr>
        <w:t>废气</w:t>
      </w:r>
      <w:r>
        <w:tab/>
      </w:r>
      <w:r>
        <w:fldChar w:fldCharType="begin"/>
      </w:r>
      <w:r>
        <w:instrText xml:space="preserve"> PAGEREF _Toc84844334 \h </w:instrText>
      </w:r>
      <w:r>
        <w:fldChar w:fldCharType="separate"/>
      </w:r>
      <w:r>
        <w:t>194</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"_Toc84844335" </w:instrText>
      </w:r>
      <w:r>
        <w:fldChar w:fldCharType="separate"/>
      </w:r>
      <w:r>
        <w:rPr>
          <w:rStyle w:val="39"/>
          <w:color w:val="auto"/>
        </w:rPr>
        <w:t>7.1.3</w:t>
      </w:r>
      <w:r>
        <w:rPr>
          <w:rStyle w:val="39"/>
          <w:rFonts w:hint="eastAsia"/>
          <w:color w:val="auto"/>
        </w:rPr>
        <w:t>固废</w:t>
      </w:r>
      <w:r>
        <w:tab/>
      </w:r>
      <w:r>
        <w:fldChar w:fldCharType="begin"/>
      </w:r>
      <w:r>
        <w:instrText xml:space="preserve"> PAGEREF _Toc84844335 \h </w:instrText>
      </w:r>
      <w:r>
        <w:fldChar w:fldCharType="separate"/>
      </w:r>
      <w:r>
        <w:t>195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"_Toc84844336" </w:instrText>
      </w:r>
      <w:r>
        <w:fldChar w:fldCharType="separate"/>
      </w:r>
      <w:r>
        <w:rPr>
          <w:rStyle w:val="39"/>
          <w:color w:val="auto"/>
        </w:rPr>
        <w:t>7.1.4</w:t>
      </w:r>
      <w:r>
        <w:rPr>
          <w:rStyle w:val="39"/>
          <w:rFonts w:hint="eastAsia"/>
          <w:color w:val="auto"/>
        </w:rPr>
        <w:t>噪声</w:t>
      </w:r>
      <w:r>
        <w:tab/>
      </w:r>
      <w:r>
        <w:fldChar w:fldCharType="begin"/>
      </w:r>
      <w:r>
        <w:instrText xml:space="preserve"> PAGEREF _Toc84844336 \h </w:instrText>
      </w:r>
      <w:r>
        <w:fldChar w:fldCharType="separate"/>
      </w:r>
      <w:r>
        <w:t>197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"_Toc84844337" </w:instrText>
      </w:r>
      <w:r>
        <w:fldChar w:fldCharType="separate"/>
      </w:r>
      <w:r>
        <w:rPr>
          <w:rStyle w:val="39"/>
          <w:color w:val="auto"/>
        </w:rPr>
        <w:t>7.1.5</w:t>
      </w:r>
      <w:r>
        <w:rPr>
          <w:rStyle w:val="39"/>
          <w:rFonts w:hint="eastAsia"/>
          <w:color w:val="auto"/>
        </w:rPr>
        <w:t>地下水</w:t>
      </w:r>
      <w:r>
        <w:tab/>
      </w:r>
      <w:r>
        <w:fldChar w:fldCharType="begin"/>
      </w:r>
      <w:r>
        <w:instrText xml:space="preserve"> PAGEREF _Toc84844337 \h </w:instrText>
      </w:r>
      <w:r>
        <w:fldChar w:fldCharType="separate"/>
      </w:r>
      <w:r>
        <w:t>198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"_Toc84844338" </w:instrText>
      </w:r>
      <w:r>
        <w:fldChar w:fldCharType="separate"/>
      </w:r>
      <w:r>
        <w:rPr>
          <w:rStyle w:val="39"/>
          <w:color w:val="auto"/>
        </w:rPr>
        <w:t>7.1.6</w:t>
      </w:r>
      <w:r>
        <w:rPr>
          <w:rStyle w:val="39"/>
          <w:rFonts w:hint="eastAsia"/>
          <w:color w:val="auto"/>
        </w:rPr>
        <w:t>土壤</w:t>
      </w:r>
      <w:r>
        <w:tab/>
      </w:r>
      <w:r>
        <w:fldChar w:fldCharType="begin"/>
      </w:r>
      <w:r>
        <w:instrText xml:space="preserve"> PAGEREF _Toc84844338 \h </w:instrText>
      </w:r>
      <w:r>
        <w:fldChar w:fldCharType="separate"/>
      </w:r>
      <w:r>
        <w:t>200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"_Toc84844339" </w:instrText>
      </w:r>
      <w:r>
        <w:fldChar w:fldCharType="separate"/>
      </w:r>
      <w:r>
        <w:rPr>
          <w:rStyle w:val="39"/>
          <w:color w:val="auto"/>
        </w:rPr>
        <w:t>7.2</w:t>
      </w:r>
      <w:r>
        <w:rPr>
          <w:rStyle w:val="39"/>
          <w:rFonts w:hint="eastAsia"/>
          <w:color w:val="auto"/>
        </w:rPr>
        <w:t>环保投资</w:t>
      </w:r>
      <w:r>
        <w:tab/>
      </w:r>
      <w:r>
        <w:fldChar w:fldCharType="begin"/>
      </w:r>
      <w:r>
        <w:instrText xml:space="preserve"> PAGEREF _Toc84844339 \h </w:instrText>
      </w:r>
      <w:r>
        <w:fldChar w:fldCharType="separate"/>
      </w:r>
      <w:r>
        <w:t>200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"_Toc84844340" </w:instrText>
      </w:r>
      <w:r>
        <w:fldChar w:fldCharType="separate"/>
      </w:r>
      <w:r>
        <w:rPr>
          <w:rStyle w:val="39"/>
          <w:color w:val="auto"/>
        </w:rPr>
        <w:t>8.3</w:t>
      </w:r>
      <w:r>
        <w:rPr>
          <w:rStyle w:val="39"/>
          <w:rFonts w:hint="eastAsia"/>
          <w:color w:val="auto"/>
        </w:rPr>
        <w:t>小结</w:t>
      </w:r>
      <w:r>
        <w:tab/>
      </w:r>
      <w:r>
        <w:fldChar w:fldCharType="begin"/>
      </w:r>
      <w:r>
        <w:instrText xml:space="preserve"> PAGEREF _Toc84844340 \h </w:instrText>
      </w:r>
      <w:r>
        <w:fldChar w:fldCharType="separate"/>
      </w:r>
      <w:r>
        <w:t>201</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"_Toc84844341" </w:instrText>
      </w:r>
      <w:r>
        <w:fldChar w:fldCharType="separate"/>
      </w:r>
      <w:r>
        <w:rPr>
          <w:rStyle w:val="39"/>
          <w:color w:val="auto"/>
        </w:rPr>
        <w:t>8</w:t>
      </w:r>
      <w:r>
        <w:rPr>
          <w:rStyle w:val="39"/>
          <w:rFonts w:hint="eastAsia"/>
          <w:color w:val="auto"/>
        </w:rPr>
        <w:t>环境经济损益分析</w:t>
      </w:r>
      <w:r>
        <w:tab/>
      </w:r>
      <w:r>
        <w:fldChar w:fldCharType="begin"/>
      </w:r>
      <w:r>
        <w:instrText xml:space="preserve"> PAGEREF _Toc84844341 \h </w:instrText>
      </w:r>
      <w:r>
        <w:fldChar w:fldCharType="separate"/>
      </w:r>
      <w:r>
        <w:t>205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"_Toc84844342" </w:instrText>
      </w:r>
      <w:r>
        <w:fldChar w:fldCharType="separate"/>
      </w:r>
      <w:r>
        <w:rPr>
          <w:rStyle w:val="39"/>
          <w:color w:val="auto"/>
        </w:rPr>
        <w:t>8.1</w:t>
      </w:r>
      <w:r>
        <w:rPr>
          <w:rStyle w:val="39"/>
          <w:rFonts w:hint="eastAsia"/>
          <w:color w:val="auto"/>
        </w:rPr>
        <w:t>环境保护费用</w:t>
      </w:r>
      <w:r>
        <w:tab/>
      </w:r>
      <w:r>
        <w:fldChar w:fldCharType="begin"/>
      </w:r>
      <w:r>
        <w:instrText xml:space="preserve"> PAGEREF _Toc84844342 \h </w:instrText>
      </w:r>
      <w:r>
        <w:fldChar w:fldCharType="separate"/>
      </w:r>
      <w:r>
        <w:t>205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"_Toc84844343" </w:instrText>
      </w:r>
      <w:r>
        <w:fldChar w:fldCharType="separate"/>
      </w:r>
      <w:r>
        <w:rPr>
          <w:rStyle w:val="39"/>
          <w:color w:val="auto"/>
        </w:rPr>
        <w:t>8.1.1</w:t>
      </w:r>
      <w:r>
        <w:rPr>
          <w:rStyle w:val="39"/>
          <w:rFonts w:hint="eastAsia"/>
          <w:color w:val="auto"/>
        </w:rPr>
        <w:t>环保设施投资</w:t>
      </w:r>
      <w:r>
        <w:tab/>
      </w:r>
      <w:r>
        <w:fldChar w:fldCharType="begin"/>
      </w:r>
      <w:r>
        <w:instrText xml:space="preserve"> PAGEREF _Toc84844343 \h </w:instrText>
      </w:r>
      <w:r>
        <w:fldChar w:fldCharType="separate"/>
      </w:r>
      <w:r>
        <w:t>205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"_Toc84844344" </w:instrText>
      </w:r>
      <w:r>
        <w:fldChar w:fldCharType="separate"/>
      </w:r>
      <w:r>
        <w:rPr>
          <w:rStyle w:val="39"/>
          <w:color w:val="auto"/>
        </w:rPr>
        <w:t>8.1.2</w:t>
      </w:r>
      <w:r>
        <w:rPr>
          <w:rStyle w:val="39"/>
          <w:rFonts w:hint="eastAsia"/>
          <w:color w:val="auto"/>
        </w:rPr>
        <w:t>环保运行费用</w:t>
      </w:r>
      <w:r>
        <w:tab/>
      </w:r>
      <w:r>
        <w:fldChar w:fldCharType="begin"/>
      </w:r>
      <w:r>
        <w:instrText xml:space="preserve"> PAGEREF _Toc84844344 \h </w:instrText>
      </w:r>
      <w:r>
        <w:fldChar w:fldCharType="separate"/>
      </w:r>
      <w:r>
        <w:t>205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"_Toc84844345" </w:instrText>
      </w:r>
      <w:r>
        <w:fldChar w:fldCharType="separate"/>
      </w:r>
      <w:r>
        <w:rPr>
          <w:rStyle w:val="39"/>
          <w:color w:val="auto"/>
        </w:rPr>
        <w:t>8.1.3</w:t>
      </w:r>
      <w:r>
        <w:rPr>
          <w:rStyle w:val="39"/>
          <w:rFonts w:hint="eastAsia"/>
          <w:color w:val="auto"/>
        </w:rPr>
        <w:t>环境保护费用</w:t>
      </w:r>
      <w:r>
        <w:tab/>
      </w:r>
      <w:r>
        <w:fldChar w:fldCharType="begin"/>
      </w:r>
      <w:r>
        <w:instrText xml:space="preserve"> PAGEREF _Toc84844345 \h </w:instrText>
      </w:r>
      <w:r>
        <w:fldChar w:fldCharType="separate"/>
      </w:r>
      <w:r>
        <w:t>206</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"_Toc84844346" </w:instrText>
      </w:r>
      <w:r>
        <w:fldChar w:fldCharType="separate"/>
      </w:r>
      <w:r>
        <w:rPr>
          <w:rStyle w:val="39"/>
          <w:color w:val="auto"/>
        </w:rPr>
        <w:t>8.2</w:t>
      </w:r>
      <w:r>
        <w:rPr>
          <w:rStyle w:val="39"/>
          <w:rFonts w:hint="eastAsia"/>
          <w:color w:val="auto"/>
        </w:rPr>
        <w:t>环境保护效益</w:t>
      </w:r>
      <w:r>
        <w:tab/>
      </w:r>
      <w:r>
        <w:fldChar w:fldCharType="begin"/>
      </w:r>
      <w:r>
        <w:instrText xml:space="preserve"> PAGEREF _Toc84844346 \h </w:instrText>
      </w:r>
      <w:r>
        <w:fldChar w:fldCharType="separate"/>
      </w:r>
      <w:r>
        <w:t>206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"_Toc84844347" </w:instrText>
      </w:r>
      <w:r>
        <w:fldChar w:fldCharType="separate"/>
      </w:r>
      <w:r>
        <w:rPr>
          <w:rStyle w:val="39"/>
          <w:color w:val="auto"/>
        </w:rPr>
        <w:t>8.2.1</w:t>
      </w:r>
      <w:r>
        <w:rPr>
          <w:rStyle w:val="39"/>
          <w:rFonts w:hint="eastAsia"/>
          <w:color w:val="auto"/>
        </w:rPr>
        <w:t>直接经济效益</w:t>
      </w:r>
      <w:r>
        <w:tab/>
      </w:r>
      <w:r>
        <w:fldChar w:fldCharType="begin"/>
      </w:r>
      <w:r>
        <w:instrText xml:space="preserve"> PAGEREF _Toc84844347 \h </w:instrText>
      </w:r>
      <w:r>
        <w:fldChar w:fldCharType="separate"/>
      </w:r>
      <w:r>
        <w:t>206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"_Toc84844348" </w:instrText>
      </w:r>
      <w:r>
        <w:fldChar w:fldCharType="separate"/>
      </w:r>
      <w:r>
        <w:rPr>
          <w:rStyle w:val="39"/>
          <w:color w:val="auto"/>
        </w:rPr>
        <w:t>8.2.2</w:t>
      </w:r>
      <w:r>
        <w:rPr>
          <w:rStyle w:val="39"/>
          <w:rFonts w:hint="eastAsia"/>
          <w:color w:val="auto"/>
        </w:rPr>
        <w:t>间接经济效益</w:t>
      </w:r>
      <w:r>
        <w:tab/>
      </w:r>
      <w:r>
        <w:fldChar w:fldCharType="begin"/>
      </w:r>
      <w:r>
        <w:instrText xml:space="preserve"> PAGEREF _Toc84844348 \h </w:instrText>
      </w:r>
      <w:r>
        <w:fldChar w:fldCharType="separate"/>
      </w:r>
      <w:r>
        <w:t>206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"_Toc84844349" </w:instrText>
      </w:r>
      <w:r>
        <w:fldChar w:fldCharType="separate"/>
      </w:r>
      <w:r>
        <w:rPr>
          <w:rStyle w:val="39"/>
          <w:color w:val="auto"/>
        </w:rPr>
        <w:t>8.2.3</w:t>
      </w:r>
      <w:r>
        <w:rPr>
          <w:rStyle w:val="39"/>
          <w:rFonts w:hint="eastAsia"/>
          <w:color w:val="auto"/>
        </w:rPr>
        <w:t>环境保护效益合计</w:t>
      </w:r>
      <w:r>
        <w:tab/>
      </w:r>
      <w:r>
        <w:fldChar w:fldCharType="begin"/>
      </w:r>
      <w:r>
        <w:instrText xml:space="preserve"> PAGEREF _Toc84844349 \h </w:instrText>
      </w:r>
      <w:r>
        <w:fldChar w:fldCharType="separate"/>
      </w:r>
      <w:r>
        <w:t>207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"_Toc84844350" </w:instrText>
      </w:r>
      <w:r>
        <w:fldChar w:fldCharType="separate"/>
      </w:r>
      <w:r>
        <w:rPr>
          <w:rStyle w:val="39"/>
          <w:color w:val="auto"/>
        </w:rPr>
        <w:t>8.3</w:t>
      </w:r>
      <w:r>
        <w:rPr>
          <w:rStyle w:val="39"/>
          <w:rFonts w:hint="eastAsia"/>
          <w:color w:val="auto"/>
        </w:rPr>
        <w:t>环境影响经济损益分析</w:t>
      </w:r>
      <w:r>
        <w:tab/>
      </w:r>
      <w:r>
        <w:fldChar w:fldCharType="begin"/>
      </w:r>
      <w:r>
        <w:instrText xml:space="preserve"> PAGEREF _Toc84844350 \h </w:instrText>
      </w:r>
      <w:r>
        <w:fldChar w:fldCharType="separate"/>
      </w:r>
      <w:r>
        <w:t>207</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"_Toc84844351" </w:instrText>
      </w:r>
      <w:r>
        <w:fldChar w:fldCharType="separate"/>
      </w:r>
      <w:r>
        <w:rPr>
          <w:rStyle w:val="39"/>
          <w:color w:val="auto"/>
        </w:rPr>
        <w:t>9</w:t>
      </w:r>
      <w:r>
        <w:rPr>
          <w:rStyle w:val="39"/>
          <w:rFonts w:hint="eastAsia"/>
          <w:color w:val="auto"/>
        </w:rPr>
        <w:t>环境管理和环境监测制度</w:t>
      </w:r>
      <w:r>
        <w:tab/>
      </w:r>
      <w:r>
        <w:fldChar w:fldCharType="begin"/>
      </w:r>
      <w:r>
        <w:instrText xml:space="preserve"> PAGEREF _Toc84844351 \h </w:instrText>
      </w:r>
      <w:r>
        <w:fldChar w:fldCharType="separate"/>
      </w:r>
      <w:r>
        <w:t>208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"_Toc84844352" </w:instrText>
      </w:r>
      <w:r>
        <w:fldChar w:fldCharType="separate"/>
      </w:r>
      <w:r>
        <w:rPr>
          <w:rStyle w:val="39"/>
          <w:color w:val="auto"/>
        </w:rPr>
        <w:t>9.1ISO14000</w:t>
      </w:r>
      <w:r>
        <w:rPr>
          <w:rStyle w:val="39"/>
          <w:rFonts w:hint="eastAsia"/>
          <w:color w:val="auto"/>
        </w:rPr>
        <w:t>环境管理</w:t>
      </w:r>
      <w:r>
        <w:tab/>
      </w:r>
      <w:r>
        <w:fldChar w:fldCharType="begin"/>
      </w:r>
      <w:r>
        <w:instrText xml:space="preserve"> PAGEREF _Toc84844352 \h </w:instrText>
      </w:r>
      <w:r>
        <w:fldChar w:fldCharType="separate"/>
      </w:r>
      <w:r>
        <w:t>208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"_Toc84844353" </w:instrText>
      </w:r>
      <w:r>
        <w:fldChar w:fldCharType="separate"/>
      </w:r>
      <w:r>
        <w:rPr>
          <w:rStyle w:val="39"/>
          <w:color w:val="auto"/>
        </w:rPr>
        <w:t>9.1.1ISO14000</w:t>
      </w:r>
      <w:r>
        <w:rPr>
          <w:rStyle w:val="39"/>
          <w:rFonts w:hint="eastAsia"/>
          <w:color w:val="auto"/>
        </w:rPr>
        <w:t>标准简介</w:t>
      </w:r>
      <w:r>
        <w:tab/>
      </w:r>
      <w:r>
        <w:fldChar w:fldCharType="begin"/>
      </w:r>
      <w:r>
        <w:instrText xml:space="preserve"> PAGEREF _Toc84844353 \h </w:instrText>
      </w:r>
      <w:r>
        <w:fldChar w:fldCharType="separate"/>
      </w:r>
      <w:r>
        <w:t>208</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"_Toc84844354" </w:instrText>
      </w:r>
      <w:r>
        <w:fldChar w:fldCharType="separate"/>
      </w:r>
      <w:r>
        <w:rPr>
          <w:rStyle w:val="39"/>
          <w:color w:val="auto"/>
        </w:rPr>
        <w:t>9.1.2ISO14000</w:t>
      </w:r>
      <w:r>
        <w:rPr>
          <w:rStyle w:val="39"/>
          <w:rFonts w:hint="eastAsia"/>
          <w:color w:val="auto"/>
        </w:rPr>
        <w:t>标准的基本内容和要求</w:t>
      </w:r>
      <w:r>
        <w:tab/>
      </w:r>
      <w:r>
        <w:fldChar w:fldCharType="begin"/>
      </w:r>
      <w:r>
        <w:instrText xml:space="preserve"> PAGEREF _Toc84844354 \h </w:instrText>
      </w:r>
      <w:r>
        <w:fldChar w:fldCharType="separate"/>
      </w:r>
      <w:r>
        <w:t>208</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"_Toc84844355" </w:instrText>
      </w:r>
      <w:r>
        <w:fldChar w:fldCharType="separate"/>
      </w:r>
      <w:r>
        <w:rPr>
          <w:rStyle w:val="39"/>
          <w:color w:val="auto"/>
        </w:rPr>
        <w:t>9.2</w:t>
      </w:r>
      <w:r>
        <w:rPr>
          <w:rStyle w:val="39"/>
          <w:rFonts w:hint="eastAsia"/>
          <w:color w:val="auto"/>
        </w:rPr>
        <w:t>环境管理制度</w:t>
      </w:r>
      <w:r>
        <w:tab/>
      </w:r>
      <w:r>
        <w:fldChar w:fldCharType="begin"/>
      </w:r>
      <w:r>
        <w:instrText xml:space="preserve"> PAGEREF _Toc84844355 \h </w:instrText>
      </w:r>
      <w:r>
        <w:fldChar w:fldCharType="separate"/>
      </w:r>
      <w:r>
        <w:t>209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"_Toc84844356" </w:instrText>
      </w:r>
      <w:r>
        <w:fldChar w:fldCharType="separate"/>
      </w:r>
      <w:r>
        <w:rPr>
          <w:rStyle w:val="39"/>
          <w:color w:val="auto"/>
        </w:rPr>
        <w:t>9.2.1</w:t>
      </w:r>
      <w:r>
        <w:rPr>
          <w:rStyle w:val="39"/>
          <w:rFonts w:hint="eastAsia"/>
          <w:color w:val="auto"/>
        </w:rPr>
        <w:t>环境管理机构设置及职责</w:t>
      </w:r>
      <w:r>
        <w:tab/>
      </w:r>
      <w:r>
        <w:fldChar w:fldCharType="begin"/>
      </w:r>
      <w:r>
        <w:instrText xml:space="preserve"> PAGEREF _Toc84844356 \h </w:instrText>
      </w:r>
      <w:r>
        <w:fldChar w:fldCharType="separate"/>
      </w:r>
      <w:r>
        <w:t>209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"_Toc84844357" </w:instrText>
      </w:r>
      <w:r>
        <w:fldChar w:fldCharType="separate"/>
      </w:r>
      <w:r>
        <w:rPr>
          <w:rStyle w:val="39"/>
          <w:color w:val="auto"/>
        </w:rPr>
        <w:t>9.2.3</w:t>
      </w:r>
      <w:r>
        <w:rPr>
          <w:rStyle w:val="39"/>
          <w:rFonts w:hint="eastAsia"/>
          <w:color w:val="auto"/>
        </w:rPr>
        <w:t>环保管理台账</w:t>
      </w:r>
      <w:r>
        <w:tab/>
      </w:r>
      <w:r>
        <w:fldChar w:fldCharType="begin"/>
      </w:r>
      <w:r>
        <w:instrText xml:space="preserve"> PAGEREF _Toc84844357 \h </w:instrText>
      </w:r>
      <w:r>
        <w:fldChar w:fldCharType="separate"/>
      </w:r>
      <w:r>
        <w:t>210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"_Toc84844358" </w:instrText>
      </w:r>
      <w:r>
        <w:fldChar w:fldCharType="separate"/>
      </w:r>
      <w:r>
        <w:rPr>
          <w:rStyle w:val="39"/>
          <w:color w:val="auto"/>
        </w:rPr>
        <w:t>9.2.4</w:t>
      </w:r>
      <w:r>
        <w:rPr>
          <w:rStyle w:val="39"/>
          <w:rFonts w:hint="eastAsia"/>
          <w:color w:val="auto"/>
        </w:rPr>
        <w:t>保障计划</w:t>
      </w:r>
      <w:r>
        <w:tab/>
      </w:r>
      <w:r>
        <w:fldChar w:fldCharType="begin"/>
      </w:r>
      <w:r>
        <w:instrText xml:space="preserve"> PAGEREF _Toc84844358 \h </w:instrText>
      </w:r>
      <w:r>
        <w:fldChar w:fldCharType="separate"/>
      </w:r>
      <w:r>
        <w:t>210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"_Toc84844359" </w:instrText>
      </w:r>
      <w:r>
        <w:fldChar w:fldCharType="separate"/>
      </w:r>
      <w:r>
        <w:rPr>
          <w:rStyle w:val="39"/>
          <w:color w:val="auto"/>
        </w:rPr>
        <w:t>9.3</w:t>
      </w:r>
      <w:r>
        <w:rPr>
          <w:rStyle w:val="39"/>
          <w:rFonts w:hint="eastAsia"/>
          <w:color w:val="auto"/>
        </w:rPr>
        <w:t>环境监测计划</w:t>
      </w:r>
      <w:r>
        <w:tab/>
      </w:r>
      <w:r>
        <w:fldChar w:fldCharType="begin"/>
      </w:r>
      <w:r>
        <w:instrText xml:space="preserve"> PAGEREF _Toc84844359 \h </w:instrText>
      </w:r>
      <w:r>
        <w:fldChar w:fldCharType="separate"/>
      </w:r>
      <w:r>
        <w:t>211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"_Toc84844360" </w:instrText>
      </w:r>
      <w:r>
        <w:fldChar w:fldCharType="separate"/>
      </w:r>
      <w:r>
        <w:rPr>
          <w:rStyle w:val="39"/>
          <w:color w:val="auto"/>
        </w:rPr>
        <w:t>9.3.1</w:t>
      </w:r>
      <w:r>
        <w:rPr>
          <w:rStyle w:val="39"/>
          <w:rFonts w:hint="eastAsia"/>
          <w:color w:val="auto"/>
        </w:rPr>
        <w:t>环境监测机构设置及任务</w:t>
      </w:r>
      <w:r>
        <w:tab/>
      </w:r>
      <w:r>
        <w:fldChar w:fldCharType="begin"/>
      </w:r>
      <w:r>
        <w:instrText xml:space="preserve"> PAGEREF _Toc84844360 \h </w:instrText>
      </w:r>
      <w:r>
        <w:fldChar w:fldCharType="separate"/>
      </w:r>
      <w:r>
        <w:t>211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"_Toc84844361" </w:instrText>
      </w:r>
      <w:r>
        <w:fldChar w:fldCharType="separate"/>
      </w:r>
      <w:r>
        <w:rPr>
          <w:rStyle w:val="39"/>
          <w:color w:val="auto"/>
        </w:rPr>
        <w:t>9.3.2</w:t>
      </w:r>
      <w:r>
        <w:rPr>
          <w:rStyle w:val="39"/>
          <w:rFonts w:hint="eastAsia"/>
          <w:color w:val="auto"/>
        </w:rPr>
        <w:t>排污口规整</w:t>
      </w:r>
      <w:r>
        <w:tab/>
      </w:r>
      <w:r>
        <w:fldChar w:fldCharType="begin"/>
      </w:r>
      <w:r>
        <w:instrText xml:space="preserve"> PAGEREF _Toc84844361 \h </w:instrText>
      </w:r>
      <w:r>
        <w:fldChar w:fldCharType="separate"/>
      </w:r>
      <w:r>
        <w:t>211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"_Toc84844362" </w:instrText>
      </w:r>
      <w:r>
        <w:fldChar w:fldCharType="separate"/>
      </w:r>
      <w:r>
        <w:rPr>
          <w:rStyle w:val="39"/>
          <w:color w:val="auto"/>
        </w:rPr>
        <w:t>9.3.3</w:t>
      </w:r>
      <w:r>
        <w:rPr>
          <w:rStyle w:val="39"/>
          <w:rFonts w:hint="eastAsia"/>
          <w:color w:val="auto"/>
        </w:rPr>
        <w:t>环境监测计划</w:t>
      </w:r>
      <w:r>
        <w:tab/>
      </w:r>
      <w:r>
        <w:fldChar w:fldCharType="begin"/>
      </w:r>
      <w:r>
        <w:instrText xml:space="preserve"> PAGEREF _Toc84844362 \h </w:instrText>
      </w:r>
      <w:r>
        <w:fldChar w:fldCharType="separate"/>
      </w:r>
      <w:r>
        <w:t>212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"_Toc84844363" </w:instrText>
      </w:r>
      <w:r>
        <w:fldChar w:fldCharType="separate"/>
      </w:r>
      <w:r>
        <w:rPr>
          <w:rStyle w:val="39"/>
          <w:color w:val="auto"/>
        </w:rPr>
        <w:t>9.3.4</w:t>
      </w:r>
      <w:r>
        <w:rPr>
          <w:rStyle w:val="39"/>
          <w:rFonts w:hint="eastAsia"/>
          <w:color w:val="auto"/>
        </w:rPr>
        <w:t>监测方法和监测单位</w:t>
      </w:r>
      <w:r>
        <w:tab/>
      </w:r>
      <w:r>
        <w:fldChar w:fldCharType="begin"/>
      </w:r>
      <w:r>
        <w:instrText xml:space="preserve"> PAGEREF _Toc84844363 \h </w:instrText>
      </w:r>
      <w:r>
        <w:fldChar w:fldCharType="separate"/>
      </w:r>
      <w:r>
        <w:t>213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"_Toc84844364" </w:instrText>
      </w:r>
      <w:r>
        <w:fldChar w:fldCharType="separate"/>
      </w:r>
      <w:r>
        <w:rPr>
          <w:rStyle w:val="39"/>
          <w:color w:val="auto"/>
        </w:rPr>
        <w:t>9.4</w:t>
      </w:r>
      <w:r>
        <w:rPr>
          <w:rStyle w:val="39"/>
          <w:rFonts w:hint="eastAsia"/>
          <w:color w:val="auto"/>
        </w:rPr>
        <w:t>污染物排放清单</w:t>
      </w:r>
      <w:r>
        <w:tab/>
      </w:r>
      <w:r>
        <w:fldChar w:fldCharType="begin"/>
      </w:r>
      <w:r>
        <w:instrText xml:space="preserve"> PAGEREF _Toc84844364 \h </w:instrText>
      </w:r>
      <w:r>
        <w:fldChar w:fldCharType="separate"/>
      </w:r>
      <w:r>
        <w:t>213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"_Toc84844365" </w:instrText>
      </w:r>
      <w:r>
        <w:fldChar w:fldCharType="separate"/>
      </w:r>
      <w:r>
        <w:rPr>
          <w:rStyle w:val="39"/>
          <w:color w:val="auto"/>
        </w:rPr>
        <w:t>9.4.1</w:t>
      </w:r>
      <w:r>
        <w:rPr>
          <w:rStyle w:val="39"/>
          <w:rFonts w:hint="eastAsia"/>
          <w:color w:val="auto"/>
        </w:rPr>
        <w:t>项目组成</w:t>
      </w:r>
      <w:r>
        <w:tab/>
      </w:r>
      <w:r>
        <w:fldChar w:fldCharType="begin"/>
      </w:r>
      <w:r>
        <w:instrText xml:space="preserve"> PAGEREF _Toc84844365 \h </w:instrText>
      </w:r>
      <w:r>
        <w:fldChar w:fldCharType="separate"/>
      </w:r>
      <w:r>
        <w:t>213</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"_Toc84844366" </w:instrText>
      </w:r>
      <w:r>
        <w:fldChar w:fldCharType="separate"/>
      </w:r>
      <w:r>
        <w:rPr>
          <w:rStyle w:val="39"/>
          <w:color w:val="auto"/>
        </w:rPr>
        <w:t>9.4.2</w:t>
      </w:r>
      <w:r>
        <w:rPr>
          <w:rStyle w:val="39"/>
          <w:rFonts w:hint="eastAsia"/>
          <w:color w:val="auto"/>
        </w:rPr>
        <w:t>主要原辅材料组分</w:t>
      </w:r>
      <w:r>
        <w:tab/>
      </w:r>
      <w:r>
        <w:fldChar w:fldCharType="begin"/>
      </w:r>
      <w:r>
        <w:instrText xml:space="preserve"> PAGEREF _Toc84844366 \h </w:instrText>
      </w:r>
      <w:r>
        <w:fldChar w:fldCharType="separate"/>
      </w:r>
      <w:r>
        <w:t>215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"_Toc84844367" </w:instrText>
      </w:r>
      <w:r>
        <w:fldChar w:fldCharType="separate"/>
      </w:r>
      <w:r>
        <w:rPr>
          <w:rStyle w:val="39"/>
          <w:color w:val="auto"/>
        </w:rPr>
        <w:t>9.4.3</w:t>
      </w:r>
      <w:r>
        <w:rPr>
          <w:rStyle w:val="39"/>
          <w:rFonts w:hint="eastAsia"/>
          <w:color w:val="auto"/>
        </w:rPr>
        <w:t>主要环境保护措施</w:t>
      </w:r>
      <w:r>
        <w:tab/>
      </w:r>
      <w:r>
        <w:fldChar w:fldCharType="begin"/>
      </w:r>
      <w:r>
        <w:instrText xml:space="preserve"> PAGEREF _Toc84844367 \h </w:instrText>
      </w:r>
      <w:r>
        <w:fldChar w:fldCharType="separate"/>
      </w:r>
      <w:r>
        <w:t>216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"_Toc84844368" </w:instrText>
      </w:r>
      <w:r>
        <w:fldChar w:fldCharType="separate"/>
      </w:r>
      <w:r>
        <w:rPr>
          <w:rStyle w:val="39"/>
          <w:color w:val="auto"/>
        </w:rPr>
        <w:t>9.4.4</w:t>
      </w:r>
      <w:r>
        <w:rPr>
          <w:rStyle w:val="39"/>
          <w:rFonts w:hint="eastAsia"/>
          <w:color w:val="auto"/>
        </w:rPr>
        <w:t>污染源排放清单</w:t>
      </w:r>
      <w:r>
        <w:tab/>
      </w:r>
      <w:r>
        <w:fldChar w:fldCharType="begin"/>
      </w:r>
      <w:r>
        <w:instrText xml:space="preserve"> PAGEREF _Toc84844368 \h </w:instrText>
      </w:r>
      <w:r>
        <w:fldChar w:fldCharType="separate"/>
      </w:r>
      <w:r>
        <w:t>217</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"_Toc84844369" </w:instrText>
      </w:r>
      <w:r>
        <w:fldChar w:fldCharType="separate"/>
      </w:r>
      <w:r>
        <w:rPr>
          <w:rStyle w:val="39"/>
          <w:color w:val="auto"/>
        </w:rPr>
        <w:t>9.5</w:t>
      </w:r>
      <w:r>
        <w:rPr>
          <w:rStyle w:val="39"/>
          <w:rFonts w:hint="eastAsia"/>
          <w:color w:val="auto"/>
        </w:rPr>
        <w:t>环境信息公开及人员培训</w:t>
      </w:r>
      <w:r>
        <w:tab/>
      </w:r>
      <w:r>
        <w:fldChar w:fldCharType="begin"/>
      </w:r>
      <w:r>
        <w:instrText xml:space="preserve"> PAGEREF _Toc84844369 \h </w:instrText>
      </w:r>
      <w:r>
        <w:fldChar w:fldCharType="separate"/>
      </w:r>
      <w:r>
        <w:t>219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"_Toc84844370" </w:instrText>
      </w:r>
      <w:r>
        <w:fldChar w:fldCharType="separate"/>
      </w:r>
      <w:r>
        <w:rPr>
          <w:rStyle w:val="39"/>
          <w:color w:val="auto"/>
        </w:rPr>
        <w:t>9.5.1</w:t>
      </w:r>
      <w:r>
        <w:rPr>
          <w:rStyle w:val="39"/>
          <w:rFonts w:hint="eastAsia"/>
          <w:color w:val="auto"/>
        </w:rPr>
        <w:t>信息公开</w:t>
      </w:r>
      <w:r>
        <w:tab/>
      </w:r>
      <w:r>
        <w:fldChar w:fldCharType="begin"/>
      </w:r>
      <w:r>
        <w:instrText xml:space="preserve"> PAGEREF _Toc84844370 \h </w:instrText>
      </w:r>
      <w:r>
        <w:fldChar w:fldCharType="separate"/>
      </w:r>
      <w:r>
        <w:t>219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"_Toc84844371" </w:instrText>
      </w:r>
      <w:r>
        <w:fldChar w:fldCharType="separate"/>
      </w:r>
      <w:r>
        <w:rPr>
          <w:rStyle w:val="39"/>
          <w:color w:val="auto"/>
        </w:rPr>
        <w:t>9.5.2</w:t>
      </w:r>
      <w:r>
        <w:rPr>
          <w:rStyle w:val="39"/>
          <w:rFonts w:hint="eastAsia"/>
          <w:color w:val="auto"/>
        </w:rPr>
        <w:t>人员培训</w:t>
      </w:r>
      <w:r>
        <w:tab/>
      </w:r>
      <w:r>
        <w:fldChar w:fldCharType="begin"/>
      </w:r>
      <w:r>
        <w:instrText xml:space="preserve"> PAGEREF _Toc84844371 \h </w:instrText>
      </w:r>
      <w:r>
        <w:fldChar w:fldCharType="separate"/>
      </w:r>
      <w:r>
        <w:t>221</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"_Toc84844372" </w:instrText>
      </w:r>
      <w:r>
        <w:fldChar w:fldCharType="separate"/>
      </w:r>
      <w:r>
        <w:rPr>
          <w:rStyle w:val="39"/>
          <w:color w:val="auto"/>
        </w:rPr>
        <w:t>9.6</w:t>
      </w:r>
      <w:r>
        <w:rPr>
          <w:rStyle w:val="39"/>
          <w:rFonts w:hint="eastAsia"/>
          <w:color w:val="auto"/>
        </w:rPr>
        <w:t>竣工环境保护验收</w:t>
      </w:r>
      <w:r>
        <w:tab/>
      </w:r>
      <w:r>
        <w:fldChar w:fldCharType="begin"/>
      </w:r>
      <w:r>
        <w:instrText xml:space="preserve"> PAGEREF _Toc84844372 \h </w:instrText>
      </w:r>
      <w:r>
        <w:fldChar w:fldCharType="separate"/>
      </w:r>
      <w:r>
        <w:t>221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"_Toc84844373" </w:instrText>
      </w:r>
      <w:r>
        <w:fldChar w:fldCharType="separate"/>
      </w:r>
      <w:r>
        <w:rPr>
          <w:rStyle w:val="39"/>
          <w:color w:val="auto"/>
        </w:rPr>
        <w:t>9.6.1</w:t>
      </w:r>
      <w:r>
        <w:rPr>
          <w:rStyle w:val="39"/>
          <w:rFonts w:hint="eastAsia"/>
          <w:color w:val="auto"/>
        </w:rPr>
        <w:t>环境保护验收要求</w:t>
      </w:r>
      <w:r>
        <w:tab/>
      </w:r>
      <w:r>
        <w:fldChar w:fldCharType="begin"/>
      </w:r>
      <w:r>
        <w:instrText xml:space="preserve"> PAGEREF _Toc84844373 \h </w:instrText>
      </w:r>
      <w:r>
        <w:fldChar w:fldCharType="separate"/>
      </w:r>
      <w:r>
        <w:t>221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"_Toc84844374" </w:instrText>
      </w:r>
      <w:r>
        <w:fldChar w:fldCharType="separate"/>
      </w:r>
      <w:r>
        <w:rPr>
          <w:rStyle w:val="39"/>
          <w:color w:val="auto"/>
        </w:rPr>
        <w:t>9.6.2</w:t>
      </w:r>
      <w:r>
        <w:rPr>
          <w:rStyle w:val="39"/>
          <w:rFonts w:hint="eastAsia"/>
          <w:color w:val="auto"/>
        </w:rPr>
        <w:t>环保竣工验收内容</w:t>
      </w:r>
      <w:r>
        <w:tab/>
      </w:r>
      <w:r>
        <w:fldChar w:fldCharType="begin"/>
      </w:r>
      <w:r>
        <w:instrText xml:space="preserve"> PAGEREF _Toc84844374 \h </w:instrText>
      </w:r>
      <w:r>
        <w:fldChar w:fldCharType="separate"/>
      </w:r>
      <w:r>
        <w:t>221</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"_Toc84844375" </w:instrText>
      </w:r>
      <w:r>
        <w:fldChar w:fldCharType="separate"/>
      </w:r>
      <w:r>
        <w:rPr>
          <w:rStyle w:val="39"/>
          <w:color w:val="auto"/>
        </w:rPr>
        <w:t>10</w:t>
      </w:r>
      <w:r>
        <w:rPr>
          <w:rStyle w:val="39"/>
          <w:rFonts w:hint="eastAsia"/>
          <w:color w:val="auto"/>
        </w:rPr>
        <w:t>碳排放评价</w:t>
      </w:r>
      <w:r>
        <w:tab/>
      </w:r>
      <w:r>
        <w:fldChar w:fldCharType="begin"/>
      </w:r>
      <w:r>
        <w:instrText xml:space="preserve"> PAGEREF _Toc84844375 \h </w:instrText>
      </w:r>
      <w:r>
        <w:fldChar w:fldCharType="separate"/>
      </w:r>
      <w:r>
        <w:t>225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"_Toc84844376" </w:instrText>
      </w:r>
      <w:r>
        <w:fldChar w:fldCharType="separate"/>
      </w:r>
      <w:r>
        <w:rPr>
          <w:rStyle w:val="39"/>
          <w:color w:val="auto"/>
        </w:rPr>
        <w:t>10.1</w:t>
      </w:r>
      <w:r>
        <w:rPr>
          <w:rStyle w:val="39"/>
          <w:rFonts w:hint="eastAsia"/>
          <w:color w:val="auto"/>
        </w:rPr>
        <w:t>管理规定与技术指南、规范</w:t>
      </w:r>
      <w:r>
        <w:tab/>
      </w:r>
      <w:r>
        <w:fldChar w:fldCharType="begin"/>
      </w:r>
      <w:r>
        <w:instrText xml:space="preserve"> PAGEREF _Toc84844376 \h </w:instrText>
      </w:r>
      <w:r>
        <w:fldChar w:fldCharType="separate"/>
      </w:r>
      <w:r>
        <w:t>225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"_Toc84844377" </w:instrText>
      </w:r>
      <w:r>
        <w:fldChar w:fldCharType="separate"/>
      </w:r>
      <w:r>
        <w:rPr>
          <w:rStyle w:val="39"/>
          <w:color w:val="auto"/>
        </w:rPr>
        <w:t>10.2</w:t>
      </w:r>
      <w:r>
        <w:rPr>
          <w:rStyle w:val="39"/>
          <w:rFonts w:hint="eastAsia"/>
          <w:color w:val="auto"/>
        </w:rPr>
        <w:t>本项目碳排放分析</w:t>
      </w:r>
      <w:r>
        <w:tab/>
      </w:r>
      <w:r>
        <w:fldChar w:fldCharType="begin"/>
      </w:r>
      <w:r>
        <w:instrText xml:space="preserve"> PAGEREF _Toc84844377 \h </w:instrText>
      </w:r>
      <w:r>
        <w:fldChar w:fldCharType="separate"/>
      </w:r>
      <w:r>
        <w:t>225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"_Toc84844378" </w:instrText>
      </w:r>
      <w:r>
        <w:fldChar w:fldCharType="separate"/>
      </w:r>
      <w:r>
        <w:rPr>
          <w:rStyle w:val="39"/>
          <w:color w:val="auto"/>
        </w:rPr>
        <w:t>10.2.1</w:t>
      </w:r>
      <w:r>
        <w:rPr>
          <w:rStyle w:val="39"/>
          <w:rFonts w:hint="eastAsia"/>
          <w:color w:val="auto"/>
        </w:rPr>
        <w:t>核算边界</w:t>
      </w:r>
      <w:r>
        <w:tab/>
      </w:r>
      <w:r>
        <w:fldChar w:fldCharType="begin"/>
      </w:r>
      <w:r>
        <w:instrText xml:space="preserve"> PAGEREF _Toc84844378 \h </w:instrText>
      </w:r>
      <w:r>
        <w:fldChar w:fldCharType="separate"/>
      </w:r>
      <w:r>
        <w:t>225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"_Toc84844379" </w:instrText>
      </w:r>
      <w:r>
        <w:fldChar w:fldCharType="separate"/>
      </w:r>
      <w:r>
        <w:rPr>
          <w:rStyle w:val="39"/>
          <w:color w:val="auto"/>
        </w:rPr>
        <w:t>10.2.2</w:t>
      </w:r>
      <w:r>
        <w:rPr>
          <w:rStyle w:val="39"/>
          <w:rFonts w:hint="eastAsia"/>
          <w:color w:val="auto"/>
        </w:rPr>
        <w:t>碳排放源</w:t>
      </w:r>
      <w:r>
        <w:tab/>
      </w:r>
      <w:r>
        <w:fldChar w:fldCharType="begin"/>
      </w:r>
      <w:r>
        <w:instrText xml:space="preserve"> PAGEREF _Toc84844379 \h </w:instrText>
      </w:r>
      <w:r>
        <w:fldChar w:fldCharType="separate"/>
      </w:r>
      <w:r>
        <w:t>226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"_Toc84844380" </w:instrText>
      </w:r>
      <w:r>
        <w:fldChar w:fldCharType="separate"/>
      </w:r>
      <w:r>
        <w:rPr>
          <w:rStyle w:val="39"/>
          <w:color w:val="auto"/>
        </w:rPr>
        <w:t>10.2.4</w:t>
      </w:r>
      <w:r>
        <w:rPr>
          <w:rStyle w:val="39"/>
          <w:rFonts w:hint="eastAsia"/>
          <w:color w:val="auto"/>
        </w:rPr>
        <w:t>碳排放核算</w:t>
      </w:r>
      <w:r>
        <w:tab/>
      </w:r>
      <w:r>
        <w:fldChar w:fldCharType="begin"/>
      </w:r>
      <w:r>
        <w:instrText xml:space="preserve"> PAGEREF _Toc84844380 \h </w:instrText>
      </w:r>
      <w:r>
        <w:fldChar w:fldCharType="separate"/>
      </w:r>
      <w:r>
        <w:t>227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"_Toc84844381" </w:instrText>
      </w:r>
      <w:r>
        <w:fldChar w:fldCharType="separate"/>
      </w:r>
      <w:r>
        <w:rPr>
          <w:rStyle w:val="39"/>
          <w:color w:val="auto"/>
        </w:rPr>
        <w:t>10.2.5</w:t>
      </w:r>
      <w:r>
        <w:rPr>
          <w:rStyle w:val="39"/>
          <w:rFonts w:hint="eastAsia"/>
          <w:color w:val="auto"/>
        </w:rPr>
        <w:t>二氧化碳回收利用量</w:t>
      </w:r>
      <w:r>
        <w:tab/>
      </w:r>
      <w:r>
        <w:fldChar w:fldCharType="begin"/>
      </w:r>
      <w:r>
        <w:instrText xml:space="preserve"> PAGEREF _Toc84844381 \h </w:instrText>
      </w:r>
      <w:r>
        <w:fldChar w:fldCharType="separate"/>
      </w:r>
      <w:r>
        <w:t>229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"_Toc84844382" </w:instrText>
      </w:r>
      <w:r>
        <w:fldChar w:fldCharType="separate"/>
      </w:r>
      <w:r>
        <w:rPr>
          <w:rStyle w:val="39"/>
          <w:color w:val="auto"/>
        </w:rPr>
        <w:t>10.2.6</w:t>
      </w:r>
      <w:r>
        <w:rPr>
          <w:rStyle w:val="39"/>
          <w:rFonts w:hint="eastAsia"/>
          <w:color w:val="auto"/>
        </w:rPr>
        <w:t>碳排放总量</w:t>
      </w:r>
      <w:r>
        <w:tab/>
      </w:r>
      <w:r>
        <w:fldChar w:fldCharType="begin"/>
      </w:r>
      <w:r>
        <w:instrText xml:space="preserve"> PAGEREF _Toc84844382 \h </w:instrText>
      </w:r>
      <w:r>
        <w:fldChar w:fldCharType="separate"/>
      </w:r>
      <w:r>
        <w:t>230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"_Toc84844383" </w:instrText>
      </w:r>
      <w:r>
        <w:fldChar w:fldCharType="separate"/>
      </w:r>
      <w:r>
        <w:rPr>
          <w:rStyle w:val="39"/>
          <w:color w:val="auto"/>
        </w:rPr>
        <w:t>10.3</w:t>
      </w:r>
      <w:r>
        <w:rPr>
          <w:rStyle w:val="39"/>
          <w:rFonts w:hint="eastAsia"/>
          <w:color w:val="auto"/>
        </w:rPr>
        <w:t>碳排放预测与评价</w:t>
      </w:r>
      <w:r>
        <w:tab/>
      </w:r>
      <w:r>
        <w:fldChar w:fldCharType="begin"/>
      </w:r>
      <w:r>
        <w:instrText xml:space="preserve"> PAGEREF _Toc84844383 \h </w:instrText>
      </w:r>
      <w:r>
        <w:fldChar w:fldCharType="separate"/>
      </w:r>
      <w:r>
        <w:t>230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"_Toc84844384" </w:instrText>
      </w:r>
      <w:r>
        <w:fldChar w:fldCharType="separate"/>
      </w:r>
      <w:r>
        <w:rPr>
          <w:rStyle w:val="39"/>
          <w:color w:val="auto"/>
        </w:rPr>
        <w:t>10.3.1</w:t>
      </w:r>
      <w:r>
        <w:rPr>
          <w:rStyle w:val="39"/>
          <w:rFonts w:hint="eastAsia"/>
          <w:color w:val="auto"/>
        </w:rPr>
        <w:t>碳排放强度</w:t>
      </w:r>
      <w:r>
        <w:tab/>
      </w:r>
      <w:r>
        <w:fldChar w:fldCharType="begin"/>
      </w:r>
      <w:r>
        <w:instrText xml:space="preserve"> PAGEREF _Toc84844384 \h </w:instrText>
      </w:r>
      <w:r>
        <w:fldChar w:fldCharType="separate"/>
      </w:r>
      <w:r>
        <w:t>230</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"_Toc84844385" </w:instrText>
      </w:r>
      <w:r>
        <w:fldChar w:fldCharType="separate"/>
      </w:r>
      <w:r>
        <w:rPr>
          <w:rStyle w:val="39"/>
          <w:color w:val="auto"/>
        </w:rPr>
        <w:t>10.3.2</w:t>
      </w:r>
      <w:r>
        <w:rPr>
          <w:rStyle w:val="39"/>
          <w:rFonts w:hint="eastAsia"/>
          <w:color w:val="auto"/>
        </w:rPr>
        <w:t>碳排放评价</w:t>
      </w:r>
      <w:r>
        <w:tab/>
      </w:r>
      <w:r>
        <w:fldChar w:fldCharType="begin"/>
      </w:r>
      <w:r>
        <w:instrText xml:space="preserve"> PAGEREF _Toc84844385 \h </w:instrText>
      </w:r>
      <w:r>
        <w:fldChar w:fldCharType="separate"/>
      </w:r>
      <w:r>
        <w:t>230</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"_Toc84844386" </w:instrText>
      </w:r>
      <w:r>
        <w:fldChar w:fldCharType="separate"/>
      </w:r>
      <w:r>
        <w:rPr>
          <w:rStyle w:val="39"/>
          <w:color w:val="auto"/>
        </w:rPr>
        <w:t>10.4</w:t>
      </w:r>
      <w:r>
        <w:rPr>
          <w:rStyle w:val="39"/>
          <w:rFonts w:hint="eastAsia"/>
          <w:color w:val="auto"/>
        </w:rPr>
        <w:t>碳减排潜力分析及建议</w:t>
      </w:r>
      <w:r>
        <w:tab/>
      </w:r>
      <w:r>
        <w:fldChar w:fldCharType="begin"/>
      </w:r>
      <w:r>
        <w:instrText xml:space="preserve"> PAGEREF _Toc84844386 \h </w:instrText>
      </w:r>
      <w:r>
        <w:fldChar w:fldCharType="separate"/>
      </w:r>
      <w:r>
        <w:t>231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"_Toc84844387" </w:instrText>
      </w:r>
      <w:r>
        <w:fldChar w:fldCharType="separate"/>
      </w:r>
      <w:r>
        <w:rPr>
          <w:rStyle w:val="39"/>
          <w:color w:val="auto"/>
        </w:rPr>
        <w:t>10.4.1</w:t>
      </w:r>
      <w:r>
        <w:rPr>
          <w:rStyle w:val="39"/>
          <w:rFonts w:hint="eastAsia"/>
          <w:color w:val="auto"/>
        </w:rPr>
        <w:t>碳减排潜力分析</w:t>
      </w:r>
      <w:r>
        <w:tab/>
      </w:r>
      <w:r>
        <w:fldChar w:fldCharType="begin"/>
      </w:r>
      <w:r>
        <w:instrText xml:space="preserve"> PAGEREF _Toc84844387 \h </w:instrText>
      </w:r>
      <w:r>
        <w:fldChar w:fldCharType="separate"/>
      </w:r>
      <w:r>
        <w:t>231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"_Toc84844388" </w:instrText>
      </w:r>
      <w:r>
        <w:fldChar w:fldCharType="separate"/>
      </w:r>
      <w:r>
        <w:rPr>
          <w:rStyle w:val="39"/>
          <w:color w:val="auto"/>
        </w:rPr>
        <w:t>10.4.2</w:t>
      </w:r>
      <w:r>
        <w:rPr>
          <w:rStyle w:val="39"/>
          <w:rFonts w:hint="eastAsia"/>
          <w:color w:val="auto"/>
        </w:rPr>
        <w:t>碳排放管理措施</w:t>
      </w:r>
      <w:r>
        <w:tab/>
      </w:r>
      <w:r>
        <w:fldChar w:fldCharType="begin"/>
      </w:r>
      <w:r>
        <w:instrText xml:space="preserve"> PAGEREF _Toc84844388 \h </w:instrText>
      </w:r>
      <w:r>
        <w:fldChar w:fldCharType="separate"/>
      </w:r>
      <w:r>
        <w:t>231</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"_Toc84844389" </w:instrText>
      </w:r>
      <w:r>
        <w:fldChar w:fldCharType="separate"/>
      </w:r>
      <w:r>
        <w:rPr>
          <w:rStyle w:val="39"/>
          <w:color w:val="auto"/>
        </w:rPr>
        <w:t>10.4.2.2</w:t>
      </w:r>
      <w:r>
        <w:rPr>
          <w:rStyle w:val="39"/>
          <w:rFonts w:hint="eastAsia"/>
          <w:color w:val="auto"/>
        </w:rPr>
        <w:t>排放管理</w:t>
      </w:r>
      <w:r>
        <w:tab/>
      </w:r>
      <w:r>
        <w:fldChar w:fldCharType="begin"/>
      </w:r>
      <w:r>
        <w:instrText xml:space="preserve"> PAGEREF _Toc84844389 \h </w:instrText>
      </w:r>
      <w:r>
        <w:fldChar w:fldCharType="separate"/>
      </w:r>
      <w:r>
        <w:t>232</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"_Toc84844390" </w:instrText>
      </w:r>
      <w:r>
        <w:fldChar w:fldCharType="separate"/>
      </w:r>
      <w:r>
        <w:rPr>
          <w:rStyle w:val="39"/>
          <w:color w:val="auto"/>
        </w:rPr>
        <w:t>10.4.3</w:t>
      </w:r>
      <w:r>
        <w:rPr>
          <w:rStyle w:val="39"/>
          <w:rFonts w:hint="eastAsia"/>
          <w:color w:val="auto"/>
        </w:rPr>
        <w:t>碳减排建议</w:t>
      </w:r>
      <w:r>
        <w:tab/>
      </w:r>
      <w:r>
        <w:fldChar w:fldCharType="begin"/>
      </w:r>
      <w:r>
        <w:instrText xml:space="preserve"> PAGEREF _Toc84844390 \h </w:instrText>
      </w:r>
      <w:r>
        <w:fldChar w:fldCharType="separate"/>
      </w:r>
      <w:r>
        <w:t>233</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"_Toc84844391" </w:instrText>
      </w:r>
      <w:r>
        <w:fldChar w:fldCharType="separate"/>
      </w:r>
      <w:r>
        <w:rPr>
          <w:rStyle w:val="39"/>
          <w:color w:val="auto"/>
        </w:rPr>
        <w:t>10.5</w:t>
      </w:r>
      <w:r>
        <w:rPr>
          <w:rStyle w:val="39"/>
          <w:rFonts w:hint="eastAsia"/>
          <w:color w:val="auto"/>
        </w:rPr>
        <w:t>小结</w:t>
      </w:r>
      <w:r>
        <w:tab/>
      </w:r>
      <w:r>
        <w:fldChar w:fldCharType="begin"/>
      </w:r>
      <w:r>
        <w:instrText xml:space="preserve"> PAGEREF _Toc84844391 \h </w:instrText>
      </w:r>
      <w:r>
        <w:fldChar w:fldCharType="separate"/>
      </w:r>
      <w:r>
        <w:t>234</w:t>
      </w:r>
      <w:r>
        <w:fldChar w:fldCharType="end"/>
      </w:r>
      <w:r>
        <w:fldChar w:fldCharType="end"/>
      </w:r>
    </w:p>
    <w:p>
      <w:pPr>
        <w:pStyle w:val="25"/>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"_Toc84844392" </w:instrText>
      </w:r>
      <w:r>
        <w:fldChar w:fldCharType="separate"/>
      </w:r>
      <w:r>
        <w:rPr>
          <w:rStyle w:val="39"/>
          <w:color w:val="auto"/>
        </w:rPr>
        <w:t>11</w:t>
      </w:r>
      <w:r>
        <w:rPr>
          <w:rStyle w:val="39"/>
          <w:rFonts w:hint="eastAsia"/>
          <w:color w:val="auto"/>
        </w:rPr>
        <w:t>结论与建议</w:t>
      </w:r>
      <w:r>
        <w:tab/>
      </w:r>
      <w:r>
        <w:fldChar w:fldCharType="begin"/>
      </w:r>
      <w:r>
        <w:instrText xml:space="preserve"> PAGEREF _Toc84844392 \h </w:instrText>
      </w:r>
      <w:r>
        <w:fldChar w:fldCharType="separate"/>
      </w:r>
      <w:r>
        <w:t>235</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"_Toc84844393" </w:instrText>
      </w:r>
      <w:r>
        <w:fldChar w:fldCharType="separate"/>
      </w:r>
      <w:r>
        <w:rPr>
          <w:rStyle w:val="39"/>
          <w:color w:val="auto"/>
        </w:rPr>
        <w:t>11.1</w:t>
      </w:r>
      <w:r>
        <w:rPr>
          <w:rStyle w:val="39"/>
          <w:rFonts w:hint="eastAsia"/>
          <w:color w:val="auto"/>
        </w:rPr>
        <w:t>结论</w:t>
      </w:r>
      <w:r>
        <w:tab/>
      </w:r>
      <w:r>
        <w:fldChar w:fldCharType="begin"/>
      </w:r>
      <w:r>
        <w:instrText xml:space="preserve"> PAGEREF _Toc84844393 \h </w:instrText>
      </w:r>
      <w:r>
        <w:fldChar w:fldCharType="separate"/>
      </w:r>
      <w:r>
        <w:t>235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"_Toc84844394" </w:instrText>
      </w:r>
      <w:r>
        <w:fldChar w:fldCharType="separate"/>
      </w:r>
      <w:r>
        <w:rPr>
          <w:rStyle w:val="39"/>
          <w:color w:val="auto"/>
        </w:rPr>
        <w:t>11.1.1</w:t>
      </w:r>
      <w:r>
        <w:rPr>
          <w:rStyle w:val="39"/>
          <w:rFonts w:hint="eastAsia"/>
          <w:color w:val="auto"/>
        </w:rPr>
        <w:t>项目概况</w:t>
      </w:r>
      <w:r>
        <w:tab/>
      </w:r>
      <w:r>
        <w:fldChar w:fldCharType="begin"/>
      </w:r>
      <w:r>
        <w:instrText xml:space="preserve"> PAGEREF _Toc84844394 \h </w:instrText>
      </w:r>
      <w:r>
        <w:fldChar w:fldCharType="separate"/>
      </w:r>
      <w:r>
        <w:t>235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"_Toc84844395" </w:instrText>
      </w:r>
      <w:r>
        <w:fldChar w:fldCharType="separate"/>
      </w:r>
      <w:r>
        <w:rPr>
          <w:rStyle w:val="39"/>
          <w:color w:val="auto"/>
        </w:rPr>
        <w:t>11.1.2</w:t>
      </w:r>
      <w:r>
        <w:rPr>
          <w:rStyle w:val="39"/>
          <w:rFonts w:hint="eastAsia"/>
          <w:color w:val="auto"/>
        </w:rPr>
        <w:t>选址合理性及产业政策符合性分析</w:t>
      </w:r>
      <w:r>
        <w:tab/>
      </w:r>
      <w:r>
        <w:fldChar w:fldCharType="begin"/>
      </w:r>
      <w:r>
        <w:instrText xml:space="preserve"> PAGEREF _Toc84844395 \h </w:instrText>
      </w:r>
      <w:r>
        <w:fldChar w:fldCharType="separate"/>
      </w:r>
      <w:r>
        <w:t>235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"_Toc84844396" </w:instrText>
      </w:r>
      <w:r>
        <w:fldChar w:fldCharType="separate"/>
      </w:r>
      <w:r>
        <w:rPr>
          <w:rStyle w:val="39"/>
          <w:color w:val="auto"/>
        </w:rPr>
        <w:t>11.1.3</w:t>
      </w:r>
      <w:r>
        <w:rPr>
          <w:rStyle w:val="39"/>
          <w:rFonts w:hint="eastAsia"/>
          <w:color w:val="auto"/>
        </w:rPr>
        <w:t>环境质量现状</w:t>
      </w:r>
      <w:r>
        <w:tab/>
      </w:r>
      <w:r>
        <w:fldChar w:fldCharType="begin"/>
      </w:r>
      <w:r>
        <w:instrText xml:space="preserve"> PAGEREF _Toc84844396 \h </w:instrText>
      </w:r>
      <w:r>
        <w:fldChar w:fldCharType="separate"/>
      </w:r>
      <w:r>
        <w:t>236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"_Toc84844397" </w:instrText>
      </w:r>
      <w:r>
        <w:fldChar w:fldCharType="separate"/>
      </w:r>
      <w:r>
        <w:rPr>
          <w:rStyle w:val="39"/>
          <w:color w:val="auto"/>
        </w:rPr>
        <w:t>11.1.4</w:t>
      </w:r>
      <w:r>
        <w:rPr>
          <w:rStyle w:val="39"/>
          <w:rFonts w:hint="eastAsia"/>
          <w:color w:val="auto"/>
        </w:rPr>
        <w:t>污染防治措施及污染物排放情况</w:t>
      </w:r>
      <w:r>
        <w:tab/>
      </w:r>
      <w:r>
        <w:fldChar w:fldCharType="begin"/>
      </w:r>
      <w:r>
        <w:instrText xml:space="preserve"> PAGEREF _Toc84844397 \h </w:instrText>
      </w:r>
      <w:r>
        <w:fldChar w:fldCharType="separate"/>
      </w:r>
      <w:r>
        <w:t>237</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"_Toc84844398" </w:instrText>
      </w:r>
      <w:r>
        <w:fldChar w:fldCharType="separate"/>
      </w:r>
      <w:r>
        <w:rPr>
          <w:rStyle w:val="39"/>
          <w:color w:val="auto"/>
        </w:rPr>
        <w:t>11.1.5</w:t>
      </w:r>
      <w:r>
        <w:rPr>
          <w:rStyle w:val="39"/>
          <w:rFonts w:hint="eastAsia"/>
          <w:color w:val="auto"/>
        </w:rPr>
        <w:t>主要环境保护措施及环境影响</w:t>
      </w:r>
      <w:r>
        <w:tab/>
      </w:r>
      <w:r>
        <w:fldChar w:fldCharType="begin"/>
      </w:r>
      <w:r>
        <w:instrText xml:space="preserve"> PAGEREF _Toc84844398 \h </w:instrText>
      </w:r>
      <w:r>
        <w:fldChar w:fldCharType="separate"/>
      </w:r>
      <w:r>
        <w:t>239</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"_Toc84844399" </w:instrText>
      </w:r>
      <w:r>
        <w:fldChar w:fldCharType="separate"/>
      </w:r>
      <w:r>
        <w:rPr>
          <w:rStyle w:val="39"/>
          <w:color w:val="auto"/>
        </w:rPr>
        <w:t>11.1.6</w:t>
      </w:r>
      <w:r>
        <w:rPr>
          <w:rStyle w:val="39"/>
          <w:rFonts w:hint="eastAsia"/>
          <w:color w:val="auto"/>
        </w:rPr>
        <w:t>公众意见采纳情况</w:t>
      </w:r>
      <w:r>
        <w:tab/>
      </w:r>
      <w:r>
        <w:fldChar w:fldCharType="begin"/>
      </w:r>
      <w:r>
        <w:instrText xml:space="preserve"> PAGEREF _Toc84844399 \h </w:instrText>
      </w:r>
      <w:r>
        <w:fldChar w:fldCharType="separate"/>
      </w:r>
      <w:r>
        <w:t>245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"_Toc84844400" </w:instrText>
      </w:r>
      <w:r>
        <w:fldChar w:fldCharType="separate"/>
      </w:r>
      <w:r>
        <w:rPr>
          <w:rStyle w:val="39"/>
          <w:color w:val="auto"/>
        </w:rPr>
        <w:t>11.1.7</w:t>
      </w:r>
      <w:r>
        <w:rPr>
          <w:rStyle w:val="39"/>
          <w:rFonts w:hint="eastAsia"/>
          <w:color w:val="auto"/>
        </w:rPr>
        <w:t>清洁生产</w:t>
      </w:r>
      <w:r>
        <w:tab/>
      </w:r>
      <w:r>
        <w:fldChar w:fldCharType="begin"/>
      </w:r>
      <w:r>
        <w:instrText xml:space="preserve"> PAGEREF _Toc84844400 \h </w:instrText>
      </w:r>
      <w:r>
        <w:fldChar w:fldCharType="separate"/>
      </w:r>
      <w:r>
        <w:t>245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"_Toc84844401" </w:instrText>
      </w:r>
      <w:r>
        <w:fldChar w:fldCharType="separate"/>
      </w:r>
      <w:r>
        <w:rPr>
          <w:rStyle w:val="39"/>
          <w:color w:val="auto"/>
        </w:rPr>
        <w:t>11.1.8</w:t>
      </w:r>
      <w:r>
        <w:rPr>
          <w:rStyle w:val="39"/>
          <w:rFonts w:hint="eastAsia"/>
          <w:color w:val="auto"/>
        </w:rPr>
        <w:t>环境影响经济损益分析</w:t>
      </w:r>
      <w:r>
        <w:tab/>
      </w:r>
      <w:r>
        <w:fldChar w:fldCharType="begin"/>
      </w:r>
      <w:r>
        <w:instrText xml:space="preserve"> PAGEREF _Toc84844401 \h </w:instrText>
      </w:r>
      <w:r>
        <w:fldChar w:fldCharType="separate"/>
      </w:r>
      <w:r>
        <w:t>245</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"_Toc84844402" </w:instrText>
      </w:r>
      <w:r>
        <w:fldChar w:fldCharType="separate"/>
      </w:r>
      <w:r>
        <w:rPr>
          <w:rStyle w:val="39"/>
          <w:color w:val="auto"/>
        </w:rPr>
        <w:t>11.1.9</w:t>
      </w:r>
      <w:r>
        <w:rPr>
          <w:rStyle w:val="39"/>
          <w:rFonts w:hint="eastAsia"/>
          <w:color w:val="auto"/>
        </w:rPr>
        <w:t>环境管理和监测计划</w:t>
      </w:r>
      <w:r>
        <w:tab/>
      </w:r>
      <w:r>
        <w:fldChar w:fldCharType="begin"/>
      </w:r>
      <w:r>
        <w:instrText xml:space="preserve"> PAGEREF _Toc84844402 \h </w:instrText>
      </w:r>
      <w:r>
        <w:fldChar w:fldCharType="separate"/>
      </w:r>
      <w:r>
        <w:t>246</w:t>
      </w:r>
      <w:r>
        <w:fldChar w:fldCharType="end"/>
      </w:r>
      <w:r>
        <w:fldChar w:fldCharType="end"/>
      </w:r>
    </w:p>
    <w:p>
      <w:pPr>
        <w:pStyle w:val="18"/>
        <w:tabs>
          <w:tab w:val="right" w:leader="dot" w:pos="8296"/>
        </w:tabs>
        <w:ind w:left="960" w:firstLine="480"/>
        <w:rPr>
          <w:rFonts w:asciiTheme="minorHAnsi" w:hAnsiTheme="minorHAnsi" w:eastAsiaTheme="minorEastAsia" w:cstheme="minorBidi"/>
          <w:sz w:val="21"/>
          <w:szCs w:val="22"/>
        </w:rPr>
      </w:pPr>
      <w:r>
        <w:fldChar w:fldCharType="begin"/>
      </w:r>
      <w:r>
        <w:instrText xml:space="preserve"> HYPERLINK \l "_Toc84844403" </w:instrText>
      </w:r>
      <w:r>
        <w:fldChar w:fldCharType="separate"/>
      </w:r>
      <w:r>
        <w:rPr>
          <w:rStyle w:val="39"/>
          <w:color w:val="auto"/>
        </w:rPr>
        <w:t>11.1.10</w:t>
      </w:r>
      <w:r>
        <w:rPr>
          <w:rStyle w:val="39"/>
          <w:rFonts w:hint="eastAsia"/>
          <w:color w:val="auto"/>
        </w:rPr>
        <w:t>综合结论</w:t>
      </w:r>
      <w:r>
        <w:tab/>
      </w:r>
      <w:r>
        <w:fldChar w:fldCharType="begin"/>
      </w:r>
      <w:r>
        <w:instrText xml:space="preserve"> PAGEREF _Toc84844403 \h </w:instrText>
      </w:r>
      <w:r>
        <w:fldChar w:fldCharType="separate"/>
      </w:r>
      <w:r>
        <w:t>246</w:t>
      </w:r>
      <w:r>
        <w:fldChar w:fldCharType="end"/>
      </w:r>
      <w:r>
        <w:fldChar w:fldCharType="end"/>
      </w:r>
    </w:p>
    <w:p>
      <w:pPr>
        <w:pStyle w:val="28"/>
        <w:tabs>
          <w:tab w:val="right" w:leader="dot" w:pos="8296"/>
        </w:tabs>
        <w:ind w:left="480" w:firstLine="480"/>
        <w:rPr>
          <w:rFonts w:asciiTheme="minorHAnsi" w:hAnsiTheme="minorHAnsi" w:eastAsiaTheme="minorEastAsia" w:cstheme="minorBidi"/>
          <w:sz w:val="21"/>
          <w:szCs w:val="22"/>
        </w:rPr>
      </w:pPr>
      <w:r>
        <w:fldChar w:fldCharType="begin"/>
      </w:r>
      <w:r>
        <w:instrText xml:space="preserve"> HYPERLINK \l "_Toc84844404" </w:instrText>
      </w:r>
      <w:r>
        <w:fldChar w:fldCharType="separate"/>
      </w:r>
      <w:r>
        <w:rPr>
          <w:rStyle w:val="39"/>
          <w:color w:val="auto"/>
        </w:rPr>
        <w:t>11.2</w:t>
      </w:r>
      <w:r>
        <w:rPr>
          <w:rStyle w:val="39"/>
          <w:rFonts w:hint="eastAsia"/>
          <w:color w:val="auto"/>
        </w:rPr>
        <w:t>建议</w:t>
      </w:r>
      <w:r>
        <w:tab/>
      </w:r>
      <w:r>
        <w:fldChar w:fldCharType="begin"/>
      </w:r>
      <w:r>
        <w:instrText xml:space="preserve"> PAGEREF _Toc84844404 \h </w:instrText>
      </w:r>
      <w:r>
        <w:fldChar w:fldCharType="separate"/>
      </w:r>
      <w:r>
        <w:t>246</w:t>
      </w:r>
      <w:r>
        <w:fldChar w:fldCharType="end"/>
      </w:r>
      <w:r>
        <w:fldChar w:fldCharType="end"/>
      </w:r>
    </w:p>
    <w:p>
      <w:pPr>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upperRoman" w:start="1"/>
          <w:cols w:space="425" w:num="1"/>
          <w:docGrid w:type="lines" w:linePitch="312" w:charSpace="0"/>
        </w:sectPr>
      </w:pPr>
      <w:r>
        <w:fldChar w:fldCharType="end"/>
      </w:r>
    </w:p>
    <w:p>
      <w:pPr>
        <w:pStyle w:val="2"/>
        <w:spacing w:before="156" w:after="156"/>
      </w:pPr>
      <w:bookmarkStart w:id="1" w:name="_Toc84844185"/>
      <w:r>
        <w:rPr>
          <w:rFonts w:hint="eastAsia"/>
        </w:rPr>
        <w:t>概述</w:t>
      </w:r>
      <w:bookmarkEnd w:id="1"/>
    </w:p>
    <w:p>
      <w:pPr>
        <w:pStyle w:val="3"/>
        <w:spacing w:before="156" w:after="156"/>
      </w:pPr>
      <w:bookmarkStart w:id="2" w:name="_Toc84844186"/>
      <w:r>
        <w:rPr>
          <w:rFonts w:hint="eastAsia"/>
        </w:rPr>
        <w:t>一、项目背景及由来</w:t>
      </w:r>
      <w:bookmarkEnd w:id="2"/>
    </w:p>
    <w:p>
      <w:pPr>
        <w:ind w:firstLine="480"/>
      </w:pPr>
      <w:r>
        <w:rPr>
          <w:rFonts w:hint="eastAsia"/>
        </w:rPr>
        <w:t>重庆建峰化工股份有限公司是重庆建峰工业集团有限公司下属的全资子公司。重庆建峰工业集团有限公司（原国营816厂，以下简称“建峰集团”），始建于1966年，原属三线核军工企业，现为重庆化医控股（集团）公司骨干企业。</w:t>
      </w:r>
    </w:p>
    <w:p>
      <w:pPr>
        <w:ind w:firstLine="480"/>
      </w:pPr>
      <w:r>
        <w:rPr>
          <w:rFonts w:hint="eastAsia"/>
        </w:rPr>
        <w:t>为满足公司发展需求，根据市场对合成氨的需求，结合重庆卡贝乐化工有限责任公司（以下简称“卡贝乐公司”）甲醇装置弛放气目前燃烧后经烟囱放空，综合利用价值低的的实际情况，重庆建峰化工股份有限公司拟综合利用卡贝乐公司甲醇装置弛放气、补充部分天然气为原料生产合成氨，建设利用化工尾气制20万吨/年合成氨循环经济项目，同时配套建设CO</w:t>
      </w:r>
      <w:r>
        <w:rPr>
          <w:rFonts w:hint="eastAsia"/>
          <w:vertAlign w:val="subscript"/>
        </w:rPr>
        <w:t>2</w:t>
      </w:r>
      <w:r>
        <w:rPr>
          <w:rFonts w:hint="eastAsia"/>
        </w:rPr>
        <w:t>回收单元。产品液氨作为工业化学品原料提供给园区相关企业，以完善园区工业产业链、满足园区对氨的需求，同时解决大量液氨长距离运输和装卸的安全问题。</w:t>
      </w:r>
    </w:p>
    <w:p>
      <w:pPr>
        <w:ind w:firstLine="480"/>
      </w:pPr>
      <w:r>
        <w:rPr>
          <w:rFonts w:hint="eastAsia"/>
        </w:rPr>
        <w:t>拟建项目选址于重庆（长寿）经济技术开发区，根据现场踏勘，项目所在地目前闲置。根据建设单位提供资料，项目所在地原计划由中国核工业建峰化工总厂（现“重庆建峰工业集团有限公司”）投资141414.09万元，实施合成气制40万吨/年硝酸项目（包括20万吨/年合成氨和40万吨/年硝酸两套装置），并且该项目于2007年12月由重庆市环境保护局（现“重庆市生态环境局”）以《重庆市建设项目环境保护批准书》（渝（市）环准【2007】198号）予以批准。目前40万吨/年硝酸装置于2015年1月建成投产；但由于市场原因，该项目20万吨/年合成氨装置于2013年7月宣布停建，并确定不再建设。</w:t>
      </w:r>
    </w:p>
    <w:p>
      <w:pPr>
        <w:ind w:firstLine="480"/>
      </w:pPr>
      <w:r>
        <w:rPr>
          <w:rFonts w:hint="eastAsia"/>
        </w:rPr>
        <w:t>根据项目所在地目前闲置，原环评批复内容尚未实施、且批准时间至今已经超过5年的实际情况，拟建利用化工尾气制20万吨/年合成氨循环经济项目于2020年由重庆市长寿区发展和改革委员会</w:t>
      </w:r>
      <w:r>
        <w:t>备案</w:t>
      </w:r>
      <w:r>
        <w:rPr>
          <w:rFonts w:hint="eastAsia"/>
        </w:rPr>
        <w:t>（</w:t>
      </w:r>
      <w:r>
        <w:t>备案项目编码：</w:t>
      </w:r>
      <w:r>
        <w:rPr>
          <w:rFonts w:hint="eastAsia"/>
        </w:rPr>
        <w:t>2012-500115-04-05-924071），项目性质为“新建”。</w:t>
      </w:r>
    </w:p>
    <w:p>
      <w:pPr>
        <w:pStyle w:val="3"/>
        <w:spacing w:before="156" w:after="156"/>
      </w:pPr>
      <w:bookmarkStart w:id="3" w:name="_Toc84844187"/>
      <w:r>
        <w:rPr>
          <w:rFonts w:hint="eastAsia"/>
        </w:rPr>
        <w:t>二、建设项目特点</w:t>
      </w:r>
      <w:bookmarkEnd w:id="3"/>
    </w:p>
    <w:p>
      <w:pPr>
        <w:ind w:firstLine="480"/>
      </w:pPr>
      <w:r>
        <w:rPr>
          <w:rFonts w:hint="eastAsia"/>
        </w:rPr>
        <w:t>重庆建峰化工股份有限公司利用化工尾气制20万吨/年合成氨循环经济项目主要建设内容包括合成氨装置和CO</w:t>
      </w:r>
      <w:r>
        <w:rPr>
          <w:rFonts w:hint="eastAsia"/>
          <w:vertAlign w:val="subscript"/>
        </w:rPr>
        <w:t>2</w:t>
      </w:r>
      <w:r>
        <w:rPr>
          <w:rFonts w:hint="eastAsia"/>
        </w:rPr>
        <w:t>回收液化装置各一套，配套设置综合库房、分析化验室、中央控制室和配电室等公辅工程，废水处理站、事故池和危险废物暂存间等环保工程；另外，本项目循环水系统、脱盐水系统、液氨储罐依托重庆化医恩力吉投资有限责任公司（以下简称“恩力吉公司”）现有设施；事故应急火炬系统依托重庆化医恩力吉投资有限责任公司拟建火炬系统（火炬装置计划于2022年12月试车）。</w:t>
      </w:r>
    </w:p>
    <w:p>
      <w:pPr>
        <w:ind w:firstLine="480"/>
      </w:pPr>
      <w:r>
        <w:rPr>
          <w:rFonts w:hint="eastAsia"/>
        </w:rPr>
        <w:t>拟建项目总投资60986万元，其中包括环保投资218万元，建成后形成合成氨20万t/a、干冰1.77万t/a、食品级液态CO</w:t>
      </w:r>
      <w:r>
        <w:rPr>
          <w:rFonts w:hint="eastAsia"/>
          <w:vertAlign w:val="subscript"/>
        </w:rPr>
        <w:t>2</w:t>
      </w:r>
      <w:r>
        <w:rPr>
          <w:rFonts w:hint="eastAsia"/>
        </w:rPr>
        <w:t>1.1992万t/a、工业级液态CO</w:t>
      </w:r>
      <w:r>
        <w:rPr>
          <w:rFonts w:hint="eastAsia"/>
          <w:vertAlign w:val="subscript"/>
        </w:rPr>
        <w:t>2</w:t>
      </w:r>
      <w:r>
        <w:rPr>
          <w:rFonts w:hint="eastAsia"/>
        </w:rPr>
        <w:t>4.8679万t/a的生产规模。项目新增劳动定员80人，生产车间实行四班三运转，每班8小时，年生产8000h。</w:t>
      </w:r>
    </w:p>
    <w:p>
      <w:pPr>
        <w:pStyle w:val="3"/>
        <w:spacing w:before="156" w:after="156"/>
      </w:pPr>
      <w:bookmarkStart w:id="4" w:name="_Toc84844188"/>
      <w:r>
        <w:rPr>
          <w:rFonts w:hint="eastAsia"/>
        </w:rPr>
        <w:t>三、环境影响评价工作过程概述</w:t>
      </w:r>
      <w:bookmarkEnd w:id="4"/>
    </w:p>
    <w:p>
      <w:pPr>
        <w:ind w:firstLine="480"/>
      </w:pPr>
      <w:r>
        <w:rPr>
          <w:rFonts w:hint="eastAsia"/>
        </w:rPr>
        <w:t>按照《中华人民共和国环境保护法》、《中华人民共和国环境影响评价法》、《建设项目环境影响评价分类管理名录》（生态环境部第1号令，2018年4月28日起施行）、《建设项目环境保护管理条例》等相关规定，重庆建峰化工股份有限公司利用化工尾气制20万吨/年合成氨循环经济项目应进行环境影响评价工作。</w:t>
      </w:r>
    </w:p>
    <w:p>
      <w:pPr>
        <w:ind w:firstLine="480"/>
      </w:pPr>
      <w:r>
        <w:rPr>
          <w:rFonts w:hint="eastAsia"/>
        </w:rPr>
        <w:t>根据《国民经济行业分类》，拟建项目属于C26-化学原料和化学制品制造业，按照《建设项目环境影响评价分类管理名录》，拟建项目属于二十三、化学原料和化学制品制造业26  基础化学原料制造261。因此，拟建项目需编制环境影响报告书。</w:t>
      </w:r>
    </w:p>
    <w:p>
      <w:pPr>
        <w:ind w:firstLine="480"/>
      </w:pPr>
      <w:r>
        <w:rPr>
          <w:rFonts w:hint="eastAsia"/>
        </w:rPr>
        <w:t>受重庆建峰化工股份有限公司委托，国药集团重庆医药设计院有限公司承担了“利用化工尾气制20万吨/年合成氨循环经济项目”的环境影响评价工作。</w:t>
      </w:r>
    </w:p>
    <w:p>
      <w:pPr>
        <w:ind w:firstLine="480"/>
      </w:pPr>
      <w:r>
        <w:rPr>
          <w:rFonts w:hint="eastAsia"/>
        </w:rPr>
        <w:t>接受委托后，我公司随即成立了项目组，开展了相关工作。根据项目特点，结合收集的相关资料，进行环境影响识别，制定工作方案；开展评价范围内的环境现状调查与监测，同时开展项目工程分析；在现状调查和工程分析的基础上进行各环境要素的影响预测与评价，针对性的提出环境保护措施，并进行技术经济论证。整理各阶段的工作成果，编制环境影响报告书，论证工程建设的环境可行性。在整个环境影响评价过程中，建设单位作为责任主体将项目环境影响评价的基本情况和内容成果向周边公众进行了公开，广泛征集了公众对拟建项目环境保护方面的意见。</w:t>
      </w:r>
    </w:p>
    <w:p>
      <w:pPr>
        <w:pStyle w:val="3"/>
        <w:spacing w:before="156" w:after="156"/>
      </w:pPr>
      <w:bookmarkStart w:id="5" w:name="_Toc84844189"/>
      <w:r>
        <w:rPr>
          <w:rFonts w:hint="eastAsia"/>
        </w:rPr>
        <w:t>四、分析判定相关情况</w:t>
      </w:r>
      <w:bookmarkEnd w:id="5"/>
    </w:p>
    <w:p>
      <w:pPr>
        <w:ind w:firstLine="480"/>
      </w:pPr>
      <w:r>
        <w:rPr>
          <w:rFonts w:hint="eastAsia"/>
        </w:rPr>
        <w:t>（1）评价等级判定</w:t>
      </w:r>
    </w:p>
    <w:p>
      <w:pPr>
        <w:ind w:firstLine="480"/>
      </w:pPr>
      <w:r>
        <w:t>根据各要素环境影响评价技术导则的具体要求，并结合拟建项目工程分析，</w:t>
      </w:r>
      <w:r>
        <w:rPr>
          <w:rFonts w:hint="eastAsia"/>
        </w:rPr>
        <w:t>本次评价各要素评价等级</w:t>
      </w:r>
      <w:r>
        <w:t>判定</w:t>
      </w:r>
      <w:r>
        <w:rPr>
          <w:rFonts w:hint="eastAsia"/>
        </w:rPr>
        <w:t>如下：</w:t>
      </w:r>
    </w:p>
    <w:p>
      <w:pPr>
        <w:ind w:firstLine="480"/>
      </w:pPr>
      <w:r>
        <w:t>大气环境评价工作等级</w:t>
      </w:r>
      <w:r>
        <w:rPr>
          <w:rFonts w:hint="eastAsia"/>
        </w:rPr>
        <w:t>：</w:t>
      </w:r>
      <w:r>
        <w:t>一级</w:t>
      </w:r>
      <w:r>
        <w:rPr>
          <w:rFonts w:hint="eastAsia"/>
        </w:rPr>
        <w:t>；</w:t>
      </w:r>
      <w:r>
        <w:t>地表水评价工作等级</w:t>
      </w:r>
      <w:r>
        <w:rPr>
          <w:rFonts w:hint="eastAsia"/>
        </w:rPr>
        <w:t>：</w:t>
      </w:r>
      <w:r>
        <w:t>三级B</w:t>
      </w:r>
      <w:r>
        <w:rPr>
          <w:rFonts w:hint="eastAsia"/>
        </w:rPr>
        <w:t>；</w:t>
      </w:r>
      <w:r>
        <w:t>地下水评价工作等级</w:t>
      </w:r>
      <w:r>
        <w:rPr>
          <w:rFonts w:hint="eastAsia"/>
        </w:rPr>
        <w:t>：</w:t>
      </w:r>
      <w:r>
        <w:t>二级</w:t>
      </w:r>
      <w:r>
        <w:rPr>
          <w:rFonts w:hint="eastAsia"/>
        </w:rPr>
        <w:t>；</w:t>
      </w:r>
      <w:r>
        <w:t>声环境评价工作等级</w:t>
      </w:r>
      <w:r>
        <w:rPr>
          <w:rFonts w:hint="eastAsia"/>
        </w:rPr>
        <w:t>：</w:t>
      </w:r>
      <w:r>
        <w:t>三级</w:t>
      </w:r>
      <w:r>
        <w:rPr>
          <w:rFonts w:hint="eastAsia"/>
        </w:rPr>
        <w:t>；</w:t>
      </w:r>
      <w:r>
        <w:t>土壤评价等级</w:t>
      </w:r>
      <w:r>
        <w:rPr>
          <w:rFonts w:hint="eastAsia"/>
        </w:rPr>
        <w:t>：</w:t>
      </w:r>
      <w:r>
        <w:t>二级</w:t>
      </w:r>
      <w:r>
        <w:rPr>
          <w:rFonts w:hint="eastAsia"/>
        </w:rPr>
        <w:t>；</w:t>
      </w:r>
      <w:r>
        <w:t>风险评价工作等级</w:t>
      </w:r>
      <w:r>
        <w:rPr>
          <w:rFonts w:hint="eastAsia"/>
        </w:rPr>
        <w:t>：大气环境风险评价等级为一级、地表水环境风险评价等级为一级、地下水环境风险评价等级为二级。</w:t>
      </w:r>
    </w:p>
    <w:p>
      <w:pPr>
        <w:ind w:firstLine="480"/>
      </w:pPr>
      <w:r>
        <w:t>（</w:t>
      </w:r>
      <w:r>
        <w:rPr>
          <w:rFonts w:hint="eastAsia"/>
        </w:rPr>
        <w:t>2</w:t>
      </w:r>
      <w:r>
        <w:t>）产业政策符合性</w:t>
      </w:r>
    </w:p>
    <w:p>
      <w:pPr>
        <w:ind w:firstLine="480"/>
      </w:pPr>
      <w:r>
        <w:rPr>
          <w:rFonts w:hint="eastAsia"/>
        </w:rPr>
        <w:t>拟建项目综合利用卡贝乐公司甲醇装置弛放气、补充部分天然气为原料合成氨，原料气制气工序采用脱硫、一段蒸汽转化、2.9MPa条件下高温变换工艺制气。</w:t>
      </w:r>
      <w:r>
        <w:t>根据</w:t>
      </w:r>
      <w:r>
        <w:rPr>
          <w:rFonts w:hint="eastAsia"/>
        </w:rPr>
        <w:t>《产业结构调整指导目录 （2019年本）》（中华人民共和国国家发展和改革委员会令第29号），</w:t>
      </w:r>
      <w:r>
        <w:t>不属于指导目录中“限制类”和“淘汰类”项目，属于允许类项目；并且</w:t>
      </w:r>
      <w:r>
        <w:rPr>
          <w:rFonts w:hint="eastAsia"/>
        </w:rPr>
        <w:t>该项目已经重庆市长寿区发展和改革委员会</w:t>
      </w:r>
      <w:r>
        <w:t>备案</w:t>
      </w:r>
      <w:r>
        <w:rPr>
          <w:rFonts w:hint="eastAsia"/>
        </w:rPr>
        <w:t>（2019-500115-26-03-103990）。</w:t>
      </w:r>
    </w:p>
    <w:p>
      <w:pPr>
        <w:ind w:firstLine="480"/>
      </w:pPr>
      <w:r>
        <w:t>因此，拟建项目的建设符合国家产业政策要求。</w:t>
      </w:r>
    </w:p>
    <w:p>
      <w:pPr>
        <w:ind w:firstLine="480"/>
      </w:pPr>
      <w:r>
        <w:rPr>
          <w:rFonts w:hint="eastAsia"/>
        </w:rPr>
        <w:t>（3）规划符合性及选址合理性</w:t>
      </w:r>
    </w:p>
    <w:p>
      <w:pPr>
        <w:ind w:firstLine="480"/>
      </w:pPr>
      <w:r>
        <w:rPr>
          <w:rFonts w:hint="eastAsia"/>
        </w:rPr>
        <w:t>拟建项目选址于重庆（长寿）经济技术开发区晏家组团G标准分区，</w:t>
      </w:r>
      <w:r>
        <w:t>符合《重庆市产业投资准入工作手册》</w:t>
      </w:r>
      <w:r>
        <w:rPr>
          <w:rFonts w:hint="eastAsia"/>
        </w:rPr>
        <w:t>、《重庆市长江经济带发展负面清单实施细则（试行）》</w:t>
      </w:r>
      <w:r>
        <w:t>和重庆市工业项目环境准入规定，符合《重庆市长寿区城乡总体规划》，满足《重庆市长寿经济技术开发区规划环境影响报告书》及审查意见中产业规划及</w:t>
      </w:r>
      <w:r>
        <w:rPr>
          <w:rFonts w:hint="eastAsia"/>
        </w:rPr>
        <w:t>“</w:t>
      </w:r>
      <w:r>
        <w:t>三线一单</w:t>
      </w:r>
      <w:r>
        <w:rPr>
          <w:rFonts w:hint="eastAsia"/>
        </w:rPr>
        <w:t>”管理</w:t>
      </w:r>
      <w:r>
        <w:t>要求</w:t>
      </w:r>
      <w:r>
        <w:rPr>
          <w:rFonts w:hint="eastAsia"/>
        </w:rPr>
        <w:t>，项目符合相关环保政策和规划；同时拟建项目所在区域环境质量较好，有环境容量；项目所排污染物均实现达标排放；项目完成后，评价区域环境质量维持现状，仍能满足环境质量标准及功能区划要求。项目总平面布置合理，风险可控，从环境保护的角度考虑拟建项目选址合理。</w:t>
      </w:r>
    </w:p>
    <w:p>
      <w:pPr>
        <w:pStyle w:val="3"/>
        <w:spacing w:before="156" w:after="156"/>
      </w:pPr>
      <w:bookmarkStart w:id="6" w:name="_Toc84844190"/>
      <w:r>
        <w:rPr>
          <w:rFonts w:hint="eastAsia"/>
        </w:rPr>
        <w:t>五、关注的主要环境问题及环境影响</w:t>
      </w:r>
      <w:bookmarkEnd w:id="6"/>
    </w:p>
    <w:p>
      <w:pPr>
        <w:ind w:firstLine="480"/>
      </w:pPr>
      <w:r>
        <w:rPr>
          <w:rFonts w:hint="eastAsia"/>
        </w:rPr>
        <w:t>拟建项目环境影响评价关注的主要环境问题包括以下几个方面：①产业政策及相关规划符合性，选址合理性；②项目的建设对环境空气、地表水、地下水、土壤、噪声及固体废物等环境的影响；③废气、废水、噪声及固体废物（主要为危险废物）污染防治措施的有效性、合理性；④项目运行中的环境风险及污染物排放总量。</w:t>
      </w:r>
    </w:p>
    <w:p>
      <w:pPr>
        <w:pStyle w:val="3"/>
        <w:spacing w:before="156" w:after="156"/>
      </w:pPr>
      <w:bookmarkStart w:id="7" w:name="_Toc84844191"/>
      <w:r>
        <w:rPr>
          <w:rFonts w:hint="eastAsia"/>
        </w:rPr>
        <w:t>六、主要环境保护措施及环境影响</w:t>
      </w:r>
      <w:bookmarkEnd w:id="7"/>
    </w:p>
    <w:p>
      <w:pPr>
        <w:ind w:firstLine="480"/>
      </w:pPr>
      <w:r>
        <w:rPr>
          <w:rFonts w:hint="eastAsia"/>
        </w:rPr>
        <w:t>（1）废气</w:t>
      </w:r>
    </w:p>
    <w:p>
      <w:pPr>
        <w:ind w:firstLine="480"/>
      </w:pPr>
      <w:r>
        <w:rPr>
          <w:rFonts w:hint="eastAsia"/>
        </w:rPr>
        <w:t>拟建项目废气主要为一段转化炉烟气、废水处理站臭气和无组织排放废气。</w:t>
      </w:r>
    </w:p>
    <w:p>
      <w:pPr>
        <w:ind w:firstLine="480"/>
      </w:pPr>
      <w:r>
        <w:rPr>
          <w:rFonts w:hint="eastAsia"/>
        </w:rPr>
        <w:t>一段转化炉烟气：拟建项目一段转化炉以天然气、CO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w:t>
      </w:r>
    </w:p>
    <w:p>
      <w:pPr>
        <w:ind w:firstLine="480"/>
      </w:pPr>
      <w:r>
        <w:rPr>
          <w:rFonts w:hint="eastAsia"/>
        </w:rPr>
        <w:t>废水处理站臭气：废水处理站调节池、SBR生化池、污泥浓缩池等产臭构筑物加盖密闭，臭气管道集中收集，采用“活性炭吸附”处理达标后，经15m高排气筒排放。</w:t>
      </w:r>
    </w:p>
    <w:p>
      <w:pPr>
        <w:ind w:firstLine="480"/>
      </w:pPr>
      <w:r>
        <w:rPr>
          <w:rFonts w:hint="eastAsia"/>
        </w:rPr>
        <w:t>无组织排放废气：拟建项目无组织散排废气主要来源于阀门、法兰等管道连接处。</w:t>
      </w:r>
      <w:r>
        <w:rPr>
          <w:rFonts w:hint="eastAsia"/>
          <w:kern w:val="0"/>
        </w:rPr>
        <w:t>为控制无组织废气的排放量，拟建项目</w:t>
      </w:r>
      <w:r>
        <w:rPr>
          <w:rFonts w:hint="eastAsia"/>
        </w:rPr>
        <w:t>生产过程采用全密闭设备，且安装先进的自动控制系统和安全报警装置，系统可根据压力、阀位检测、温度、流量等参数自动对工艺或设备故障进行自动诊断，并设有设有可燃、有毒气体检测报警仪，一旦发生气体泄漏，系统将自动报警，并立即采取措施，所以拟建项目生产装置区的无组织排放量控制在较低水平；拟建项目液氨闪蒸槽废气经管道收集接入氨洗塔，水洗处理后排入一段转化炉作为燃料回收利用；二氧化碳储罐区呼吸废气管道集中收集，返回CO</w:t>
      </w:r>
      <w:r>
        <w:rPr>
          <w:rFonts w:hint="eastAsia"/>
          <w:vertAlign w:val="subscript"/>
        </w:rPr>
        <w:t>2</w:t>
      </w:r>
      <w:r>
        <w:rPr>
          <w:rFonts w:hint="eastAsia"/>
        </w:rPr>
        <w:t>压缩机段间经升压后回收利用；CO</w:t>
      </w:r>
      <w:r>
        <w:rPr>
          <w:rFonts w:hint="eastAsia"/>
          <w:vertAlign w:val="subscript"/>
        </w:rPr>
        <w:t>2</w:t>
      </w:r>
      <w:r>
        <w:rPr>
          <w:rFonts w:hint="eastAsia"/>
        </w:rPr>
        <w:t>提纯塔顶部的废气经预冷器回收冷量，并用于纯化干燥工序吸附器再生后送一段转化炉作为燃料回收利用。</w:t>
      </w:r>
    </w:p>
    <w:p>
      <w:pPr>
        <w:ind w:firstLine="480"/>
      </w:pPr>
      <w:r>
        <w:rPr>
          <w:rFonts w:hint="eastAsia"/>
        </w:rPr>
        <w:t>在日常生产中必须加强设备的维修、保持储罐、设备的严密性、不断改进生产操作管理。对各配套设施定期彻底检查，确保气密性符合要求。采取以上措施后，可将无组织废气排放量降到最低。</w:t>
      </w:r>
    </w:p>
    <w:p>
      <w:pPr>
        <w:ind w:firstLine="480"/>
      </w:pPr>
      <w:r>
        <w:rPr>
          <w:rFonts w:hint="eastAsia" w:eastAsiaTheme="minorEastAsia"/>
        </w:rPr>
        <w:t>根据预测结果，拟建项目新增污染源正常排放下，</w:t>
      </w:r>
      <w:r>
        <w:rPr>
          <w:rFonts w:hint="eastAsia"/>
        </w:rPr>
        <w:t>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r>
        <w:rPr>
          <w:rFonts w:hint="eastAsia" w:eastAsiaTheme="minorEastAsia"/>
        </w:rPr>
        <w:t>等各因子短期（小时平均、日平均）浓度贡献值的最大浓度占标率均小于100%；各污染因子</w:t>
      </w:r>
      <w:r>
        <w:rPr>
          <w:rFonts w:hint="eastAsia"/>
        </w:rPr>
        <w:t>年均浓度贡献值的最大浓度占标率均</w:t>
      </w:r>
      <w:r>
        <w:rPr>
          <w:rFonts w:eastAsiaTheme="minorEastAsia"/>
        </w:rPr>
        <w:t>小于30%。</w:t>
      </w:r>
    </w:p>
    <w:p>
      <w:pPr>
        <w:ind w:firstLine="480"/>
        <w:rPr>
          <w:rFonts w:eastAsiaTheme="minorEastAsia"/>
        </w:rPr>
      </w:pPr>
      <w:r>
        <w:rPr>
          <w:rFonts w:hint="eastAsia" w:eastAsiaTheme="minorEastAsia"/>
        </w:rPr>
        <w:t>拟建</w:t>
      </w:r>
      <w:r>
        <w:rPr>
          <w:rFonts w:eastAsiaTheme="minorEastAsia"/>
        </w:rPr>
        <w:t>项目建成后，</w:t>
      </w:r>
      <w:r>
        <w:rPr>
          <w:rFonts w:hint="eastAsia"/>
        </w:rPr>
        <w:t>各污染源排放SO</w:t>
      </w:r>
      <w:r>
        <w:rPr>
          <w:rFonts w:hint="eastAsia"/>
          <w:vertAlign w:val="subscript"/>
        </w:rPr>
        <w:t>2</w:t>
      </w:r>
      <w:r>
        <w:rPr>
          <w:rFonts w:hint="eastAsia"/>
        </w:rPr>
        <w:t>、NOx和PM</w:t>
      </w:r>
      <w:r>
        <w:rPr>
          <w:rFonts w:hint="eastAsia"/>
          <w:vertAlign w:val="subscript"/>
        </w:rPr>
        <w:t>10</w:t>
      </w:r>
      <w:r>
        <w:rPr>
          <w:rFonts w:hint="eastAsia"/>
        </w:rPr>
        <w:t>在评价范围内各环境空气保护目标和网格点最大年均浓度叠加背景浓度值、区域削减源和及在建污染源后，各污染物浓度均满足《环境空气质量标准》（GB3095-2012）二级标准要求；NH</w:t>
      </w:r>
      <w:r>
        <w:rPr>
          <w:rFonts w:hint="eastAsia"/>
          <w:vertAlign w:val="subscript"/>
        </w:rPr>
        <w:t>3</w:t>
      </w:r>
      <w:r>
        <w:rPr>
          <w:rFonts w:hint="eastAsia"/>
        </w:rPr>
        <w:t>和非甲烷总烃在评价范围内各环境空气保护目标和网格点最大小时浓度贡献值叠加补充监测现状数据、区域削减源及在建污染源后，各污染物浓度分别满足</w:t>
      </w:r>
      <w:r>
        <w:rPr>
          <w:rFonts w:eastAsiaTheme="minorEastAsia"/>
        </w:rPr>
        <w:t>《环境影响评价技术导则 大气环境》（H.J 2.2-2018）附录D中浓度按参考限值</w:t>
      </w:r>
      <w:r>
        <w:rPr>
          <w:rFonts w:hint="eastAsia" w:eastAsiaTheme="minorEastAsia"/>
        </w:rPr>
        <w:t>和参照执行的</w:t>
      </w:r>
      <w:r>
        <w:rPr>
          <w:rFonts w:eastAsiaTheme="minorEastAsia"/>
        </w:rPr>
        <w:t>《环境空气质量 非甲烷总烃限值》（DB13/1577-2012）二级标准浓度限值</w:t>
      </w:r>
      <w:r>
        <w:rPr>
          <w:rFonts w:hint="eastAsia" w:eastAsiaTheme="minorEastAsia"/>
        </w:rPr>
        <w:t>要求。</w:t>
      </w:r>
    </w:p>
    <w:p>
      <w:pPr>
        <w:ind w:firstLine="480"/>
        <w:rPr>
          <w:rFonts w:eastAsiaTheme="minorEastAsia"/>
        </w:rPr>
      </w:pPr>
      <w:r>
        <w:rPr>
          <w:rFonts w:hint="eastAsia"/>
          <w:kern w:val="24"/>
        </w:rPr>
        <w:t>同时，根据预测实施区域削减方案后，拟建项目PM</w:t>
      </w:r>
      <w:r>
        <w:rPr>
          <w:rFonts w:hint="eastAsia"/>
          <w:kern w:val="24"/>
          <w:vertAlign w:val="subscript"/>
        </w:rPr>
        <w:t>2.5</w:t>
      </w:r>
      <w:r>
        <w:rPr>
          <w:rFonts w:hint="eastAsia"/>
          <w:kern w:val="24"/>
        </w:rPr>
        <w:t>预测范围的年平均浓度变化率k小于-20%。因此，及拟建项目实施区域削减方案后区域环境质量整体改善。</w:t>
      </w:r>
    </w:p>
    <w:p>
      <w:pPr>
        <w:ind w:firstLine="480"/>
      </w:pPr>
      <w:r>
        <w:rPr>
          <w:rFonts w:hint="eastAsia" w:eastAsiaTheme="minorEastAsia"/>
        </w:rPr>
        <w:t>因此，拟建项目正常工况排放的废气对区域大气环境影响程度可接受。</w:t>
      </w:r>
    </w:p>
    <w:p>
      <w:pPr>
        <w:ind w:firstLine="480"/>
      </w:pPr>
      <w:r>
        <w:rPr>
          <w:rFonts w:hint="eastAsia"/>
        </w:rPr>
        <w:t>（2）废水</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hint="eastAsia"/>
        </w:rPr>
        <w:t>拟建项目废水处理达标后排放对地表水环境影响可接受。</w:t>
      </w:r>
    </w:p>
    <w:p>
      <w:pPr>
        <w:ind w:firstLine="480"/>
      </w:pPr>
      <w:r>
        <w:rPr>
          <w:rFonts w:hint="eastAsia"/>
        </w:rPr>
        <w:t>（3）固体废物</w:t>
      </w:r>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ind w:firstLine="480"/>
      </w:pPr>
      <w:r>
        <w:rPr>
          <w:rFonts w:hint="eastAsia"/>
        </w:rPr>
        <w:t>拟建项目新建建筑面积为175m</w:t>
      </w:r>
      <w:r>
        <w:rPr>
          <w:rFonts w:hint="eastAsia"/>
          <w:vertAlign w:val="superscript"/>
        </w:rPr>
        <w:t>2</w:t>
      </w:r>
      <w:r>
        <w:rPr>
          <w:rFonts w:hint="eastAsia"/>
        </w:rPr>
        <w:t>的危险废物暂存间。危险废物分类收集，采用专用桶/袋装后，分区暂存于危废暂存间，在装卸、运输、堆放过程中，应严格进行固体废物包装的检查，在运出危险废物临时暂存点时其包装应是完好和密封的，避免有害废物的泄漏等产生二次污染。</w:t>
      </w:r>
    </w:p>
    <w:p>
      <w:pPr>
        <w:ind w:firstLine="480"/>
      </w:pPr>
      <w:r>
        <w:rPr>
          <w:rFonts w:hint="eastAsia"/>
        </w:rPr>
        <w:t>采取以上措施后，拟建项目产生的固体废物均得到有效处置，对环境影响可接受。</w:t>
      </w:r>
    </w:p>
    <w:p>
      <w:pPr>
        <w:ind w:firstLine="480"/>
      </w:pPr>
      <w:r>
        <w:rPr>
          <w:rFonts w:hint="eastAsia"/>
        </w:rPr>
        <w:t>（4）噪声</w:t>
      </w:r>
    </w:p>
    <w:p>
      <w:pPr>
        <w:ind w:firstLine="480"/>
      </w:pPr>
      <w:r>
        <w:rPr>
          <w:rFonts w:hint="eastAsia"/>
        </w:rPr>
        <w:t>拟建项目主要的噪声源有各类泵、风机、压缩机和制冷机组等机械设备，噪声值在85～100dB（A）。</w:t>
      </w:r>
    </w:p>
    <w:p>
      <w:pPr>
        <w:ind w:firstLine="480"/>
      </w:pPr>
      <w:r>
        <w:t>拟建项目设备选型时尽量选用低噪声设备，通过在建筑上采取隔音设计，部分设备采取减振、隔震、设消声器等措施进行治理。</w:t>
      </w:r>
    </w:p>
    <w:p>
      <w:pPr>
        <w:ind w:firstLine="480"/>
      </w:pPr>
      <w:r>
        <w:rPr>
          <w:rFonts w:hint="eastAsia"/>
        </w:rPr>
        <w:t>根据预测，项目在采取了一系列的减振、消声和吸声等噪声防治措施后，厂界噪声值昼、夜间均可满足《工业企业厂界环境噪声排放标准》（GB12348-2008）3类标准要求，对环境的影响较小。</w:t>
      </w:r>
    </w:p>
    <w:p>
      <w:pPr>
        <w:ind w:firstLine="480"/>
      </w:pPr>
      <w:r>
        <w:rPr>
          <w:rFonts w:hint="eastAsia"/>
        </w:rPr>
        <w:t>（5）地下水</w:t>
      </w:r>
    </w:p>
    <w:p>
      <w:pPr>
        <w:ind w:firstLine="480"/>
      </w:pPr>
      <w:r>
        <w:rPr>
          <w:rFonts w:hint="eastAsia" w:eastAsiaTheme="minorEastAsia"/>
        </w:rPr>
        <w:t>拟建项目所在区域地下水类型为HCO</w:t>
      </w:r>
      <w:r>
        <w:rPr>
          <w:rFonts w:hint="eastAsia" w:eastAsiaTheme="minorEastAsia"/>
          <w:vertAlign w:val="subscript"/>
        </w:rPr>
        <w:t>3</w:t>
      </w:r>
      <w:r>
        <w:rPr>
          <w:rFonts w:hint="eastAsia" w:eastAsiaTheme="minorEastAsia"/>
        </w:rPr>
        <w:t>-Ca•Mg型水，各监测点位各项因子均满足《地下水质量标准》（GB/T14848-2017）III类标准要求</w:t>
      </w:r>
      <w:r>
        <w:t>。</w:t>
      </w:r>
      <w:r>
        <w:rPr>
          <w:rFonts w:hint="eastAsia" w:eastAsiaTheme="minorEastAsia"/>
        </w:rPr>
        <w:t>经预测，</w:t>
      </w:r>
      <w:r>
        <w:rPr>
          <w:rFonts w:hint="eastAsia"/>
        </w:rPr>
        <w:t>在非正常工况下，不考虑污染物在含水层的吸附、挥发、生物化学反应，地坪清洗水一旦泄漏进入地下水系统，将会对局部地下水造成污染，100d时，最大超标运移距离为COD：44.5m、NH</w:t>
      </w:r>
      <w:r>
        <w:rPr>
          <w:rFonts w:hint="eastAsia"/>
          <w:vertAlign w:val="subscript"/>
        </w:rPr>
        <w:t>3</w:t>
      </w:r>
      <w:r>
        <w:rPr>
          <w:rFonts w:hint="eastAsia"/>
        </w:rPr>
        <w:t>-N：54.5m；1000d时，最大超标运移距离为COD：166m、NH</w:t>
      </w:r>
      <w:r>
        <w:rPr>
          <w:rFonts w:hint="eastAsia"/>
          <w:vertAlign w:val="subscript"/>
        </w:rPr>
        <w:t>3</w:t>
      </w:r>
      <w:r>
        <w:rPr>
          <w:rFonts w:hint="eastAsia"/>
        </w:rPr>
        <w:t>-N：198m，该范围内不存在地下水环境保护目标，且不会流入长江。评价区域周边居民已全部使用自来水作为饮用水源，厂址区污染物的泄露也不会对周边居民饮用水水源的造成影响。</w:t>
      </w:r>
    </w:p>
    <w:p>
      <w:pPr>
        <w:ind w:firstLine="480"/>
      </w:pPr>
      <w:r>
        <w:rPr>
          <w:rFonts w:hint="eastAsia"/>
        </w:rPr>
        <w:t>根据工程设计，拟建项目采取分区防渗：重点污染防治区如生产装置区、储罐区、废水处理站、危废暂存间和事故池等区域，防渗层的防渗性能不应低于6.0m厚渗透系数为1.0×10</w:t>
      </w:r>
      <w:r>
        <w:rPr>
          <w:rFonts w:hint="eastAsia"/>
          <w:vertAlign w:val="superscript"/>
        </w:rPr>
        <w:t>-7</w:t>
      </w:r>
      <w:r>
        <w:rPr>
          <w:rFonts w:hint="eastAsia"/>
        </w:rPr>
        <w:t>cm/s的黏土层的防渗性能，一般污染防治区如综合楼以及重点污染防治区域附近区域，防渗层的防渗性能不应低于1.5m厚渗透系数1.0×10</w:t>
      </w:r>
      <w:r>
        <w:rPr>
          <w:rFonts w:hint="eastAsia"/>
          <w:vertAlign w:val="superscript"/>
        </w:rPr>
        <w:t>-7</w:t>
      </w:r>
      <w:r>
        <w:rPr>
          <w:rFonts w:hint="eastAsia"/>
        </w:rPr>
        <w:t>cm/s的黏土层的防渗性能。另外，厂区内污水、物料输送管道均采用“可视化”设计，厂区除绿化地带以外的地面均进行硬化，正常工况下拟建项目涉及的物料洒漏、消防废水等渗入地下的几率极小，拟建项目对地下水影响甚微。</w:t>
      </w:r>
    </w:p>
    <w:p>
      <w:pPr>
        <w:ind w:firstLine="480"/>
      </w:pPr>
      <w:r>
        <w:rPr>
          <w:rFonts w:hint="eastAsia"/>
        </w:rPr>
        <w:t>（6）土壤</w:t>
      </w:r>
    </w:p>
    <w:p>
      <w:pPr>
        <w:ind w:firstLine="480"/>
      </w:pPr>
      <w:r>
        <w:rPr>
          <w:rFonts w:hint="eastAsia"/>
        </w:rPr>
        <w:t>针对可能发生的土壤环境影响，拟建项目采取以下环保措施：</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拟建项目厂区内设置废水两级防控，生产装置区设围堤和导流设施，一旦发生事故性泄漏、遇明火发生火灾爆炸，事故废水可被截流在围堤内，围堤收集能力不够时可通过管道排至事故池，然后根据实际情况分批排入废水处理站处理达标后排放；设置雨水管网和雨污切换阀，保证可能受污染的初期雨水排至至厂内事故水池。全面防控事故废水和可能受污染的雨水发生地面漫流，进入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拟建项目针对厂区制定分区防渗，对生产装置区、废水处理站、危废暂存间和事故池等区域采取重点防渗；对综合楼以及重点污染防治区域附近区域采取一般防渗；对厂区道路等采用一般地面硬化。</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跟踪监测：对厂区范围内的土壤定期监测，发现土壤污染时，及时查找泄漏源，防止污染源的进一步下渗，必要时对已污染的土壤进行替换或修复。基于建设项目现状监测点设置兼顾土壤环境影响跟踪监测计划的原则，环评建议在厂区内合成氨装置区旁设置土壤跟踪监测点，拟建项目相关的监测因子主要为：氨，监测频次为1次/5年。</w:t>
      </w:r>
    </w:p>
    <w:p>
      <w:pPr>
        <w:ind w:firstLine="480"/>
      </w:pPr>
      <w:r>
        <w:rPr>
          <w:rFonts w:hint="eastAsia"/>
        </w:rPr>
        <w:t>拟建项目土壤污染防治措施技术成熟可行，在全面落实两级防控和分区防渗措施的情况下，本工程对土壤影响较小。</w:t>
      </w:r>
    </w:p>
    <w:p>
      <w:pPr>
        <w:ind w:firstLine="480"/>
      </w:pPr>
      <w:r>
        <w:rPr>
          <w:rFonts w:hint="eastAsia"/>
        </w:rPr>
        <w:t>（7）环境风险</w:t>
      </w:r>
    </w:p>
    <w:p>
      <w:pPr>
        <w:ind w:firstLine="480"/>
        <w:rPr>
          <w:rFonts w:eastAsiaTheme="minorEastAsia"/>
        </w:rPr>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t>项目危险因素</w:t>
      </w:r>
      <w:r>
        <w:rPr>
          <w:rFonts w:hint="eastAsia"/>
        </w:rPr>
        <w:t>：拟建项目涉及的甲烷、氨、甲醇等属于《建设项目环境风险评价技术导则》（HJ169-2018）附录B中有临界量的重点关注的危险物质；环境风险源主要为装置区、物料管道、</w:t>
      </w:r>
      <w:r>
        <w:rPr>
          <w:rFonts w:hint="eastAsia" w:eastAsiaTheme="minorEastAsia"/>
        </w:rPr>
        <w:t>废水处理站和危废暂存间等</w:t>
      </w:r>
      <w:r>
        <w:rPr>
          <w:rFonts w:eastAsiaTheme="minorEastAsia"/>
        </w:rPr>
        <w:t>。</w:t>
      </w:r>
    </w:p>
    <w:p>
      <w:pPr>
        <w:ind w:firstLine="480"/>
      </w:pPr>
      <w:r>
        <w:t>经统计，</w:t>
      </w:r>
      <w:r>
        <w:rPr>
          <w:rFonts w:hint="eastAsia"/>
        </w:rPr>
        <w:t>拟建项目Q=8.027，属于1≤Q＜10；</w:t>
      </w:r>
      <w:r>
        <w:t>本项目</w:t>
      </w:r>
      <w:r>
        <w:rPr>
          <w:rFonts w:hint="eastAsia"/>
        </w:rPr>
        <w:t>生产过程中涉及</w:t>
      </w:r>
      <w:r>
        <w:t>合成氨工艺</w:t>
      </w:r>
      <w:r>
        <w:rPr>
          <w:rFonts w:hint="eastAsia"/>
        </w:rPr>
        <w:t>和氧化工艺各1套，并且涉及高温、高压设备，全厂M=55，以M1表示。</w:t>
      </w:r>
    </w:p>
    <w:p>
      <w:pPr>
        <w:ind w:firstLine="480"/>
      </w:pPr>
      <w:r>
        <w:rPr>
          <w:rFonts w:hint="eastAsia"/>
        </w:rPr>
        <w:t>拟建项目</w:t>
      </w:r>
      <w:r>
        <w:rPr>
          <w:rFonts w:hint="eastAsia" w:eastAsiaTheme="minorEastAsia"/>
        </w:rPr>
        <w:t>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t>环境敏感性</w:t>
      </w:r>
    </w:p>
    <w:p>
      <w:pPr>
        <w:ind w:firstLine="480"/>
        <w:rPr>
          <w:rFonts w:eastAsiaTheme="minorEastAsia"/>
        </w:rPr>
      </w:pPr>
      <w:r>
        <w:rPr>
          <w:rFonts w:eastAsiaTheme="minorEastAsia"/>
        </w:rPr>
        <w:t>大气环境敏感程度分级</w:t>
      </w:r>
      <w:r>
        <w:rPr>
          <w:rFonts w:hint="eastAsia" w:eastAsiaTheme="minorEastAsia"/>
        </w:rPr>
        <w:t>：</w:t>
      </w:r>
      <w:r>
        <w:rPr>
          <w:rFonts w:eastAsiaTheme="minorEastAsia"/>
        </w:rPr>
        <w:t>拟建项目环境敏感目标为周边5km范围内居住区、医疗卫生、文化教育、科研、行政办公等机构人口总数大于5万人，敏感程度为E1。</w:t>
      </w:r>
    </w:p>
    <w:p>
      <w:pPr>
        <w:ind w:firstLine="480"/>
        <w:rPr>
          <w:rFonts w:eastAsiaTheme="minorEastAsia"/>
        </w:rPr>
      </w:pPr>
      <w:r>
        <w:rPr>
          <w:rFonts w:eastAsiaTheme="minorEastAsia"/>
        </w:rPr>
        <w:t>地表水环境敏感程度分级</w:t>
      </w:r>
      <w:r>
        <w:rPr>
          <w:rFonts w:hint="eastAsia" w:eastAsiaTheme="minorEastAsia"/>
        </w:rPr>
        <w:t>：</w:t>
      </w:r>
      <w:r>
        <w:rPr>
          <w:rFonts w:eastAsiaTheme="minorEastAsia"/>
        </w:rPr>
        <w:t>拟建项目</w:t>
      </w:r>
      <w:r>
        <w:rPr>
          <w:rFonts w:hint="eastAsia" w:eastAsiaTheme="minorEastAsia"/>
        </w:rPr>
        <w:t>最终受纳水体</w:t>
      </w:r>
      <w:r>
        <w:rPr>
          <w:rFonts w:eastAsiaTheme="minorEastAsia"/>
        </w:rPr>
        <w:t>长江为III类水域，按地表水功能敏感性分区为较敏感F2。中法水务排放口位于长江重庆段四大家鱼国家级水产种质资源保护区，按地表水环境敏感目标分级为S1。依据事故情况下危险物质泄漏到水体的排放点受纳地表水体功能敏感性，与下游环境敏感目标情况，地表水环境敏感程度为E1。</w:t>
      </w:r>
    </w:p>
    <w:p>
      <w:pPr>
        <w:ind w:firstLine="480"/>
        <w:rPr>
          <w:rFonts w:eastAsiaTheme="minorEastAsia"/>
        </w:rPr>
      </w:pPr>
      <w:r>
        <w:rPr>
          <w:rFonts w:eastAsiaTheme="minorEastAsia"/>
        </w:rPr>
        <w:t>地下水环境敏感程度分级</w:t>
      </w:r>
      <w:r>
        <w:rPr>
          <w:rFonts w:hint="eastAsia" w:eastAsiaTheme="minorEastAsia"/>
        </w:rPr>
        <w:t>：拟建项目所在厂区</w:t>
      </w:r>
      <w:r>
        <w:rPr>
          <w:rFonts w:eastAsiaTheme="minorEastAsia"/>
        </w:rPr>
        <w:t>周边区域不属于集中式饮用水源准保护区以及补给径流区，没有分散式饮用水水源地，没有特殊地下水资源，地下水功能敏感性为不敏感G3。岩土的渗透系数为0.401m/d，包气带防污性能为D1。依据地下水功能敏感性与包气带防污性能，地下水环境敏感程度为E2。</w:t>
      </w:r>
    </w:p>
    <w:p>
      <w:pPr>
        <w:ind w:firstLine="480"/>
      </w:pPr>
      <w:r>
        <w:rPr>
          <w:snapToGrid w:val="0"/>
        </w:rPr>
        <w:fldChar w:fldCharType="begin"/>
      </w:r>
      <w:r>
        <w:rPr>
          <w:snapToGrid w:val="0"/>
        </w:rPr>
        <w:instrText xml:space="preserve"> </w:instrText>
      </w:r>
      <w:r>
        <w:rPr>
          <w:rFonts w:hint="eastAsia"/>
          <w:snapToGrid w:val="0"/>
        </w:rPr>
        <w:instrText xml:space="preserve">eq \o\ac(○,</w:instrText>
      </w:r>
      <w:r>
        <w:rPr>
          <w:rFonts w:hint="eastAsia"/>
          <w:snapToGrid w:val="0"/>
          <w:position w:val="3"/>
          <w:sz w:val="16"/>
        </w:rPr>
        <w:instrText xml:space="preserve">3</w:instrText>
      </w:r>
      <w:r>
        <w:rPr>
          <w:rFonts w:hint="eastAsia"/>
          <w:snapToGrid w:val="0"/>
        </w:rPr>
        <w:instrText xml:space="preserve">)</w:instrText>
      </w:r>
      <w:r>
        <w:rPr>
          <w:snapToGrid w:val="0"/>
        </w:rPr>
        <w:fldChar w:fldCharType="end"/>
      </w:r>
      <w:r>
        <w:rPr>
          <w:snapToGrid w:val="0"/>
        </w:rPr>
        <w:t>评价等级</w:t>
      </w:r>
      <w:r>
        <w:rPr>
          <w:rFonts w:hint="eastAsia"/>
          <w:snapToGrid w:val="0"/>
        </w:rPr>
        <w:t>：</w:t>
      </w:r>
      <w:r>
        <w:rPr>
          <w:rFonts w:hint="eastAsia" w:eastAsiaTheme="minorEastAsia"/>
        </w:rPr>
        <w:t>拟建项目</w:t>
      </w:r>
      <w:r>
        <w:rPr>
          <w:rFonts w:hint="eastAsia"/>
        </w:rPr>
        <w:t>大气环境风险评价等级为一级、地表水环境风险评价等级为一级、地下水环境风险评价等级为二级。</w:t>
      </w:r>
    </w:p>
    <w:p>
      <w:pPr>
        <w:ind w:firstLine="480"/>
        <w:rPr>
          <w:rFonts w:eastAsiaTheme="minorEastAsia"/>
        </w:rPr>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t>事故环境影响</w:t>
      </w:r>
      <w:r>
        <w:rPr>
          <w:rFonts w:hint="eastAsia"/>
        </w:rPr>
        <w:t>：由预测结果可知，液氨管道泄漏后，最不利气象条件下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155</w:t>
      </w:r>
      <w:r>
        <w:t>m；</w:t>
      </w:r>
      <w:r>
        <w:rPr>
          <w:rFonts w:hint="eastAsia"/>
        </w:rPr>
        <w:t>天然气（甲烷）发生火灾燃爆事故次生的CO扩散后最不利气象条件下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100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90</w:t>
      </w:r>
      <w:r>
        <w:rPr>
          <w:rFonts w:eastAsiaTheme="minorEastAsia"/>
        </w:rPr>
        <w:t>m</w:t>
      </w:r>
      <w:r>
        <w:rPr>
          <w:rFonts w:hint="eastAsia" w:eastAsiaTheme="minorEastAsia"/>
        </w:rPr>
        <w:t>。</w:t>
      </w:r>
    </w:p>
    <w:p>
      <w:pPr>
        <w:ind w:firstLine="480"/>
      </w:pPr>
      <w:r>
        <w:rPr>
          <w:rFonts w:hint="eastAsia" w:eastAsiaTheme="minorEastAsia"/>
        </w:rPr>
        <w:t>液氨管道泄漏，敏感点最大浓度出现在</w:t>
      </w:r>
      <w:r>
        <w:rPr>
          <w:rFonts w:hint="eastAsia"/>
        </w:rPr>
        <w:t>龙口村居民点</w:t>
      </w:r>
      <w:r>
        <w:rPr>
          <w:rFonts w:hint="eastAsia" w:eastAsiaTheme="minorEastAsia"/>
        </w:rPr>
        <w:t>，浓度为</w:t>
      </w:r>
      <w:r>
        <w:rPr>
          <w:rFonts w:hint="eastAsia"/>
        </w:rPr>
        <w:t xml:space="preserve">1.0640 </w:t>
      </w:r>
      <w:r>
        <w:rPr>
          <w:rFonts w:eastAsiaTheme="minorEastAsia"/>
        </w:rPr>
        <w:t>mg/m</w:t>
      </w:r>
      <w:r>
        <w:rPr>
          <w:rFonts w:eastAsiaTheme="minorEastAsia"/>
          <w:vertAlign w:val="superscript"/>
        </w:rPr>
        <w:t>3</w:t>
      </w:r>
      <w:r>
        <w:rPr>
          <w:rFonts w:eastAsiaTheme="minorEastAsia"/>
        </w:rPr>
        <w:t>，低于毒性终点浓度-1（</w:t>
      </w:r>
      <w:r>
        <w:rPr>
          <w:rFonts w:hint="eastAsia" w:eastAsiaTheme="minorEastAsia"/>
        </w:rPr>
        <w:t>770</w:t>
      </w:r>
      <w:r>
        <w:rPr>
          <w:rFonts w:eastAsiaTheme="minorEastAsia"/>
        </w:rPr>
        <w:t>mg/m</w:t>
      </w:r>
      <w:r>
        <w:rPr>
          <w:rFonts w:eastAsiaTheme="minorEastAsia"/>
          <w:vertAlign w:val="superscript"/>
        </w:rPr>
        <w:t>3</w:t>
      </w:r>
      <w:r>
        <w:rPr>
          <w:rFonts w:eastAsiaTheme="minorEastAsia"/>
        </w:rPr>
        <w:t>）和毒性终点浓度-2（</w:t>
      </w:r>
      <w:r>
        <w:rPr>
          <w:rFonts w:hint="eastAsia" w:eastAsiaTheme="minorEastAsia"/>
        </w:rPr>
        <w:t>110</w:t>
      </w:r>
      <w:r>
        <w:rPr>
          <w:rFonts w:eastAsiaTheme="minorEastAsia"/>
        </w:rPr>
        <w:t>mg/m</w:t>
      </w:r>
      <w:r>
        <w:rPr>
          <w:rFonts w:eastAsiaTheme="minorEastAsia"/>
          <w:vertAlign w:val="superscript"/>
        </w:rPr>
        <w:t>3</w:t>
      </w:r>
      <w:r>
        <w:rPr>
          <w:rFonts w:eastAsiaTheme="minorEastAsia"/>
        </w:rPr>
        <w:t>）；</w:t>
      </w:r>
      <w:r>
        <w:rPr>
          <w:rFonts w:hint="eastAsia"/>
        </w:rPr>
        <w:t>天然气（甲烷）</w:t>
      </w:r>
      <w:r>
        <w:rPr>
          <w:rFonts w:eastAsiaTheme="minorEastAsia"/>
        </w:rPr>
        <w:t>燃爆次生CO</w:t>
      </w:r>
      <w:r>
        <w:rPr>
          <w:rFonts w:hint="eastAsia" w:eastAsiaTheme="minorEastAsia"/>
        </w:rPr>
        <w:t>扩散</w:t>
      </w:r>
      <w:r>
        <w:rPr>
          <w:rFonts w:eastAsiaTheme="minorEastAsia"/>
        </w:rPr>
        <w:t>，敏感点最大浓度出现在</w:t>
      </w:r>
      <w:r>
        <w:t>长寿经开区管委会</w:t>
      </w:r>
      <w:r>
        <w:rPr>
          <w:rFonts w:eastAsiaTheme="minorEastAsia"/>
        </w:rPr>
        <w:t>，浓度为</w:t>
      </w:r>
      <w:r>
        <w:rPr>
          <w:rFonts w:hint="eastAsia"/>
        </w:rPr>
        <w:t xml:space="preserve">1.1145 </w:t>
      </w:r>
      <w:r>
        <w:rPr>
          <w:rFonts w:eastAsiaTheme="minorEastAsia"/>
        </w:rPr>
        <w:t>mg/m</w:t>
      </w:r>
      <w:r>
        <w:rPr>
          <w:rFonts w:eastAsiaTheme="minorEastAsia"/>
          <w:vertAlign w:val="superscript"/>
        </w:rPr>
        <w:t>3</w:t>
      </w:r>
      <w:r>
        <w:rPr>
          <w:rFonts w:eastAsiaTheme="minorEastAsia"/>
        </w:rPr>
        <w:t>，低于毒性终点浓度-1（380mg/m</w:t>
      </w:r>
      <w:r>
        <w:rPr>
          <w:rFonts w:eastAsiaTheme="minorEastAsia"/>
          <w:vertAlign w:val="superscript"/>
        </w:rPr>
        <w:t>3</w:t>
      </w:r>
      <w:r>
        <w:rPr>
          <w:rFonts w:eastAsiaTheme="minorEastAsia"/>
        </w:rPr>
        <w:t>）毒性终点浓度-2（95mg/m</w:t>
      </w:r>
      <w:r>
        <w:rPr>
          <w:rFonts w:eastAsiaTheme="minorEastAsia"/>
          <w:vertAlign w:val="superscript"/>
        </w:rPr>
        <w:t>3</w:t>
      </w:r>
      <w:r>
        <w:rPr>
          <w:rFonts w:eastAsiaTheme="minorEastAsia"/>
        </w:rPr>
        <w:t>））。</w:t>
      </w:r>
    </w:p>
    <w:p>
      <w:pPr>
        <w:ind w:firstLine="480"/>
      </w:pPr>
      <w:r>
        <w:t>拟建项目在事故状况下</w:t>
      </w:r>
      <w:r>
        <w:rPr>
          <w:rFonts w:hint="eastAsia"/>
        </w:rPr>
        <w:t>污水处理站调节池底部防渗层出现破损，高浓废水渗入污染地下水，污染物迁移100天、1000天及10年时，</w:t>
      </w:r>
      <w:r>
        <w:rPr>
          <w:rFonts w:eastAsiaTheme="minorEastAsia"/>
        </w:rPr>
        <w:t>将会对局部地下水造成污染</w:t>
      </w:r>
      <w:r>
        <w:rPr>
          <w:rFonts w:hint="eastAsia" w:eastAsiaTheme="minorEastAsia"/>
        </w:rPr>
        <w:t>，但是</w:t>
      </w:r>
      <w:r>
        <w:rPr>
          <w:rFonts w:hint="eastAsia"/>
        </w:rPr>
        <w:t>不会流入到长江，对长江的影响小；评价区域周边居民已全部使用自来水作为饮用水源，厂址区污染物的泄露也不会对周边居民饮用水水源的造成影响。</w:t>
      </w:r>
    </w:p>
    <w:p>
      <w:pPr>
        <w:ind w:firstLine="480"/>
        <w:rPr>
          <w:snapToGrid w:val="0"/>
        </w:rPr>
      </w:pPr>
      <w:r>
        <w:rPr>
          <w:snapToGrid w:val="0"/>
        </w:rPr>
        <w:fldChar w:fldCharType="begin"/>
      </w:r>
      <w:r>
        <w:rPr>
          <w:snapToGrid w:val="0"/>
        </w:rPr>
        <w:instrText xml:space="preserve"> </w:instrText>
      </w:r>
      <w:r>
        <w:rPr>
          <w:rFonts w:hint="eastAsia"/>
          <w:snapToGrid w:val="0"/>
        </w:rPr>
        <w:instrText xml:space="preserve">eq \o\ac(○,</w:instrText>
      </w:r>
      <w:r>
        <w:rPr>
          <w:rFonts w:hint="eastAsia"/>
          <w:snapToGrid w:val="0"/>
          <w:position w:val="3"/>
          <w:sz w:val="16"/>
        </w:rPr>
        <w:instrText xml:space="preserve">5</w:instrText>
      </w:r>
      <w:r>
        <w:rPr>
          <w:rFonts w:hint="eastAsia"/>
          <w:snapToGrid w:val="0"/>
        </w:rPr>
        <w:instrText xml:space="preserve">)</w:instrText>
      </w:r>
      <w:r>
        <w:rPr>
          <w:snapToGrid w:val="0"/>
        </w:rPr>
        <w:fldChar w:fldCharType="end"/>
      </w:r>
      <w:r>
        <w:rPr>
          <w:snapToGrid w:val="0"/>
        </w:rPr>
        <w:t>风险防范措施和应急预案</w:t>
      </w:r>
      <w:r>
        <w:rPr>
          <w:rFonts w:hint="eastAsia"/>
          <w:snapToGrid w:val="0"/>
        </w:rPr>
        <w:t>：</w:t>
      </w:r>
      <w:r>
        <w:t>拟建项目制定了较为周全的风险事故防范措施</w:t>
      </w:r>
      <w:r>
        <w:rPr>
          <w:rFonts w:hint="eastAsia"/>
        </w:rPr>
        <w:t>，投产前编写环境风险</w:t>
      </w:r>
      <w:r>
        <w:t>应急预案，当发生风险事故时立即启动事故应急预案，能确保事故不扩大</w:t>
      </w:r>
      <w:r>
        <w:rPr>
          <w:rFonts w:hint="eastAsia"/>
        </w:rPr>
        <w:t>，按照评价提出的</w:t>
      </w:r>
      <w:r>
        <w:t>风险防范措施</w:t>
      </w:r>
      <w:r>
        <w:rPr>
          <w:rFonts w:hint="eastAsia"/>
        </w:rPr>
        <w:t>实施</w:t>
      </w:r>
      <w:r>
        <w:t>后，最大可信事故风险值小于化工行业可接受风险水平RL（8.33×10</w:t>
      </w:r>
      <w:r>
        <w:rPr>
          <w:vertAlign w:val="superscript"/>
        </w:rPr>
        <w:t>-5</w:t>
      </w:r>
      <w:r>
        <w:t>），虽存在一定风险，但在采取有效风险防范措施和应急预案后，风险处于环境可接受的水平。</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6</w:instrText>
      </w:r>
      <w:r>
        <w:rPr>
          <w:rFonts w:hint="eastAsia"/>
        </w:rPr>
        <w:instrText xml:space="preserve">)</w:instrText>
      </w:r>
      <w:r>
        <w:fldChar w:fldCharType="end"/>
      </w:r>
      <w:r>
        <w:rPr>
          <w:rFonts w:hint="eastAsia"/>
        </w:rPr>
        <w:t>环境风险评价结论：拟建项目在生产工艺装置、设备和生产管理等方面充分考虑了其环境风险。项目建成后，生产过程涉及到甲烷、氨、甲醇等重点关注的危险物质，潜存火灾、爆炸、泄漏中毒等风险，项目制定了较为周全的环境风险防范措施，并且在投产前制定环境风险应急预案。在采取严格的安全防护和风险防范措施后，建设项目可能出现的风险概率将大大减小，能将事故的环境风险降到最低，环境可以接受。</w:t>
      </w:r>
    </w:p>
    <w:p>
      <w:pPr>
        <w:pStyle w:val="3"/>
        <w:spacing w:before="156" w:after="156"/>
      </w:pPr>
      <w:bookmarkStart w:id="8" w:name="_Toc84844192"/>
      <w:r>
        <w:rPr>
          <w:rFonts w:hint="eastAsia"/>
        </w:rPr>
        <w:t>七、环境影响报告书主要结论</w:t>
      </w:r>
      <w:bookmarkEnd w:id="8"/>
    </w:p>
    <w:p>
      <w:pPr>
        <w:ind w:firstLine="480"/>
      </w:pPr>
      <w:r>
        <w:rPr>
          <w:rFonts w:hint="eastAsia"/>
        </w:rPr>
        <w:t>重庆建峰化工股份有限公司利用化工尾气制20万吨/年合成氨循环经济项目选址于重庆（长寿）经济技术开发区，</w:t>
      </w:r>
      <w:r>
        <w:t>项目建设符合国家产业政策，符合长寿区城市总体规划及重庆长寿经济技术开发区产业发展规划及入园条件。项目采用的工艺技术和设备符合清洁生产要求；所采用的污染防治措施技术经济可行，项目</w:t>
      </w:r>
      <w:r>
        <w:rPr>
          <w:rFonts w:eastAsiaTheme="minorEastAsia"/>
        </w:rPr>
        <w:t>严格</w:t>
      </w:r>
      <w:r>
        <w:rPr>
          <w:rFonts w:hint="eastAsia" w:eastAsiaTheme="minorEastAsia"/>
        </w:rPr>
        <w:t>落实了各项</w:t>
      </w:r>
      <w:r>
        <w:t>污染防治措施和环境风险防范措施后，排放的污染物对周围环境影响较小，环境风险</w:t>
      </w:r>
      <w:r>
        <w:rPr>
          <w:rFonts w:hint="eastAsia"/>
        </w:rPr>
        <w:t>可控</w:t>
      </w:r>
      <w:r>
        <w:t>。因此，从环境保护角度分析，</w:t>
      </w:r>
      <w:r>
        <w:rPr>
          <w:rFonts w:hint="eastAsia" w:eastAsiaTheme="minorEastAsia"/>
        </w:rPr>
        <w:t>项目建设方案可行</w:t>
      </w:r>
      <w:r>
        <w:t>。</w:t>
      </w:r>
    </w:p>
    <w:p>
      <w:pPr>
        <w:ind w:firstLine="480"/>
        <w:sectPr>
          <w:pgSz w:w="11906" w:h="16838"/>
          <w:pgMar w:top="1440" w:right="1800" w:bottom="1440" w:left="1800" w:header="851" w:footer="992" w:gutter="0"/>
          <w:pgNumType w:start="1"/>
          <w:cols w:space="425" w:num="1"/>
          <w:docGrid w:type="lines" w:linePitch="312" w:charSpace="0"/>
        </w:sectPr>
      </w:pPr>
      <w:r>
        <w:t>本报告书在编制的过程中，得到了重庆市长寿区</w:t>
      </w:r>
      <w:r>
        <w:rPr>
          <w:rFonts w:hint="eastAsia"/>
        </w:rPr>
        <w:t>生态</w:t>
      </w:r>
      <w:r>
        <w:t>环境局、长寿经济技术开发区</w:t>
      </w:r>
      <w:r>
        <w:rPr>
          <w:rFonts w:hint="eastAsia"/>
        </w:rPr>
        <w:t>生态环境局</w:t>
      </w:r>
      <w:r>
        <w:t>、重庆市</w:t>
      </w:r>
      <w:r>
        <w:rPr>
          <w:rFonts w:hint="eastAsia"/>
        </w:rPr>
        <w:t>生态</w:t>
      </w:r>
      <w:r>
        <w:t>环境工程评估中心、长寿经济技术开发区管理委员会</w:t>
      </w:r>
      <w:r>
        <w:rPr>
          <w:rFonts w:hint="eastAsia"/>
        </w:rPr>
        <w:t>和重庆建峰化工股份有限公司</w:t>
      </w:r>
      <w:r>
        <w:t>的大力支持、指导和帮助，在此，深表谢意！</w:t>
      </w:r>
    </w:p>
    <w:p>
      <w:pPr>
        <w:pStyle w:val="2"/>
        <w:spacing w:before="156" w:after="156"/>
      </w:pPr>
      <w:bookmarkStart w:id="9" w:name="_Toc84844193"/>
      <w:r>
        <w:rPr>
          <w:rFonts w:hint="eastAsia"/>
        </w:rPr>
        <w:t>1总则</w:t>
      </w:r>
      <w:bookmarkEnd w:id="9"/>
    </w:p>
    <w:p>
      <w:pPr>
        <w:pStyle w:val="3"/>
        <w:spacing w:before="156" w:after="156"/>
      </w:pPr>
      <w:bookmarkStart w:id="10" w:name="_Toc84844194"/>
      <w:r>
        <w:rPr>
          <w:rFonts w:hint="eastAsia"/>
        </w:rPr>
        <w:t>1.1评价目的</w:t>
      </w:r>
      <w:bookmarkEnd w:id="10"/>
    </w:p>
    <w:p>
      <w:pPr>
        <w:ind w:firstLine="480"/>
      </w:pPr>
      <w:r>
        <w:rPr>
          <w:rFonts w:hint="eastAsia"/>
        </w:rPr>
        <w:t>（1）通过环境现状调查、资料收集，在详细的工程分析基础上，预测项目建成后可能对环境造成的影响程度、范围，以满足拟建项目新增污染物排放量不超过当地环境承载力，同时论证环保措施的可行性，并确保污染物达标排放。</w:t>
      </w:r>
    </w:p>
    <w:p>
      <w:pPr>
        <w:ind w:firstLine="480"/>
      </w:pPr>
      <w:r>
        <w:rPr>
          <w:rFonts w:hint="eastAsia"/>
        </w:rPr>
        <w:t>（2）根据评价结果，提出相应的污染防治措施和对策建议，以达到保护区域环境质量的目的，并为工程设计提出反馈意见和建议。</w:t>
      </w:r>
    </w:p>
    <w:p>
      <w:pPr>
        <w:ind w:firstLine="480"/>
      </w:pPr>
      <w:r>
        <w:rPr>
          <w:rFonts w:hint="eastAsia"/>
        </w:rPr>
        <w:t>（3）从环境保护角度对工程建设的环境可行性做出明确结论，为管理部门决策、为建设单位环境管理提供依据。</w:t>
      </w:r>
    </w:p>
    <w:p>
      <w:pPr>
        <w:pStyle w:val="3"/>
        <w:spacing w:before="156" w:after="156"/>
      </w:pPr>
      <w:bookmarkStart w:id="11" w:name="_Toc84844195"/>
      <w:r>
        <w:rPr>
          <w:rFonts w:hint="eastAsia"/>
        </w:rPr>
        <w:t>1.2编制依据</w:t>
      </w:r>
      <w:bookmarkEnd w:id="11"/>
    </w:p>
    <w:p>
      <w:pPr>
        <w:pStyle w:val="4"/>
        <w:spacing w:before="156" w:after="156"/>
      </w:pPr>
      <w:bookmarkStart w:id="12" w:name="_Toc84844196"/>
      <w:r>
        <w:rPr>
          <w:rFonts w:hint="eastAsia"/>
        </w:rPr>
        <w:t>1.2.1环境保护法规及有关政策</w:t>
      </w:r>
      <w:bookmarkEnd w:id="12"/>
    </w:p>
    <w:p>
      <w:pPr>
        <w:ind w:firstLine="480"/>
      </w:pPr>
      <w:r>
        <w:rPr>
          <w:rFonts w:hint="eastAsia"/>
        </w:rPr>
        <w:t>（1）《中华人民共和国环境保护法》（2015年1月1日）；</w:t>
      </w:r>
    </w:p>
    <w:p>
      <w:pPr>
        <w:ind w:firstLine="480"/>
      </w:pPr>
      <w:r>
        <w:rPr>
          <w:rFonts w:hint="eastAsia"/>
        </w:rPr>
        <w:t>（2）《中华人民共和国环境影响评价法》（2018年12月29日）；</w:t>
      </w:r>
    </w:p>
    <w:p>
      <w:pPr>
        <w:ind w:firstLine="480"/>
      </w:pPr>
      <w:r>
        <w:rPr>
          <w:rFonts w:hint="eastAsia"/>
        </w:rPr>
        <w:t xml:space="preserve">（3）《中华人民共和国水污染防治法》（2008年1月1日）； </w:t>
      </w:r>
    </w:p>
    <w:p>
      <w:pPr>
        <w:ind w:firstLine="480"/>
      </w:pPr>
      <w:r>
        <w:rPr>
          <w:rFonts w:hint="eastAsia"/>
        </w:rPr>
        <w:t xml:space="preserve">（4）《中华人民共和国大气污染防治法》（2018年10月26日）； </w:t>
      </w:r>
    </w:p>
    <w:p>
      <w:pPr>
        <w:ind w:firstLine="480"/>
      </w:pPr>
      <w:r>
        <w:rPr>
          <w:rFonts w:hint="eastAsia"/>
        </w:rPr>
        <w:t>（5）《中华人民共和国环境噪声污染防治法》（2018年12月29日）；</w:t>
      </w:r>
    </w:p>
    <w:p>
      <w:pPr>
        <w:ind w:firstLine="480"/>
      </w:pPr>
      <w:r>
        <w:rPr>
          <w:rFonts w:hint="eastAsia"/>
        </w:rPr>
        <w:t>（6）《中华人民共和国固体废物污染环境防治法》（2020年4月29日修订通过，2020年9月1日起施行）；</w:t>
      </w:r>
    </w:p>
    <w:p>
      <w:pPr>
        <w:ind w:firstLine="480"/>
      </w:pPr>
      <w:r>
        <w:rPr>
          <w:rFonts w:hint="eastAsia"/>
        </w:rPr>
        <w:t>（7）《中华人民共和国土壤污染防治法》（2019年1月1日）；</w:t>
      </w:r>
    </w:p>
    <w:p>
      <w:pPr>
        <w:ind w:firstLine="480"/>
      </w:pPr>
      <w:r>
        <w:rPr>
          <w:rFonts w:hint="eastAsia"/>
        </w:rPr>
        <w:t>（8）《中华人民共和国节约能源法》（2018年10月26日）；</w:t>
      </w:r>
    </w:p>
    <w:p>
      <w:pPr>
        <w:ind w:firstLine="480"/>
      </w:pPr>
      <w:r>
        <w:rPr>
          <w:rFonts w:hint="eastAsia"/>
        </w:rPr>
        <w:t>（9）《中华人民共和国水土保持法》（2011年3月1日）；</w:t>
      </w:r>
    </w:p>
    <w:p>
      <w:pPr>
        <w:ind w:firstLine="480"/>
      </w:pPr>
      <w:r>
        <w:rPr>
          <w:rFonts w:hint="eastAsia"/>
        </w:rPr>
        <w:t>（10）《中华人民共和国清洁生产促进法》（2012年7月1日）</w:t>
      </w:r>
    </w:p>
    <w:p>
      <w:pPr>
        <w:ind w:firstLine="480"/>
      </w:pPr>
      <w:r>
        <w:rPr>
          <w:rFonts w:hint="eastAsia"/>
        </w:rPr>
        <w:t>（11）《中华人民共和国安全生产法》（2021年9月1日）；</w:t>
      </w:r>
    </w:p>
    <w:p>
      <w:pPr>
        <w:ind w:firstLine="480"/>
      </w:pPr>
      <w:r>
        <w:rPr>
          <w:rFonts w:hint="eastAsia"/>
        </w:rPr>
        <w:t>（12）《中华人民共和国环境保护税法》（2018年10月26日）；</w:t>
      </w:r>
    </w:p>
    <w:p>
      <w:pPr>
        <w:ind w:firstLine="480"/>
      </w:pPr>
      <w:r>
        <w:rPr>
          <w:rFonts w:hint="eastAsia"/>
        </w:rPr>
        <w:t xml:space="preserve">（13）《建设项目环境保护管理条例》（2017年10月1日）； </w:t>
      </w:r>
    </w:p>
    <w:p>
      <w:pPr>
        <w:ind w:firstLine="480"/>
      </w:pPr>
      <w:r>
        <w:rPr>
          <w:rFonts w:hint="eastAsia"/>
        </w:rPr>
        <w:t>（14）《建设项目环境影响评价分类管理名录》；</w:t>
      </w:r>
    </w:p>
    <w:p>
      <w:pPr>
        <w:ind w:firstLine="480"/>
      </w:pPr>
      <w:r>
        <w:rPr>
          <w:rFonts w:hint="eastAsia"/>
        </w:rPr>
        <w:t xml:space="preserve">（15）《产业结构调整指导目录（2019年本）》（中华人民共和国国家发展和改革委员会令第29号）； </w:t>
      </w:r>
    </w:p>
    <w:p>
      <w:pPr>
        <w:ind w:firstLine="480"/>
      </w:pPr>
      <w:r>
        <w:rPr>
          <w:rFonts w:hint="eastAsia"/>
        </w:rPr>
        <w:t>（16）《国家危险废物名录》；</w:t>
      </w:r>
    </w:p>
    <w:p>
      <w:pPr>
        <w:ind w:firstLine="480"/>
      </w:pPr>
      <w:r>
        <w:rPr>
          <w:rFonts w:hint="eastAsia"/>
        </w:rPr>
        <w:t>（17）《危险化学品安全管理条例》（中华人民共和国国务院令第645号，2013年12月7日）；</w:t>
      </w:r>
    </w:p>
    <w:p>
      <w:pPr>
        <w:ind w:firstLine="480"/>
      </w:pPr>
      <w:r>
        <w:rPr>
          <w:rFonts w:hint="eastAsia"/>
        </w:rPr>
        <w:t>（18）《危险废物污染防治技术政策》（环发〔2001〕199号）；</w:t>
      </w:r>
    </w:p>
    <w:p>
      <w:pPr>
        <w:ind w:firstLine="480"/>
      </w:pPr>
      <w:r>
        <w:rPr>
          <w:rFonts w:hint="eastAsia"/>
        </w:rPr>
        <w:t>（19）《关于进一步加强环境影响评价管理防范环境风险的通知》（环发[2012]77号）、《关于切实加强风险防范严格环境影响评价管理的通知》（环发[2012]98号）；</w:t>
      </w:r>
    </w:p>
    <w:p>
      <w:pPr>
        <w:ind w:firstLine="480"/>
      </w:pPr>
      <w:r>
        <w:rPr>
          <w:rFonts w:hint="eastAsia"/>
        </w:rPr>
        <w:t>（20）《常用化学危险品贮存通则》（GB15603-1995）；</w:t>
      </w:r>
    </w:p>
    <w:p>
      <w:pPr>
        <w:ind w:firstLine="480"/>
      </w:pPr>
      <w:r>
        <w:rPr>
          <w:rFonts w:hint="eastAsia"/>
        </w:rPr>
        <w:t>（21）《环境影响评价公众参与办法》（2019年1月1日）；</w:t>
      </w:r>
    </w:p>
    <w:p>
      <w:pPr>
        <w:ind w:firstLine="480"/>
      </w:pPr>
      <w:r>
        <w:rPr>
          <w:rFonts w:hint="eastAsia"/>
        </w:rPr>
        <w:t>（22）《化工建设项目环境保护设计标准》（GB 50483-2019）；</w:t>
      </w:r>
    </w:p>
    <w:p>
      <w:pPr>
        <w:ind w:firstLine="480"/>
      </w:pPr>
      <w:r>
        <w:rPr>
          <w:rFonts w:hint="eastAsia"/>
        </w:rPr>
        <w:t>（23）《危险废物收集 贮存 运输技术规范》（HJ2025-2012）；</w:t>
      </w:r>
    </w:p>
    <w:p>
      <w:pPr>
        <w:ind w:firstLine="480"/>
      </w:pPr>
      <w:r>
        <w:rPr>
          <w:rFonts w:hint="eastAsia"/>
        </w:rPr>
        <w:t>（24）《大气污染防治行动计划》（国发[2013]37号）；</w:t>
      </w:r>
    </w:p>
    <w:p>
      <w:pPr>
        <w:ind w:firstLine="480"/>
      </w:pPr>
      <w:r>
        <w:rPr>
          <w:rFonts w:hint="eastAsia"/>
        </w:rPr>
        <w:t>（25）《水污染防治行动计划》（国发[2015]17号）；</w:t>
      </w:r>
    </w:p>
    <w:p>
      <w:pPr>
        <w:ind w:firstLine="480"/>
      </w:pPr>
      <w:r>
        <w:rPr>
          <w:rFonts w:hint="eastAsia"/>
        </w:rPr>
        <w:t>（26）《土壤污染防治行动计划》（国发[2016]31）；</w:t>
      </w:r>
    </w:p>
    <w:p>
      <w:pPr>
        <w:ind w:firstLine="480"/>
      </w:pPr>
      <w:r>
        <w:rPr>
          <w:rFonts w:hint="eastAsia"/>
        </w:rPr>
        <w:t>（27）《污染源自动监控管理办法》（国家环保总局令第28号）；</w:t>
      </w:r>
    </w:p>
    <w:p>
      <w:pPr>
        <w:ind w:firstLine="480"/>
      </w:pPr>
      <w:r>
        <w:rPr>
          <w:rFonts w:hint="eastAsia"/>
        </w:rPr>
        <w:t>（28）工业和信息化部（工信部节［2010］218号）《关于进一步加强工业节水工作的意见》的通知；</w:t>
      </w:r>
    </w:p>
    <w:p>
      <w:pPr>
        <w:ind w:firstLine="480"/>
      </w:pPr>
      <w:r>
        <w:rPr>
          <w:rFonts w:hint="eastAsia"/>
        </w:rPr>
        <w:t>（29）《国务院关于加强环境保护重点工作的意见》（国发[2011]35号）；</w:t>
      </w:r>
    </w:p>
    <w:p>
      <w:pPr>
        <w:ind w:firstLine="480"/>
      </w:pPr>
      <w:r>
        <w:rPr>
          <w:rFonts w:hint="eastAsia"/>
        </w:rPr>
        <w:t>（30）《国家发展改革委环境保护部印发关于加强长江黄金水道环境污染防控治理的指导意见的通知》（发改环资[2016]370号）；</w:t>
      </w:r>
    </w:p>
    <w:p>
      <w:pPr>
        <w:ind w:firstLine="480"/>
      </w:pPr>
      <w:r>
        <w:rPr>
          <w:rFonts w:hint="eastAsia"/>
        </w:rPr>
        <w:t>（31）《关于落实大气污染防治行动计划严格环境影响评价准入的通知》（环办[2014]30号）；</w:t>
      </w:r>
    </w:p>
    <w:p>
      <w:pPr>
        <w:ind w:firstLine="480"/>
      </w:pPr>
      <w:r>
        <w:rPr>
          <w:rFonts w:hint="eastAsia"/>
        </w:rPr>
        <w:t>（32）《企业突发环境事件风险评估指南（试行）》（环办[2014]34号）、《企业突发环境事件风险分级方法(HJ 941-2018)、《企业事业单位突发环境事件应急预案备案管理办法（试行）》（环办[2015]4号）；</w:t>
      </w:r>
    </w:p>
    <w:p>
      <w:pPr>
        <w:ind w:firstLine="480"/>
      </w:pPr>
      <w:r>
        <w:rPr>
          <w:rFonts w:hint="eastAsia"/>
        </w:rPr>
        <w:t>（33）《关于发布长江经济带发展负面清单指南（试行）的通知》（2019年1月12日）；</w:t>
      </w:r>
    </w:p>
    <w:p>
      <w:pPr>
        <w:ind w:firstLine="480"/>
      </w:pPr>
      <w:r>
        <w:rPr>
          <w:rFonts w:hint="eastAsia"/>
        </w:rPr>
        <w:t>（34）《关于发布优先控制化学品名录（第一批）的公告》（公告2017年第83号）；</w:t>
      </w:r>
    </w:p>
    <w:p>
      <w:pPr>
        <w:ind w:firstLine="480"/>
      </w:pPr>
      <w:r>
        <w:rPr>
          <w:rFonts w:hint="eastAsia"/>
        </w:rPr>
        <w:t>（35）《关于发布有毒有害大气污染物名录（2018年）的公告》（公告 2019年 第4号）；</w:t>
      </w:r>
    </w:p>
    <w:p>
      <w:pPr>
        <w:ind w:firstLine="480"/>
      </w:pPr>
      <w:r>
        <w:rPr>
          <w:rFonts w:hint="eastAsia"/>
        </w:rPr>
        <w:t>（36）《关于发布有毒有害水污染物名录（第一批）的公告》（公告 2019年 第28号）；</w:t>
      </w:r>
    </w:p>
    <w:p>
      <w:pPr>
        <w:ind w:firstLine="480"/>
      </w:pPr>
      <w:r>
        <w:rPr>
          <w:rFonts w:hint="eastAsia"/>
        </w:rPr>
        <w:t>（37）《合成氨工业污染防治技术政策》；</w:t>
      </w:r>
    </w:p>
    <w:p>
      <w:pPr>
        <w:ind w:firstLine="480"/>
      </w:pPr>
      <w:r>
        <w:rPr>
          <w:rFonts w:hint="eastAsia"/>
        </w:rPr>
        <w:t>（38）《合成氨行业准入条件》；</w:t>
      </w:r>
    </w:p>
    <w:p>
      <w:pPr>
        <w:ind w:firstLine="480"/>
      </w:pPr>
      <w:r>
        <w:rPr>
          <w:rFonts w:hint="eastAsia"/>
        </w:rPr>
        <w:t>（39）《中华人民共和国长江保护法》（2021.3.1实施）。</w:t>
      </w:r>
    </w:p>
    <w:p>
      <w:pPr>
        <w:pStyle w:val="4"/>
        <w:spacing w:before="156" w:after="156"/>
      </w:pPr>
      <w:bookmarkStart w:id="13" w:name="_Toc84844197"/>
      <w:r>
        <w:rPr>
          <w:rFonts w:hint="eastAsia"/>
        </w:rPr>
        <w:t>1.2.2地方性政策法规</w:t>
      </w:r>
      <w:bookmarkEnd w:id="13"/>
    </w:p>
    <w:p>
      <w:pPr>
        <w:ind w:firstLine="480"/>
      </w:pPr>
      <w:r>
        <w:rPr>
          <w:rFonts w:hint="eastAsia"/>
        </w:rPr>
        <w:t>（1）《重庆市环境保护条例》（2017年6月1日）；</w:t>
      </w:r>
    </w:p>
    <w:p>
      <w:pPr>
        <w:ind w:firstLine="480"/>
      </w:pPr>
      <w:r>
        <w:rPr>
          <w:rFonts w:hint="eastAsia"/>
        </w:rPr>
        <w:t xml:space="preserve">（2）《重庆市长江三峡水库库区及流域水污染防治条例》（2011年修订）； </w:t>
      </w:r>
    </w:p>
    <w:p>
      <w:pPr>
        <w:ind w:firstLine="480"/>
      </w:pPr>
      <w:r>
        <w:rPr>
          <w:rFonts w:hint="eastAsia"/>
        </w:rPr>
        <w:t>（3）《重庆市环境噪声污染防治办法》（重庆市人民政府令第270号）；</w:t>
      </w:r>
    </w:p>
    <w:p>
      <w:pPr>
        <w:ind w:firstLine="480"/>
      </w:pPr>
      <w:r>
        <w:rPr>
          <w:rFonts w:hint="eastAsia"/>
        </w:rPr>
        <w:t>（4）《重庆市大气污染防治条例》（2017年6月1日）；</w:t>
      </w:r>
    </w:p>
    <w:p>
      <w:pPr>
        <w:ind w:firstLine="480"/>
      </w:pPr>
      <w:r>
        <w:rPr>
          <w:rFonts w:hint="eastAsia"/>
        </w:rPr>
        <w:t>（5）《重庆市饮用水源污染防治办法》；</w:t>
      </w:r>
    </w:p>
    <w:p>
      <w:pPr>
        <w:ind w:firstLine="480"/>
      </w:pPr>
      <w:r>
        <w:rPr>
          <w:rFonts w:hint="eastAsia"/>
        </w:rPr>
        <w:t>（6）《重庆市生态环境保护“十四五”规划》（2021~2025年）；</w:t>
      </w:r>
    </w:p>
    <w:p>
      <w:pPr>
        <w:ind w:firstLine="480"/>
      </w:pPr>
      <w:r>
        <w:rPr>
          <w:rFonts w:hint="eastAsia"/>
        </w:rPr>
        <w:t>（7）《重庆市环境空气质量功能区划分的规定》（渝府发[2016] 19号）；</w:t>
      </w:r>
    </w:p>
    <w:p>
      <w:pPr>
        <w:ind w:firstLine="480"/>
      </w:pPr>
      <w:r>
        <w:rPr>
          <w:rFonts w:hint="eastAsia"/>
        </w:rPr>
        <w:t>（8）《重庆市人民政府批转重庆市地表水环境功能类别调整方案的通知》（渝府发[2012]4号）、《重庆市人民政府关于批转重庆市地表水环境功能类别局部调整方案的通知》（渝府[2016]43号）；</w:t>
      </w:r>
    </w:p>
    <w:p>
      <w:pPr>
        <w:ind w:firstLine="480"/>
      </w:pPr>
      <w:r>
        <w:rPr>
          <w:rFonts w:hint="eastAsia"/>
        </w:rPr>
        <w:t>（9）《重庆市声环境功能区划分技术规范实施细则（试行）》（渝环[2015]429号）；</w:t>
      </w:r>
    </w:p>
    <w:p>
      <w:pPr>
        <w:ind w:firstLine="480"/>
      </w:pPr>
      <w:r>
        <w:rPr>
          <w:rFonts w:hint="eastAsia"/>
        </w:rPr>
        <w:t>（10）《重庆市环境保护局关于印发重庆市排污口规范化清理整治实施方案的通知》（渝环发[2012]26号）；</w:t>
      </w:r>
    </w:p>
    <w:p>
      <w:pPr>
        <w:ind w:firstLine="480"/>
      </w:pPr>
      <w:r>
        <w:rPr>
          <w:rFonts w:hint="eastAsia"/>
        </w:rPr>
        <w:t>（11）《重庆市人民政府关于印发贯彻落实国务院水污染防治行动计划实施方案的通知》（渝府发[2015]69号）；</w:t>
      </w:r>
    </w:p>
    <w:p>
      <w:pPr>
        <w:ind w:firstLine="480"/>
      </w:pPr>
      <w:r>
        <w:rPr>
          <w:rFonts w:hint="eastAsia"/>
        </w:rPr>
        <w:t>（12）《重庆市生态保护红线》（渝府发[2018]25号）；</w:t>
      </w:r>
    </w:p>
    <w:p>
      <w:pPr>
        <w:ind w:firstLine="480"/>
      </w:pPr>
      <w:r>
        <w:rPr>
          <w:rFonts w:hint="eastAsia"/>
        </w:rPr>
        <w:t>（13）《重庆市人民政府办公厅关于印发重庆市工业项目环境准入规定（修订）的通知》（渝办发[2012]142号）；</w:t>
      </w:r>
    </w:p>
    <w:p>
      <w:pPr>
        <w:ind w:firstLine="480"/>
      </w:pPr>
      <w:r>
        <w:rPr>
          <w:rFonts w:hint="eastAsia"/>
        </w:rPr>
        <w:t>（14）《重庆市人民政府办公厅关于印发重庆市突发环境事件应急预案的通知》（渝府办发[2016]22号）；</w:t>
      </w:r>
    </w:p>
    <w:p>
      <w:pPr>
        <w:ind w:firstLine="480"/>
      </w:pPr>
      <w:r>
        <w:rPr>
          <w:rFonts w:hint="eastAsia"/>
        </w:rPr>
        <w:t>（15）关于印发《重庆市长江经济带发展负面清单实施细则（试行）》的通知（渝推长办发[2019]40号）；</w:t>
      </w:r>
    </w:p>
    <w:p>
      <w:pPr>
        <w:ind w:firstLine="480"/>
      </w:pPr>
      <w:r>
        <w:rPr>
          <w:rFonts w:hint="eastAsia"/>
        </w:rPr>
        <w:t>（16）《重庆市人民政府关于贯彻落实大气污染防治行动计划的实施意见》（渝府发[2013]86号）；</w:t>
      </w:r>
    </w:p>
    <w:p>
      <w:pPr>
        <w:ind w:firstLine="480"/>
      </w:pPr>
      <w:r>
        <w:rPr>
          <w:rFonts w:hint="eastAsia"/>
        </w:rPr>
        <w:t>（17）《重庆市人民政府关于印发重庆市推动制造业高质量发展专项行动方案2019-2022年）的通知》（渝府发〔2019〕114号）；</w:t>
      </w:r>
    </w:p>
    <w:p>
      <w:pPr>
        <w:ind w:firstLine="480"/>
      </w:pPr>
      <w:r>
        <w:rPr>
          <w:rFonts w:hint="eastAsia"/>
        </w:rPr>
        <w:t>（18）《重庆市环境保护局办公室关于具体执行沿江工业布局距离管控有关政策的通知》（渝环办[2017]146号）；</w:t>
      </w:r>
    </w:p>
    <w:p>
      <w:pPr>
        <w:ind w:firstLine="480"/>
      </w:pPr>
      <w:r>
        <w:rPr>
          <w:rFonts w:hint="eastAsia"/>
        </w:rPr>
        <w:t>（19）《重庆市发展和改革委员会关于印发重庆市产业投资准入工作手册的通知》（渝发改投[2018]541号）；</w:t>
      </w:r>
    </w:p>
    <w:p>
      <w:pPr>
        <w:ind w:firstLine="480"/>
      </w:pPr>
      <w:r>
        <w:rPr>
          <w:rFonts w:hint="eastAsia"/>
        </w:rPr>
        <w:t>（20《重庆市发展和改革委员会重庆市经济和信息化委员会关于严格工业布局和准入的通知》（渝发改工[2018]781号）；</w:t>
      </w:r>
    </w:p>
    <w:p>
      <w:pPr>
        <w:ind w:firstLine="480"/>
      </w:pPr>
      <w:r>
        <w:rPr>
          <w:rFonts w:hint="eastAsia"/>
        </w:rPr>
        <w:t>（21）《重庆市长寿区人民政府办公室关于印发长寿区企业安全环保标准化建设工作指导意见的通知》（长寿府办发[2018]182号）。</w:t>
      </w:r>
    </w:p>
    <w:p>
      <w:pPr>
        <w:pStyle w:val="4"/>
        <w:spacing w:before="156" w:after="156"/>
      </w:pPr>
      <w:bookmarkStart w:id="14" w:name="_Toc84844198"/>
      <w:r>
        <w:rPr>
          <w:rFonts w:hint="eastAsia"/>
        </w:rPr>
        <w:t>1.2.3环境评价技术规范</w:t>
      </w:r>
      <w:bookmarkEnd w:id="14"/>
    </w:p>
    <w:p>
      <w:pPr>
        <w:ind w:firstLine="480"/>
      </w:pPr>
      <w:r>
        <w:rPr>
          <w:rFonts w:hint="eastAsia"/>
        </w:rPr>
        <w:t>（1）《建设项目环境影响评价技术导则  总纲》（HJ 2.1-2016）；</w:t>
      </w:r>
    </w:p>
    <w:p>
      <w:pPr>
        <w:ind w:firstLine="480"/>
      </w:pPr>
      <w:r>
        <w:rPr>
          <w:rFonts w:hint="eastAsia"/>
        </w:rPr>
        <w:t>（2）《环境影响评价技术导则  大气环境》（HJ2.2-2018）；</w:t>
      </w:r>
    </w:p>
    <w:p>
      <w:pPr>
        <w:ind w:firstLine="480"/>
      </w:pPr>
      <w:r>
        <w:rPr>
          <w:rFonts w:hint="eastAsia"/>
        </w:rPr>
        <w:t>（3）《环境影响评价技术导则  地表水环境》（HJ2.3-2018）；</w:t>
      </w:r>
    </w:p>
    <w:p>
      <w:pPr>
        <w:ind w:firstLine="480"/>
      </w:pPr>
      <w:r>
        <w:rPr>
          <w:rFonts w:hint="eastAsia"/>
        </w:rPr>
        <w:t>（4）《环境影响评价技术导则  声环境》（HJ2.4-2009）；</w:t>
      </w:r>
    </w:p>
    <w:p>
      <w:pPr>
        <w:ind w:firstLine="480"/>
      </w:pPr>
      <w:r>
        <w:rPr>
          <w:rFonts w:hint="eastAsia"/>
        </w:rPr>
        <w:t>（5）《环境影响评价技术导则  地下水环境》（HJ610-2016）；</w:t>
      </w:r>
    </w:p>
    <w:p>
      <w:pPr>
        <w:ind w:firstLine="480"/>
      </w:pPr>
      <w:r>
        <w:rPr>
          <w:rFonts w:hint="eastAsia"/>
        </w:rPr>
        <w:t>（6）《环境影响评价技术导则  土壤环境（试行）》（HJ964-2018）</w:t>
      </w:r>
    </w:p>
    <w:p>
      <w:pPr>
        <w:ind w:firstLine="480"/>
      </w:pPr>
      <w:r>
        <w:rPr>
          <w:rFonts w:hint="eastAsia"/>
        </w:rPr>
        <w:t>（7）《建设项目环境风险评价技术导则》（HJ169-2018）；</w:t>
      </w:r>
    </w:p>
    <w:p>
      <w:pPr>
        <w:ind w:firstLine="480"/>
      </w:pPr>
      <w:r>
        <w:rPr>
          <w:rFonts w:hint="eastAsia"/>
        </w:rPr>
        <w:t>（8）《排污单位自行监测技术指南总则》（HJ 819-2017）；</w:t>
      </w:r>
    </w:p>
    <w:p>
      <w:pPr>
        <w:ind w:firstLine="480"/>
      </w:pPr>
      <w:r>
        <w:rPr>
          <w:rFonts w:hint="eastAsia"/>
        </w:rPr>
        <w:t>（9）《排污单位自行监测技术指南 化肥工业—氮肥》（HJ948.1-2018）；</w:t>
      </w:r>
    </w:p>
    <w:p>
      <w:pPr>
        <w:ind w:firstLine="480"/>
      </w:pPr>
      <w:r>
        <w:rPr>
          <w:rFonts w:hint="eastAsia"/>
        </w:rPr>
        <w:t>（10）《污染源源强核算技术指南 化肥工业》(HJ994-2018)。</w:t>
      </w:r>
    </w:p>
    <w:p>
      <w:pPr>
        <w:pStyle w:val="4"/>
        <w:spacing w:before="156" w:after="156"/>
      </w:pPr>
      <w:bookmarkStart w:id="15" w:name="_Toc84844199"/>
      <w:r>
        <w:rPr>
          <w:rFonts w:hint="eastAsia"/>
        </w:rPr>
        <w:t>1.2.4建设项目有关资料</w:t>
      </w:r>
      <w:bookmarkEnd w:id="15"/>
    </w:p>
    <w:p>
      <w:pPr>
        <w:ind w:firstLine="480"/>
      </w:pPr>
      <w:r>
        <w:rPr>
          <w:rFonts w:hint="eastAsia"/>
        </w:rPr>
        <w:t>（1）《重庆建峰化工股份有限公司利用化工尾气制20万吨/年合成氨循环经济项目可行性研究报告》（中国成达工程有限公司编制）；</w:t>
      </w:r>
    </w:p>
    <w:p>
      <w:pPr>
        <w:ind w:firstLine="480"/>
      </w:pPr>
      <w:r>
        <w:rPr>
          <w:rFonts w:hint="eastAsia"/>
        </w:rPr>
        <w:t>（2）《重庆建峰化工股份有限公司利用化工尾气制20万吨/年合成氨循环经济项目CO</w:t>
      </w:r>
      <w:r>
        <w:rPr>
          <w:rFonts w:hint="eastAsia"/>
          <w:vertAlign w:val="subscript"/>
        </w:rPr>
        <w:t>2</w:t>
      </w:r>
      <w:r>
        <w:rPr>
          <w:rFonts w:hint="eastAsia"/>
        </w:rPr>
        <w:t>回收单元可行性研究报告》（西南化工研究设计院有限公司编制）；</w:t>
      </w:r>
    </w:p>
    <w:p>
      <w:pPr>
        <w:ind w:firstLine="480"/>
      </w:pPr>
      <w:r>
        <w:rPr>
          <w:rFonts w:hint="eastAsia"/>
        </w:rPr>
        <w:t>（3）《重庆建峰化工股份有限公司利用化工尾气制20万吨/年合成氨循环经济项目节能报告》（重庆同丰工程管理咨询有限公司）；</w:t>
      </w:r>
    </w:p>
    <w:p>
      <w:pPr>
        <w:ind w:firstLine="480"/>
      </w:pPr>
      <w:r>
        <w:rPr>
          <w:rFonts w:hint="eastAsia"/>
        </w:rPr>
        <w:t>（4）《重庆市企业投资项目备案证》（2012-500115-04-05-924071）；</w:t>
      </w:r>
    </w:p>
    <w:p>
      <w:pPr>
        <w:ind w:firstLine="480"/>
      </w:pPr>
      <w:r>
        <w:rPr>
          <w:rFonts w:hint="eastAsia"/>
        </w:rPr>
        <w:t>（5）建设单位提供的其他工程技术资料。</w:t>
      </w:r>
    </w:p>
    <w:p>
      <w:pPr>
        <w:pStyle w:val="3"/>
        <w:spacing w:before="156" w:after="156"/>
      </w:pPr>
      <w:bookmarkStart w:id="16" w:name="_Toc84844200"/>
      <w:r>
        <w:rPr>
          <w:rFonts w:hint="eastAsia"/>
        </w:rPr>
        <w:t>1.3总体构思</w:t>
      </w:r>
      <w:bookmarkEnd w:id="16"/>
    </w:p>
    <w:p>
      <w:pPr>
        <w:ind w:firstLine="480"/>
      </w:pPr>
      <w:r>
        <w:rPr>
          <w:rFonts w:hint="eastAsia"/>
        </w:rPr>
        <w:t>（1）拟建项目选址于重庆（长寿）经济技术开发区，项目所在地原计划由中国核工业建峰化工总厂（现“重庆建峰工业集团有限公司”）实施合成气制40万吨/年硝酸项目，并且该项目于2007年12月由重庆市环境保护局（现“重庆市生态环境局”）以《重庆市建设项目环境保护批准书》（渝（市）环准【2007】198号）予以批准，但由于市场原因该项目尚未启动，并确定不再建设。根据项目所在地目前闲置，原环评批复内容尚未实施、且批准时间至今已经超过5年的实际情况，本次评价将按照“新建”项目进行评价。</w:t>
      </w:r>
    </w:p>
    <w:p>
      <w:pPr>
        <w:ind w:firstLine="480"/>
      </w:pPr>
      <w:r>
        <w:rPr>
          <w:rFonts w:hint="eastAsia"/>
        </w:rPr>
        <w:t>本次评价将结合园区规划、环境功能区划分及入园条件开展环境影响评价工作。同时，本次评价利用园区已有环境监测资料对项目所在地进行大气环境、地表水、地下水和土壤环境质量现状评价。</w:t>
      </w:r>
    </w:p>
    <w:p>
      <w:pPr>
        <w:ind w:firstLine="480"/>
      </w:pPr>
      <w:r>
        <w:rPr>
          <w:rFonts w:hint="eastAsia"/>
        </w:rPr>
        <w:t>（2）评价将结合国家相关规定、国家有关的产业政策及地方政策，分析项目建设与相关产业政策、规划符合性。</w:t>
      </w:r>
    </w:p>
    <w:p>
      <w:pPr>
        <w:ind w:firstLine="480"/>
      </w:pPr>
      <w:r>
        <w:rPr>
          <w:rFonts w:hint="eastAsia"/>
        </w:rPr>
        <w:t>（3）评价将采用类比调查、物料平衡等方法进行工程分析，对生产工艺、污染物排放、治理措施等进行深入分析，分析工程全过程污染控制水平，论证拟采取环保治理措施的可行性，并选择相应预测模式，结合环境质量现状，预测分析项目运行后的环境影响，从环境影响角度，给出项目建设可行性结论。</w:t>
      </w:r>
    </w:p>
    <w:p>
      <w:pPr>
        <w:ind w:firstLine="480"/>
      </w:pPr>
      <w:r>
        <w:rPr>
          <w:rFonts w:hint="eastAsia"/>
        </w:rPr>
        <w:t>（4）根据项目生产工艺、原料、“三废”、中间产品及产品等相关特性，分析和预测建设项目潜存的危险及有害因素，对拟建项目营运期可能发生的突发性事件或事故所引起的有毒有害、易燃易爆等物质泄漏所造成的对人身安全或环境影响和损害进行分析，提出环境风险防范、应急和减缓措施。</w:t>
      </w:r>
    </w:p>
    <w:p>
      <w:pPr>
        <w:ind w:firstLine="480"/>
      </w:pPr>
      <w:r>
        <w:rPr>
          <w:rFonts w:hint="eastAsia"/>
        </w:rPr>
        <w:t>（5）建设单位按照《环境影响评价公众参与办法》（生态环保部令第4号）的相关要求开展公众参与，编制完成《重庆建峰化工股份有限公司利用化工尾气制20万吨/年合成氨循环经济项目环境影响评价公众参与说明》，本次评价在结论中直接引用公众参与说明结论。</w:t>
      </w:r>
    </w:p>
    <w:p>
      <w:pPr>
        <w:pStyle w:val="3"/>
        <w:spacing w:before="156" w:after="156"/>
      </w:pPr>
      <w:bookmarkStart w:id="17" w:name="_Toc84844201"/>
      <w:r>
        <w:rPr>
          <w:rFonts w:hint="eastAsia"/>
        </w:rPr>
        <w:t>1.4评价时段、环境影响识别及评价因子的确定</w:t>
      </w:r>
      <w:bookmarkEnd w:id="17"/>
    </w:p>
    <w:p>
      <w:pPr>
        <w:pStyle w:val="4"/>
        <w:spacing w:before="156" w:after="156"/>
      </w:pPr>
      <w:bookmarkStart w:id="18" w:name="_Toc84844202"/>
      <w:r>
        <w:rPr>
          <w:rFonts w:hint="eastAsia"/>
        </w:rPr>
        <w:t>1.4.1评价时段</w:t>
      </w:r>
      <w:bookmarkEnd w:id="18"/>
    </w:p>
    <w:p>
      <w:pPr>
        <w:ind w:firstLine="480"/>
      </w:pPr>
      <w:r>
        <w:rPr>
          <w:rFonts w:hint="eastAsia"/>
        </w:rPr>
        <w:t>施工期和运营期，以运营期为重点。</w:t>
      </w:r>
    </w:p>
    <w:p>
      <w:pPr>
        <w:pStyle w:val="4"/>
        <w:spacing w:before="156" w:after="156"/>
      </w:pPr>
      <w:bookmarkStart w:id="19" w:name="_Toc84844203"/>
      <w:r>
        <w:rPr>
          <w:rFonts w:hint="eastAsia"/>
        </w:rPr>
        <w:t>1.4.2环境影响识别</w:t>
      </w:r>
      <w:bookmarkEnd w:id="19"/>
    </w:p>
    <w:p>
      <w:pPr>
        <w:ind w:firstLine="480"/>
      </w:pPr>
      <w:r>
        <w:rPr>
          <w:rFonts w:hint="eastAsia"/>
        </w:rPr>
        <w:t>（1）环境对建设项目的影响</w:t>
      </w:r>
    </w:p>
    <w:p>
      <w:pPr>
        <w:ind w:firstLine="480"/>
      </w:pPr>
      <w:r>
        <w:rPr>
          <w:rFonts w:hint="eastAsia"/>
        </w:rPr>
        <w:t>拟建项目选址于重庆长寿经济技术开发区，土地利用性质符合园区规划要求，项目所处位置交通便利，区位优势明显，有利于项目建设。</w:t>
      </w:r>
    </w:p>
    <w:p>
      <w:pPr>
        <w:ind w:firstLine="480"/>
      </w:pPr>
      <w:r>
        <w:rPr>
          <w:rFonts w:hint="eastAsia"/>
        </w:rPr>
        <w:t>拟建项目的公用工程设施可依托园区完善的水、天然气、电、蒸汽等公用工程设施，有利于项目建设。拟建项目选址于重庆长寿经济技术开发区，评价区域范围内主要为规划的工业用地，对项目建设制约因素少。</w:t>
      </w:r>
    </w:p>
    <w:p>
      <w:pPr>
        <w:ind w:firstLine="480"/>
      </w:pPr>
      <w:r>
        <w:rPr>
          <w:rFonts w:hint="eastAsia"/>
        </w:rPr>
        <w:t>根据重庆市生态环境局公布的《2019重庆市环境状况公报》，项目所在区域PM</w:t>
      </w:r>
      <w:r>
        <w:rPr>
          <w:rFonts w:hint="eastAsia"/>
          <w:vertAlign w:val="subscript"/>
        </w:rPr>
        <w:t>2.5</w:t>
      </w:r>
      <w:r>
        <w:rPr>
          <w:rFonts w:hint="eastAsia"/>
        </w:rPr>
        <w:t>不满足环境空气质量标准，环境空气质量不达标，属于不达标区。此外，项目所在地地表水质量、地下水质量、声环境质量较好，有利于项目建设。</w:t>
      </w:r>
    </w:p>
    <w:p>
      <w:pPr>
        <w:ind w:firstLine="480"/>
      </w:pPr>
      <w:r>
        <w:rPr>
          <w:rFonts w:hint="eastAsia"/>
        </w:rPr>
        <w:t>区域环境对工程的制约因素分析见表1.4-1。</w:t>
      </w:r>
    </w:p>
    <w:p>
      <w:pPr>
        <w:pStyle w:val="41"/>
      </w:pPr>
      <w:r>
        <w:rPr>
          <w:rFonts w:hint="eastAsia"/>
        </w:rPr>
        <w:t>表1.4-1     区域环境对工程的制约因素分析</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191"/>
        <w:gridCol w:w="43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环境因素</w:t>
            </w:r>
          </w:p>
        </w:tc>
        <w:tc>
          <w:tcPr>
            <w:tcW w:w="4331" w:type="dxa"/>
            <w:tcMar>
              <w:top w:w="28" w:type="dxa"/>
              <w:bottom w:w="28" w:type="dxa"/>
            </w:tcMar>
            <w:vAlign w:val="center"/>
          </w:tcPr>
          <w:p>
            <w:pPr>
              <w:pStyle w:val="42"/>
            </w:pPr>
            <w:r>
              <w:t>对工程的制约程度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地表水水文</w:t>
            </w:r>
          </w:p>
        </w:tc>
        <w:tc>
          <w:tcPr>
            <w:tcW w:w="4331" w:type="dxa"/>
            <w:tcMar>
              <w:top w:w="28" w:type="dxa"/>
              <w:bottom w:w="28" w:type="dxa"/>
            </w:tcMar>
            <w:vAlign w:val="center"/>
          </w:tcPr>
          <w:p>
            <w:pPr>
              <w:pStyle w:val="42"/>
            </w:pPr>
            <w:r>
              <w:rPr>
                <w:rFonts w:hint="eastAsia"/>
              </w:rPr>
              <w:t>轻度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地表水水质</w:t>
            </w:r>
          </w:p>
        </w:tc>
        <w:tc>
          <w:tcPr>
            <w:tcW w:w="4331" w:type="dxa"/>
            <w:tcMar>
              <w:top w:w="28" w:type="dxa"/>
              <w:bottom w:w="28" w:type="dxa"/>
            </w:tcMar>
            <w:vAlign w:val="center"/>
          </w:tcPr>
          <w:p>
            <w:pPr>
              <w:pStyle w:val="42"/>
            </w:pPr>
            <w:r>
              <w:t>中度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环境噪声</w:t>
            </w:r>
          </w:p>
        </w:tc>
        <w:tc>
          <w:tcPr>
            <w:tcW w:w="4331" w:type="dxa"/>
            <w:tcMar>
              <w:top w:w="28" w:type="dxa"/>
              <w:bottom w:w="28" w:type="dxa"/>
            </w:tcMar>
            <w:vAlign w:val="center"/>
          </w:tcPr>
          <w:p>
            <w:pPr>
              <w:pStyle w:val="42"/>
            </w:pPr>
            <w:r>
              <w:t>轻度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环境空气质量</w:t>
            </w:r>
          </w:p>
        </w:tc>
        <w:tc>
          <w:tcPr>
            <w:tcW w:w="4331" w:type="dxa"/>
            <w:tcMar>
              <w:top w:w="28" w:type="dxa"/>
              <w:bottom w:w="28" w:type="dxa"/>
            </w:tcMar>
            <w:vAlign w:val="center"/>
          </w:tcPr>
          <w:p>
            <w:pPr>
              <w:pStyle w:val="42"/>
            </w:pPr>
            <w:r>
              <w:rPr>
                <w:rFonts w:hint="eastAsia"/>
              </w:rPr>
              <w:t>中</w:t>
            </w:r>
            <w:r>
              <w:t>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土地资源</w:t>
            </w:r>
          </w:p>
        </w:tc>
        <w:tc>
          <w:tcPr>
            <w:tcW w:w="4331" w:type="dxa"/>
            <w:tcMar>
              <w:top w:w="28" w:type="dxa"/>
              <w:bottom w:w="28" w:type="dxa"/>
            </w:tcMar>
            <w:vAlign w:val="center"/>
          </w:tcPr>
          <w:p>
            <w:pPr>
              <w:pStyle w:val="42"/>
              <w:rPr>
                <w:rStyle w:val="60"/>
              </w:rPr>
            </w:pPr>
            <w:r>
              <w:rPr>
                <w:rFonts w:hint="eastAsia"/>
              </w:rPr>
              <w:t>轻度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地形条件</w:t>
            </w:r>
          </w:p>
        </w:tc>
        <w:tc>
          <w:tcPr>
            <w:tcW w:w="4331" w:type="dxa"/>
            <w:tcMar>
              <w:top w:w="28" w:type="dxa"/>
              <w:bottom w:w="28" w:type="dxa"/>
            </w:tcMar>
            <w:vAlign w:val="center"/>
          </w:tcPr>
          <w:p>
            <w:pPr>
              <w:pStyle w:val="42"/>
              <w:rPr>
                <w:rStyle w:val="60"/>
              </w:rPr>
            </w:pPr>
            <w:r>
              <w:rPr>
                <w:rFonts w:hint="eastAsia"/>
              </w:rPr>
              <w:t>轻度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水土流失</w:t>
            </w:r>
          </w:p>
        </w:tc>
        <w:tc>
          <w:tcPr>
            <w:tcW w:w="4331" w:type="dxa"/>
            <w:tcMar>
              <w:top w:w="28" w:type="dxa"/>
              <w:bottom w:w="28" w:type="dxa"/>
            </w:tcMar>
            <w:vAlign w:val="center"/>
          </w:tcPr>
          <w:p>
            <w:pPr>
              <w:pStyle w:val="42"/>
            </w:pPr>
            <w:r>
              <w:t>轻度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191" w:type="dxa"/>
            <w:tcMar>
              <w:top w:w="28" w:type="dxa"/>
              <w:bottom w:w="28" w:type="dxa"/>
            </w:tcMar>
            <w:vAlign w:val="center"/>
          </w:tcPr>
          <w:p>
            <w:pPr>
              <w:pStyle w:val="42"/>
            </w:pPr>
            <w:r>
              <w:t>交通运输</w:t>
            </w:r>
          </w:p>
        </w:tc>
        <w:tc>
          <w:tcPr>
            <w:tcW w:w="4331" w:type="dxa"/>
            <w:tcMar>
              <w:top w:w="28" w:type="dxa"/>
              <w:bottom w:w="28" w:type="dxa"/>
            </w:tcMar>
            <w:vAlign w:val="center"/>
          </w:tcPr>
          <w:p>
            <w:pPr>
              <w:pStyle w:val="42"/>
            </w:pPr>
            <w:r>
              <w:t>轻度</w:t>
            </w:r>
          </w:p>
        </w:tc>
      </w:tr>
    </w:tbl>
    <w:p>
      <w:pPr>
        <w:ind w:firstLine="480"/>
      </w:pPr>
      <w:r>
        <w:rPr>
          <w:rFonts w:hint="eastAsia"/>
        </w:rPr>
        <w:t>（2）建设项目对环境的影响因素</w:t>
      </w:r>
    </w:p>
    <w:p>
      <w:pPr>
        <w:ind w:firstLine="480"/>
      </w:pPr>
      <w:r>
        <w:rPr>
          <w:rFonts w:hint="eastAsia"/>
        </w:rPr>
        <w:t>工程建设过程中会造成局部地区环境空气、环境噪声污染。工程环境影响因素及环境影响性质见表1.4-2、表1.4-3。</w:t>
      </w:r>
    </w:p>
    <w:p>
      <w:pPr>
        <w:pStyle w:val="41"/>
      </w:pPr>
      <w:r>
        <w:rPr>
          <w:rFonts w:hint="eastAsia"/>
        </w:rPr>
        <w:t>表1.4-2   工程建设的环境影响因素分析</w:t>
      </w:r>
    </w:p>
    <w:tbl>
      <w:tblPr>
        <w:tblStyle w:val="33"/>
        <w:tblW w:w="5000" w:type="pct"/>
        <w:jc w:val="center"/>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Layout w:type="autofit"/>
        <w:tblCellMar>
          <w:top w:w="0" w:type="dxa"/>
          <w:left w:w="85" w:type="dxa"/>
          <w:bottom w:w="0" w:type="dxa"/>
          <w:right w:w="85" w:type="dxa"/>
        </w:tblCellMar>
      </w:tblPr>
      <w:tblGrid>
        <w:gridCol w:w="1219"/>
        <w:gridCol w:w="2014"/>
        <w:gridCol w:w="2771"/>
        <w:gridCol w:w="2472"/>
      </w:tblGrid>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tblHeader/>
          <w:jc w:val="center"/>
        </w:trPr>
        <w:tc>
          <w:tcPr>
            <w:tcW w:w="3233" w:type="dxa"/>
            <w:gridSpan w:val="2"/>
            <w:tcMar>
              <w:top w:w="28" w:type="dxa"/>
              <w:bottom w:w="28" w:type="dxa"/>
            </w:tcMar>
            <w:vAlign w:val="center"/>
          </w:tcPr>
          <w:p>
            <w:pPr>
              <w:pStyle w:val="42"/>
            </w:pPr>
            <w:r>
              <w:t>环境影响因素</w:t>
            </w:r>
          </w:p>
        </w:tc>
        <w:tc>
          <w:tcPr>
            <w:tcW w:w="2771" w:type="dxa"/>
            <w:tcMar>
              <w:top w:w="28" w:type="dxa"/>
              <w:bottom w:w="28" w:type="dxa"/>
            </w:tcMar>
            <w:vAlign w:val="center"/>
          </w:tcPr>
          <w:p>
            <w:pPr>
              <w:pStyle w:val="42"/>
            </w:pPr>
            <w:r>
              <w:t>施工期</w:t>
            </w:r>
          </w:p>
        </w:tc>
        <w:tc>
          <w:tcPr>
            <w:tcW w:w="2472" w:type="dxa"/>
            <w:tcMar>
              <w:top w:w="28" w:type="dxa"/>
              <w:bottom w:w="28" w:type="dxa"/>
            </w:tcMar>
            <w:vAlign w:val="center"/>
          </w:tcPr>
          <w:p>
            <w:pPr>
              <w:pStyle w:val="42"/>
            </w:pPr>
            <w:r>
              <w:t>运行期</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restart"/>
            <w:tcMar>
              <w:top w:w="28" w:type="dxa"/>
              <w:bottom w:w="28" w:type="dxa"/>
            </w:tcMar>
            <w:vAlign w:val="center"/>
          </w:tcPr>
          <w:p>
            <w:pPr>
              <w:pStyle w:val="42"/>
            </w:pPr>
            <w:r>
              <w:t>自然环境</w:t>
            </w:r>
          </w:p>
        </w:tc>
        <w:tc>
          <w:tcPr>
            <w:tcW w:w="2014" w:type="dxa"/>
            <w:tcMar>
              <w:top w:w="28" w:type="dxa"/>
              <w:bottom w:w="28" w:type="dxa"/>
            </w:tcMar>
            <w:vAlign w:val="center"/>
          </w:tcPr>
          <w:p>
            <w:pPr>
              <w:pStyle w:val="42"/>
            </w:pPr>
            <w:r>
              <w:t>环境空气</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-2</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水质</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-1</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环境噪声</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-1</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土壤（固废）</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-1</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地形地貌</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-1</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总体环境</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t>-1</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restart"/>
            <w:tcMar>
              <w:top w:w="28" w:type="dxa"/>
              <w:bottom w:w="28" w:type="dxa"/>
            </w:tcMar>
            <w:vAlign w:val="center"/>
          </w:tcPr>
          <w:p>
            <w:pPr>
              <w:pStyle w:val="42"/>
            </w:pPr>
            <w:r>
              <w:t>生态环境</w:t>
            </w:r>
          </w:p>
        </w:tc>
        <w:tc>
          <w:tcPr>
            <w:tcW w:w="2014" w:type="dxa"/>
            <w:tcMar>
              <w:top w:w="28" w:type="dxa"/>
              <w:bottom w:w="28" w:type="dxa"/>
            </w:tcMar>
            <w:vAlign w:val="center"/>
          </w:tcPr>
          <w:p>
            <w:pPr>
              <w:pStyle w:val="42"/>
            </w:pPr>
            <w:r>
              <w:t>植物</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rPr>
                <w:rFonts w:hint="eastAsia"/>
              </w:rPr>
              <w:t>/</w:t>
            </w:r>
          </w:p>
        </w:tc>
      </w:tr>
      <w:tr>
        <w:tblPrEx>
          <w:tblBorders>
            <w:top w:val="single" w:color="auto" w:sz="2" w:space="0"/>
            <w:left w:val="single" w:color="auto" w:sz="4" w:space="0"/>
            <w:bottom w:val="single" w:color="auto" w:sz="2" w:space="0"/>
            <w:right w:val="single" w:color="auto" w:sz="2" w:space="0"/>
            <w:insideH w:val="single" w:color="auto" w:sz="2" w:space="0"/>
            <w:insideV w:val="single" w:color="auto" w:sz="4" w:space="0"/>
          </w:tblBorders>
          <w:tblCellMar>
            <w:top w:w="0" w:type="dxa"/>
            <w:left w:w="85" w:type="dxa"/>
            <w:bottom w:w="0" w:type="dxa"/>
            <w:right w:w="85" w:type="dxa"/>
          </w:tblCellMar>
        </w:tblPrEx>
        <w:trPr>
          <w:cantSplit/>
          <w:trHeight w:val="20" w:hRule="atLeast"/>
          <w:jc w:val="center"/>
        </w:trPr>
        <w:tc>
          <w:tcPr>
            <w:tcW w:w="1219" w:type="dxa"/>
            <w:vMerge w:val="continue"/>
            <w:tcMar>
              <w:top w:w="28" w:type="dxa"/>
              <w:bottom w:w="28" w:type="dxa"/>
            </w:tcMar>
            <w:vAlign w:val="center"/>
          </w:tcPr>
          <w:p>
            <w:pPr>
              <w:pStyle w:val="42"/>
            </w:pPr>
          </w:p>
        </w:tc>
        <w:tc>
          <w:tcPr>
            <w:tcW w:w="2014" w:type="dxa"/>
            <w:tcMar>
              <w:top w:w="28" w:type="dxa"/>
              <w:bottom w:w="28" w:type="dxa"/>
            </w:tcMar>
            <w:vAlign w:val="center"/>
          </w:tcPr>
          <w:p>
            <w:pPr>
              <w:pStyle w:val="42"/>
            </w:pPr>
            <w:r>
              <w:t>水土流失</w:t>
            </w:r>
          </w:p>
        </w:tc>
        <w:tc>
          <w:tcPr>
            <w:tcW w:w="2771" w:type="dxa"/>
            <w:tcMar>
              <w:top w:w="28" w:type="dxa"/>
              <w:bottom w:w="28" w:type="dxa"/>
            </w:tcMar>
            <w:vAlign w:val="center"/>
          </w:tcPr>
          <w:p>
            <w:pPr>
              <w:pStyle w:val="42"/>
            </w:pPr>
            <w:r>
              <w:t>-1</w:t>
            </w:r>
          </w:p>
        </w:tc>
        <w:tc>
          <w:tcPr>
            <w:tcW w:w="2472" w:type="dxa"/>
            <w:tcMar>
              <w:top w:w="28" w:type="dxa"/>
              <w:bottom w:w="28" w:type="dxa"/>
            </w:tcMar>
            <w:vAlign w:val="center"/>
          </w:tcPr>
          <w:p>
            <w:pPr>
              <w:pStyle w:val="42"/>
            </w:pPr>
            <w:r>
              <w:rPr>
                <w:rFonts w:hint="eastAsia"/>
              </w:rPr>
              <w:t>/</w:t>
            </w:r>
          </w:p>
        </w:tc>
      </w:tr>
    </w:tbl>
    <w:p>
      <w:pPr>
        <w:pStyle w:val="41"/>
        <w:jc w:val="left"/>
      </w:pPr>
      <w:r>
        <w:rPr>
          <w:rFonts w:hint="eastAsia"/>
        </w:rPr>
        <w:t>注：“-”表示不利影响，“+”表示有利影响，数字大小表示影响程度。</w:t>
      </w:r>
    </w:p>
    <w:p>
      <w:pPr>
        <w:pStyle w:val="41"/>
      </w:pPr>
      <w:r>
        <w:rPr>
          <w:rFonts w:hint="eastAsia"/>
        </w:rPr>
        <w:t>表1.4-3  工程建设的环境影响性质因素分析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07"/>
        <w:gridCol w:w="608"/>
        <w:gridCol w:w="609"/>
        <w:gridCol w:w="651"/>
        <w:gridCol w:w="565"/>
        <w:gridCol w:w="608"/>
        <w:gridCol w:w="608"/>
        <w:gridCol w:w="608"/>
        <w:gridCol w:w="608"/>
        <w:gridCol w:w="697"/>
        <w:gridCol w:w="51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vMerge w:val="restart"/>
            <w:tcMar>
              <w:top w:w="28" w:type="dxa"/>
              <w:left w:w="28" w:type="dxa"/>
              <w:bottom w:w="28" w:type="dxa"/>
              <w:right w:w="28" w:type="dxa"/>
            </w:tcMar>
            <w:vAlign w:val="center"/>
          </w:tcPr>
          <w:p>
            <w:pPr>
              <w:pStyle w:val="42"/>
            </w:pPr>
            <w:r>
              <w:t>环境影</w:t>
            </w:r>
          </w:p>
          <w:p>
            <w:pPr>
              <w:pStyle w:val="42"/>
            </w:pPr>
            <w:r>
              <w:t>响因素</w:t>
            </w:r>
          </w:p>
        </w:tc>
        <w:tc>
          <w:tcPr>
            <w:tcW w:w="3648" w:type="dxa"/>
            <w:gridSpan w:val="6"/>
            <w:tcMar>
              <w:top w:w="28" w:type="dxa"/>
              <w:left w:w="28" w:type="dxa"/>
              <w:bottom w:w="28" w:type="dxa"/>
              <w:right w:w="28" w:type="dxa"/>
            </w:tcMar>
            <w:vAlign w:val="center"/>
          </w:tcPr>
          <w:p>
            <w:pPr>
              <w:pStyle w:val="42"/>
            </w:pPr>
            <w:r>
              <w:t>施工期</w:t>
            </w:r>
          </w:p>
        </w:tc>
        <w:tc>
          <w:tcPr>
            <w:tcW w:w="3647" w:type="dxa"/>
            <w:gridSpan w:val="6"/>
            <w:tcMar>
              <w:top w:w="28" w:type="dxa"/>
              <w:left w:w="28" w:type="dxa"/>
              <w:bottom w:w="28" w:type="dxa"/>
              <w:right w:w="28" w:type="dxa"/>
            </w:tcMar>
            <w:vAlign w:val="center"/>
          </w:tcPr>
          <w:p>
            <w:pPr>
              <w:pStyle w:val="42"/>
            </w:pPr>
            <w: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vMerge w:val="continue"/>
            <w:tcMar>
              <w:top w:w="28" w:type="dxa"/>
              <w:left w:w="28" w:type="dxa"/>
              <w:bottom w:w="28" w:type="dxa"/>
              <w:right w:w="28" w:type="dxa"/>
            </w:tcMar>
            <w:vAlign w:val="center"/>
          </w:tcPr>
          <w:p>
            <w:pPr>
              <w:pStyle w:val="42"/>
            </w:pPr>
          </w:p>
        </w:tc>
        <w:tc>
          <w:tcPr>
            <w:tcW w:w="607" w:type="dxa"/>
            <w:tcMar>
              <w:top w:w="28" w:type="dxa"/>
              <w:left w:w="28" w:type="dxa"/>
              <w:bottom w:w="28" w:type="dxa"/>
              <w:right w:w="28" w:type="dxa"/>
            </w:tcMar>
            <w:vAlign w:val="center"/>
          </w:tcPr>
          <w:p>
            <w:pPr>
              <w:pStyle w:val="42"/>
            </w:pPr>
            <w:r>
              <w:t>短期影响</w:t>
            </w:r>
          </w:p>
        </w:tc>
        <w:tc>
          <w:tcPr>
            <w:tcW w:w="608" w:type="dxa"/>
            <w:tcMar>
              <w:top w:w="28" w:type="dxa"/>
              <w:left w:w="28" w:type="dxa"/>
              <w:bottom w:w="28" w:type="dxa"/>
              <w:right w:w="28" w:type="dxa"/>
            </w:tcMar>
            <w:vAlign w:val="center"/>
          </w:tcPr>
          <w:p>
            <w:pPr>
              <w:pStyle w:val="42"/>
            </w:pPr>
            <w:r>
              <w:t>长期影响</w:t>
            </w:r>
          </w:p>
        </w:tc>
        <w:tc>
          <w:tcPr>
            <w:tcW w:w="609" w:type="dxa"/>
            <w:tcMar>
              <w:top w:w="28" w:type="dxa"/>
              <w:left w:w="28" w:type="dxa"/>
              <w:bottom w:w="28" w:type="dxa"/>
              <w:right w:w="28" w:type="dxa"/>
            </w:tcMar>
            <w:vAlign w:val="center"/>
          </w:tcPr>
          <w:p>
            <w:pPr>
              <w:pStyle w:val="42"/>
            </w:pPr>
            <w:r>
              <w:t>可逆影响</w:t>
            </w:r>
          </w:p>
        </w:tc>
        <w:tc>
          <w:tcPr>
            <w:tcW w:w="651" w:type="dxa"/>
            <w:tcMar>
              <w:top w:w="28" w:type="dxa"/>
              <w:left w:w="28" w:type="dxa"/>
              <w:bottom w:w="28" w:type="dxa"/>
              <w:right w:w="28" w:type="dxa"/>
            </w:tcMar>
            <w:vAlign w:val="center"/>
          </w:tcPr>
          <w:p>
            <w:pPr>
              <w:pStyle w:val="42"/>
            </w:pPr>
            <w:r>
              <w:rPr>
                <w:w w:val="90"/>
              </w:rPr>
              <w:t>不可逆</w:t>
            </w:r>
            <w:r>
              <w:t>影响</w:t>
            </w:r>
          </w:p>
        </w:tc>
        <w:tc>
          <w:tcPr>
            <w:tcW w:w="565" w:type="dxa"/>
            <w:tcMar>
              <w:top w:w="28" w:type="dxa"/>
              <w:left w:w="28" w:type="dxa"/>
              <w:bottom w:w="28" w:type="dxa"/>
              <w:right w:w="28" w:type="dxa"/>
            </w:tcMar>
            <w:vAlign w:val="center"/>
          </w:tcPr>
          <w:p>
            <w:pPr>
              <w:pStyle w:val="42"/>
            </w:pPr>
            <w:r>
              <w:t>直接影响</w:t>
            </w:r>
          </w:p>
        </w:tc>
        <w:tc>
          <w:tcPr>
            <w:tcW w:w="608" w:type="dxa"/>
            <w:tcMar>
              <w:top w:w="28" w:type="dxa"/>
              <w:left w:w="28" w:type="dxa"/>
              <w:bottom w:w="28" w:type="dxa"/>
              <w:right w:w="28" w:type="dxa"/>
            </w:tcMar>
            <w:vAlign w:val="center"/>
          </w:tcPr>
          <w:p>
            <w:pPr>
              <w:pStyle w:val="42"/>
            </w:pPr>
            <w:r>
              <w:t>间接影响</w:t>
            </w:r>
          </w:p>
        </w:tc>
        <w:tc>
          <w:tcPr>
            <w:tcW w:w="608" w:type="dxa"/>
            <w:tcMar>
              <w:top w:w="28" w:type="dxa"/>
              <w:left w:w="28" w:type="dxa"/>
              <w:bottom w:w="28" w:type="dxa"/>
              <w:right w:w="28" w:type="dxa"/>
            </w:tcMar>
            <w:vAlign w:val="center"/>
          </w:tcPr>
          <w:p>
            <w:pPr>
              <w:pStyle w:val="42"/>
            </w:pPr>
            <w:r>
              <w:t>短期影响</w:t>
            </w:r>
          </w:p>
        </w:tc>
        <w:tc>
          <w:tcPr>
            <w:tcW w:w="608" w:type="dxa"/>
            <w:tcMar>
              <w:top w:w="28" w:type="dxa"/>
              <w:left w:w="28" w:type="dxa"/>
              <w:bottom w:w="28" w:type="dxa"/>
              <w:right w:w="28" w:type="dxa"/>
            </w:tcMar>
            <w:vAlign w:val="center"/>
          </w:tcPr>
          <w:p>
            <w:pPr>
              <w:pStyle w:val="42"/>
            </w:pPr>
            <w:r>
              <w:t>长期影响</w:t>
            </w:r>
          </w:p>
        </w:tc>
        <w:tc>
          <w:tcPr>
            <w:tcW w:w="608" w:type="dxa"/>
            <w:tcMar>
              <w:top w:w="28" w:type="dxa"/>
              <w:left w:w="28" w:type="dxa"/>
              <w:bottom w:w="28" w:type="dxa"/>
              <w:right w:w="28" w:type="dxa"/>
            </w:tcMar>
            <w:vAlign w:val="center"/>
          </w:tcPr>
          <w:p>
            <w:pPr>
              <w:pStyle w:val="42"/>
            </w:pPr>
            <w:r>
              <w:t>可逆影响</w:t>
            </w:r>
          </w:p>
        </w:tc>
        <w:tc>
          <w:tcPr>
            <w:tcW w:w="697" w:type="dxa"/>
            <w:tcMar>
              <w:top w:w="28" w:type="dxa"/>
              <w:left w:w="28" w:type="dxa"/>
              <w:bottom w:w="28" w:type="dxa"/>
              <w:right w:w="28" w:type="dxa"/>
            </w:tcMar>
            <w:vAlign w:val="center"/>
          </w:tcPr>
          <w:p>
            <w:pPr>
              <w:pStyle w:val="42"/>
            </w:pPr>
            <w:r>
              <w:rPr>
                <w:w w:val="90"/>
              </w:rPr>
              <w:t>不可逆</w:t>
            </w:r>
            <w:r>
              <w:t>影响</w:t>
            </w:r>
          </w:p>
        </w:tc>
        <w:tc>
          <w:tcPr>
            <w:tcW w:w="518" w:type="dxa"/>
            <w:tcMar>
              <w:top w:w="28" w:type="dxa"/>
              <w:left w:w="28" w:type="dxa"/>
              <w:bottom w:w="28" w:type="dxa"/>
              <w:right w:w="28" w:type="dxa"/>
            </w:tcMar>
            <w:vAlign w:val="center"/>
          </w:tcPr>
          <w:p>
            <w:pPr>
              <w:pStyle w:val="42"/>
            </w:pPr>
            <w:r>
              <w:t>直接影响</w:t>
            </w:r>
          </w:p>
        </w:tc>
        <w:tc>
          <w:tcPr>
            <w:tcW w:w="608" w:type="dxa"/>
            <w:tcMar>
              <w:top w:w="28" w:type="dxa"/>
              <w:left w:w="28" w:type="dxa"/>
              <w:bottom w:w="28" w:type="dxa"/>
              <w:right w:w="28" w:type="dxa"/>
            </w:tcMar>
            <w:vAlign w:val="center"/>
          </w:tcPr>
          <w:p>
            <w:pPr>
              <w:pStyle w:val="42"/>
            </w:pPr>
            <w:r>
              <w:t>间接影响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环境空气</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水质</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环境噪声</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土壤(固废)</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地形地貌</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植物</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水土流失</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土地利用</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交通</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社会经济</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7" w:type="dxa"/>
            <w:tcMar>
              <w:top w:w="28" w:type="dxa"/>
              <w:left w:w="28" w:type="dxa"/>
              <w:bottom w:w="28" w:type="dxa"/>
              <w:right w:w="28" w:type="dxa"/>
            </w:tcMar>
            <w:vAlign w:val="center"/>
          </w:tcPr>
          <w:p>
            <w:pPr>
              <w:pStyle w:val="42"/>
            </w:pPr>
            <w:r>
              <w:t>人体健康</w:t>
            </w:r>
          </w:p>
        </w:tc>
        <w:tc>
          <w:tcPr>
            <w:tcW w:w="607"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9" w:type="dxa"/>
            <w:tcMar>
              <w:top w:w="28" w:type="dxa"/>
              <w:left w:w="28" w:type="dxa"/>
              <w:bottom w:w="28" w:type="dxa"/>
              <w:right w:w="28" w:type="dxa"/>
            </w:tcMar>
            <w:vAlign w:val="center"/>
          </w:tcPr>
          <w:p>
            <w:pPr>
              <w:pStyle w:val="42"/>
            </w:pPr>
            <w:r>
              <w:t>—</w:t>
            </w:r>
          </w:p>
        </w:tc>
        <w:tc>
          <w:tcPr>
            <w:tcW w:w="651" w:type="dxa"/>
            <w:tcMar>
              <w:top w:w="28" w:type="dxa"/>
              <w:left w:w="28" w:type="dxa"/>
              <w:bottom w:w="28" w:type="dxa"/>
              <w:right w:w="28" w:type="dxa"/>
            </w:tcMar>
            <w:vAlign w:val="center"/>
          </w:tcPr>
          <w:p>
            <w:pPr>
              <w:pStyle w:val="42"/>
            </w:pPr>
            <w:r>
              <w:t>—</w:t>
            </w:r>
          </w:p>
        </w:tc>
        <w:tc>
          <w:tcPr>
            <w:tcW w:w="565"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c>
          <w:tcPr>
            <w:tcW w:w="697" w:type="dxa"/>
            <w:tcMar>
              <w:top w:w="28" w:type="dxa"/>
              <w:left w:w="28" w:type="dxa"/>
              <w:bottom w:w="28" w:type="dxa"/>
              <w:right w:w="28" w:type="dxa"/>
            </w:tcMar>
            <w:vAlign w:val="center"/>
          </w:tcPr>
          <w:p>
            <w:pPr>
              <w:pStyle w:val="42"/>
            </w:pPr>
            <w:r>
              <w:t>√</w:t>
            </w:r>
          </w:p>
        </w:tc>
        <w:tc>
          <w:tcPr>
            <w:tcW w:w="518" w:type="dxa"/>
            <w:tcMar>
              <w:top w:w="28" w:type="dxa"/>
              <w:left w:w="28" w:type="dxa"/>
              <w:bottom w:w="28" w:type="dxa"/>
              <w:right w:w="28" w:type="dxa"/>
            </w:tcMar>
            <w:vAlign w:val="center"/>
          </w:tcPr>
          <w:p>
            <w:pPr>
              <w:pStyle w:val="42"/>
            </w:pPr>
            <w:r>
              <w:t>—</w:t>
            </w:r>
          </w:p>
        </w:tc>
        <w:tc>
          <w:tcPr>
            <w:tcW w:w="608" w:type="dxa"/>
            <w:tcMar>
              <w:top w:w="28" w:type="dxa"/>
              <w:left w:w="28" w:type="dxa"/>
              <w:bottom w:w="28" w:type="dxa"/>
              <w:right w:w="28" w:type="dxa"/>
            </w:tcMar>
            <w:vAlign w:val="center"/>
          </w:tcPr>
          <w:p>
            <w:pPr>
              <w:pStyle w:val="42"/>
            </w:pPr>
            <w:r>
              <w:t>√</w:t>
            </w:r>
          </w:p>
        </w:tc>
      </w:tr>
    </w:tbl>
    <w:p>
      <w:pPr>
        <w:ind w:firstLine="480"/>
      </w:pPr>
      <w:r>
        <w:rPr>
          <w:rFonts w:hint="eastAsia"/>
        </w:rPr>
        <w:t>（3）环境要素识别</w:t>
      </w:r>
    </w:p>
    <w:p>
      <w:pPr>
        <w:ind w:firstLine="480"/>
      </w:pPr>
      <w:r>
        <w:rPr>
          <w:rFonts w:hint="eastAsia"/>
        </w:rPr>
        <w:t>根据表1.4-1~1.4-3的环境影响因素分析可知，施工期对自然环境、生态环境、社会环境都含带不同程度短期的不利影响，而在营运期对局部环境表现为不利影响。因此，评价重点论述营运期给环境带来的不利影响，并提出相应的减缓措施。主要环境要素为：环境空气、水、环境噪声、土壤和固废。</w:t>
      </w:r>
    </w:p>
    <w:p>
      <w:pPr>
        <w:pStyle w:val="4"/>
        <w:spacing w:before="156" w:after="156"/>
      </w:pPr>
      <w:bookmarkStart w:id="20" w:name="_Toc84844204"/>
      <w:r>
        <w:rPr>
          <w:rFonts w:hint="eastAsia"/>
        </w:rPr>
        <w:t>1.4.3环境影响评价因子识别</w:t>
      </w:r>
      <w:bookmarkEnd w:id="20"/>
    </w:p>
    <w:p>
      <w:pPr>
        <w:ind w:firstLine="480"/>
      </w:pPr>
      <w:r>
        <w:rPr>
          <w:rFonts w:hint="eastAsia"/>
        </w:rPr>
        <w:t>根据拟建项目的污染排放特征，即产生的污染物种类、排放速率、排放量及排放方式等；所排污染物可能对环境污染性质、程度和范围，以及污染物在环境中迁移、转化特征，从而以区域环境容量和总量控制目标识别、筛选出以下污染因子，详见表1.4-4。</w:t>
      </w:r>
    </w:p>
    <w:p>
      <w:pPr>
        <w:pStyle w:val="41"/>
      </w:pPr>
      <w:r>
        <w:rPr>
          <w:rFonts w:hint="eastAsia"/>
        </w:rPr>
        <w:t>表1.4-4     工程环境影响因子（污染因子）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250"/>
        <w:gridCol w:w="4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tcMar>
              <w:top w:w="28" w:type="dxa"/>
              <w:left w:w="28" w:type="dxa"/>
              <w:bottom w:w="28" w:type="dxa"/>
              <w:right w:w="28" w:type="dxa"/>
            </w:tcMar>
            <w:vAlign w:val="center"/>
          </w:tcPr>
          <w:p>
            <w:pPr>
              <w:pStyle w:val="42"/>
            </w:pPr>
            <w:r>
              <w:t>环境要素</w:t>
            </w:r>
          </w:p>
        </w:tc>
        <w:tc>
          <w:tcPr>
            <w:tcW w:w="2250" w:type="dxa"/>
            <w:tcMar>
              <w:top w:w="28" w:type="dxa"/>
              <w:left w:w="28" w:type="dxa"/>
              <w:bottom w:w="28" w:type="dxa"/>
              <w:right w:w="28" w:type="dxa"/>
            </w:tcMar>
            <w:vAlign w:val="center"/>
          </w:tcPr>
          <w:p>
            <w:pPr>
              <w:pStyle w:val="42"/>
            </w:pPr>
            <w:r>
              <w:t>施工期</w:t>
            </w:r>
          </w:p>
        </w:tc>
        <w:tc>
          <w:tcPr>
            <w:tcW w:w="4909" w:type="dxa"/>
            <w:tcMar>
              <w:top w:w="28" w:type="dxa"/>
              <w:left w:w="28" w:type="dxa"/>
              <w:bottom w:w="28" w:type="dxa"/>
              <w:right w:w="28" w:type="dxa"/>
            </w:tcMar>
            <w:vAlign w:val="center"/>
          </w:tcPr>
          <w:p>
            <w:pPr>
              <w:pStyle w:val="42"/>
            </w:pPr>
            <w: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tcMar>
              <w:top w:w="28" w:type="dxa"/>
              <w:left w:w="28" w:type="dxa"/>
              <w:bottom w:w="28" w:type="dxa"/>
              <w:right w:w="28" w:type="dxa"/>
            </w:tcMar>
            <w:vAlign w:val="center"/>
          </w:tcPr>
          <w:p>
            <w:pPr>
              <w:pStyle w:val="42"/>
            </w:pPr>
            <w:r>
              <w:t>环境空气</w:t>
            </w:r>
          </w:p>
        </w:tc>
        <w:tc>
          <w:tcPr>
            <w:tcW w:w="2250" w:type="dxa"/>
            <w:tcMar>
              <w:top w:w="28" w:type="dxa"/>
              <w:left w:w="28" w:type="dxa"/>
              <w:bottom w:w="28" w:type="dxa"/>
              <w:right w:w="28" w:type="dxa"/>
            </w:tcMar>
            <w:vAlign w:val="center"/>
          </w:tcPr>
          <w:p>
            <w:pPr>
              <w:pStyle w:val="42"/>
            </w:pPr>
            <w:r>
              <w:t>CO、NO</w:t>
            </w:r>
            <w:r>
              <w:rPr>
                <w:rFonts w:hint="eastAsia"/>
              </w:rPr>
              <w:t>x</w:t>
            </w:r>
            <w:r>
              <w:t>、施工扬尘</w:t>
            </w:r>
          </w:p>
        </w:tc>
        <w:tc>
          <w:tcPr>
            <w:tcW w:w="4909" w:type="dxa"/>
            <w:tcMar>
              <w:top w:w="28" w:type="dxa"/>
              <w:left w:w="28" w:type="dxa"/>
              <w:bottom w:w="28" w:type="dxa"/>
              <w:right w:w="28" w:type="dxa"/>
            </w:tcMar>
            <w:vAlign w:val="center"/>
          </w:tcPr>
          <w:p>
            <w:pPr>
              <w:pStyle w:val="42"/>
            </w:pPr>
            <w:r>
              <w:rPr>
                <w:rFonts w:hint="eastAsia"/>
              </w:rPr>
              <w:t>颗粒物、氮氧化物、二氧化硫、氨、甲醇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tcMar>
              <w:top w:w="28" w:type="dxa"/>
              <w:left w:w="28" w:type="dxa"/>
              <w:bottom w:w="28" w:type="dxa"/>
              <w:right w:w="28" w:type="dxa"/>
            </w:tcMar>
            <w:vAlign w:val="center"/>
          </w:tcPr>
          <w:p>
            <w:pPr>
              <w:pStyle w:val="42"/>
            </w:pPr>
            <w:r>
              <w:t>水环境</w:t>
            </w:r>
          </w:p>
        </w:tc>
        <w:tc>
          <w:tcPr>
            <w:tcW w:w="2250" w:type="dxa"/>
            <w:tcMar>
              <w:top w:w="28" w:type="dxa"/>
              <w:left w:w="28" w:type="dxa"/>
              <w:bottom w:w="28" w:type="dxa"/>
              <w:right w:w="28" w:type="dxa"/>
            </w:tcMar>
            <w:vAlign w:val="center"/>
          </w:tcPr>
          <w:p>
            <w:pPr>
              <w:pStyle w:val="42"/>
            </w:pPr>
            <w:r>
              <w:t>SS、COD、</w:t>
            </w:r>
            <w:r>
              <w:rPr>
                <w:rFonts w:hint="eastAsia"/>
              </w:rPr>
              <w:t>BOD</w:t>
            </w:r>
            <w:r>
              <w:rPr>
                <w:rFonts w:hint="eastAsia"/>
                <w:vertAlign w:val="subscript"/>
              </w:rPr>
              <w:t>5</w:t>
            </w:r>
            <w:r>
              <w:rPr>
                <w:rFonts w:hint="eastAsia"/>
              </w:rPr>
              <w:t>、氨氮、</w:t>
            </w:r>
            <w:r>
              <w:t>石油类</w:t>
            </w:r>
          </w:p>
        </w:tc>
        <w:tc>
          <w:tcPr>
            <w:tcW w:w="4909" w:type="dxa"/>
            <w:tcMar>
              <w:top w:w="28" w:type="dxa"/>
              <w:left w:w="28" w:type="dxa"/>
              <w:bottom w:w="28" w:type="dxa"/>
              <w:right w:w="28" w:type="dxa"/>
            </w:tcMar>
            <w:vAlign w:val="center"/>
          </w:tcPr>
          <w:p>
            <w:pPr>
              <w:pStyle w:val="42"/>
            </w:pPr>
            <w:r>
              <w:rPr>
                <w:rFonts w:hint="eastAsia"/>
              </w:rPr>
              <w:t>pH、</w:t>
            </w:r>
            <w:r>
              <w:t>SS、COD、</w:t>
            </w:r>
            <w:r>
              <w:rPr>
                <w:rFonts w:hint="eastAsia"/>
              </w:rPr>
              <w:t>BOD</w:t>
            </w:r>
            <w:r>
              <w:rPr>
                <w:rFonts w:hint="eastAsia"/>
                <w:vertAlign w:val="subscript"/>
              </w:rPr>
              <w:t>5</w:t>
            </w:r>
            <w:r>
              <w:rPr>
                <w:rFonts w:hint="eastAsia"/>
              </w:rPr>
              <w:t>、氨氮、</w:t>
            </w:r>
            <w: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tcMar>
              <w:top w:w="28" w:type="dxa"/>
              <w:left w:w="28" w:type="dxa"/>
              <w:bottom w:w="28" w:type="dxa"/>
              <w:right w:w="28" w:type="dxa"/>
            </w:tcMar>
            <w:vAlign w:val="center"/>
          </w:tcPr>
          <w:p>
            <w:pPr>
              <w:pStyle w:val="42"/>
            </w:pPr>
            <w:r>
              <w:t>声环境</w:t>
            </w:r>
          </w:p>
        </w:tc>
        <w:tc>
          <w:tcPr>
            <w:tcW w:w="2250" w:type="dxa"/>
            <w:tcMar>
              <w:top w:w="28" w:type="dxa"/>
              <w:left w:w="28" w:type="dxa"/>
              <w:bottom w:w="28" w:type="dxa"/>
              <w:right w:w="28" w:type="dxa"/>
            </w:tcMar>
            <w:vAlign w:val="center"/>
          </w:tcPr>
          <w:p>
            <w:pPr>
              <w:pStyle w:val="42"/>
            </w:pPr>
            <w:r>
              <w:t>中低频噪声</w:t>
            </w:r>
          </w:p>
        </w:tc>
        <w:tc>
          <w:tcPr>
            <w:tcW w:w="4909" w:type="dxa"/>
            <w:tcMar>
              <w:top w:w="28" w:type="dxa"/>
              <w:left w:w="28" w:type="dxa"/>
              <w:bottom w:w="28" w:type="dxa"/>
              <w:right w:w="28" w:type="dxa"/>
            </w:tcMar>
            <w:vAlign w:val="center"/>
          </w:tcPr>
          <w:p>
            <w:pPr>
              <w:pStyle w:val="42"/>
            </w:pPr>
            <w:r>
              <w:t>等效A声级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tcMar>
              <w:top w:w="28" w:type="dxa"/>
              <w:left w:w="28" w:type="dxa"/>
              <w:bottom w:w="28" w:type="dxa"/>
              <w:right w:w="28" w:type="dxa"/>
            </w:tcMar>
            <w:vAlign w:val="center"/>
          </w:tcPr>
          <w:p>
            <w:pPr>
              <w:pStyle w:val="42"/>
            </w:pPr>
            <w:r>
              <w:t>固体废物</w:t>
            </w:r>
          </w:p>
        </w:tc>
        <w:tc>
          <w:tcPr>
            <w:tcW w:w="2250" w:type="dxa"/>
            <w:tcMar>
              <w:top w:w="28" w:type="dxa"/>
              <w:left w:w="28" w:type="dxa"/>
              <w:bottom w:w="28" w:type="dxa"/>
              <w:right w:w="28" w:type="dxa"/>
            </w:tcMar>
            <w:vAlign w:val="center"/>
          </w:tcPr>
          <w:p>
            <w:pPr>
              <w:pStyle w:val="42"/>
            </w:pPr>
            <w:r>
              <w:t>建筑垃圾、施工垃圾</w:t>
            </w:r>
          </w:p>
        </w:tc>
        <w:tc>
          <w:tcPr>
            <w:tcW w:w="4909" w:type="dxa"/>
            <w:tcMar>
              <w:top w:w="28" w:type="dxa"/>
              <w:left w:w="28" w:type="dxa"/>
              <w:bottom w:w="28" w:type="dxa"/>
              <w:right w:w="28" w:type="dxa"/>
            </w:tcMar>
            <w:vAlign w:val="center"/>
          </w:tcPr>
          <w:p>
            <w:pPr>
              <w:pStyle w:val="42"/>
            </w:pPr>
            <w:r>
              <w:rPr>
                <w:rFonts w:hint="eastAsia"/>
              </w:rPr>
              <w:t>废催化剂、废脱硫剂、废吸附剂、废活性炭、生活垃圾和污泥</w:t>
            </w:r>
          </w:p>
        </w:tc>
      </w:tr>
    </w:tbl>
    <w:p>
      <w:pPr>
        <w:pStyle w:val="4"/>
        <w:spacing w:before="156" w:after="156"/>
      </w:pPr>
      <w:bookmarkStart w:id="21" w:name="_Toc84844205"/>
      <w:r>
        <w:rPr>
          <w:rFonts w:hint="eastAsia"/>
        </w:rPr>
        <w:t>1.4.4评价因子确定</w:t>
      </w:r>
      <w:bookmarkEnd w:id="21"/>
    </w:p>
    <w:p>
      <w:pPr>
        <w:ind w:firstLine="480"/>
      </w:pPr>
      <w:r>
        <w:rPr>
          <w:rFonts w:hint="eastAsia"/>
        </w:rPr>
        <w:t>根据拟建项目主要环境问题和环境影响评价因子的识别，结合环境特征，确定以下评价因子：</w:t>
      </w:r>
    </w:p>
    <w:p>
      <w:pPr>
        <w:ind w:firstLine="480"/>
      </w:pPr>
      <w:r>
        <w:rPr>
          <w:rFonts w:hint="eastAsia"/>
        </w:rPr>
        <w:t>（1）现状评价因子</w:t>
      </w:r>
    </w:p>
    <w:p>
      <w:pPr>
        <w:ind w:firstLine="480"/>
      </w:pPr>
      <w:r>
        <w:rPr>
          <w:rFonts w:hint="eastAsia"/>
        </w:rPr>
        <w:t>环境空气：SO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、CO、臭氧、氨、甲醇、非甲烷总烃</w:t>
      </w:r>
    </w:p>
    <w:p>
      <w:pPr>
        <w:ind w:firstLine="480"/>
      </w:pPr>
      <w:r>
        <w:rPr>
          <w:rFonts w:hint="eastAsia"/>
        </w:rPr>
        <w:t>地表水：水温、pH、COD、BOD</w:t>
      </w:r>
      <w:r>
        <w:rPr>
          <w:rFonts w:hint="eastAsia"/>
          <w:vertAlign w:val="subscript"/>
        </w:rPr>
        <w:t>5</w:t>
      </w:r>
      <w:r>
        <w:rPr>
          <w:rFonts w:hint="eastAsia"/>
        </w:rPr>
        <w:t>、NH</w:t>
      </w:r>
      <w:r>
        <w:rPr>
          <w:rFonts w:hint="eastAsia"/>
          <w:vertAlign w:val="subscript"/>
        </w:rPr>
        <w:t>3</w:t>
      </w:r>
      <w:r>
        <w:rPr>
          <w:rFonts w:hint="eastAsia"/>
        </w:rPr>
        <w:t>-N、总磷、石油类</w:t>
      </w:r>
    </w:p>
    <w:p>
      <w:pPr>
        <w:ind w:firstLine="480"/>
      </w:pPr>
      <w:r>
        <w:rPr>
          <w:rFonts w:hint="eastAsia"/>
        </w:rPr>
        <w:t>声环境：环境噪声（等效A声级）</w:t>
      </w:r>
    </w:p>
    <w:p>
      <w:pPr>
        <w:ind w:firstLine="480"/>
      </w:pPr>
      <w:r>
        <w:rPr>
          <w:rFonts w:hint="eastAsia"/>
        </w:rPr>
        <w:t>地下水：K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、Cl-、SO</w:t>
      </w:r>
      <w:r>
        <w:rPr>
          <w:rFonts w:hint="eastAsia"/>
          <w:vertAlign w:val="subscript"/>
        </w:rPr>
        <w:t>4</w:t>
      </w:r>
      <w:r>
        <w:rPr>
          <w:rFonts w:hint="eastAsia"/>
          <w:vertAlign w:val="superscript"/>
        </w:rPr>
        <w:t>2-</w:t>
      </w:r>
      <w:r>
        <w:rPr>
          <w:rFonts w:hint="eastAsia"/>
        </w:rPr>
        <w:t>；pH、总硬度（以CaCO</w:t>
      </w:r>
      <w:r>
        <w:rPr>
          <w:rFonts w:hint="eastAsia"/>
          <w:vertAlign w:val="subscript"/>
        </w:rPr>
        <w:t>3</w:t>
      </w:r>
      <w:r>
        <w:rPr>
          <w:rFonts w:hint="eastAsia"/>
        </w:rPr>
        <w:t>计）、溶解性总固体、高锰酸盐指数（耗氧量）、氨氮（NH</w:t>
      </w:r>
      <w:r>
        <w:rPr>
          <w:rFonts w:hint="eastAsia"/>
          <w:vertAlign w:val="subscript"/>
        </w:rPr>
        <w:t>3</w:t>
      </w:r>
      <w:r>
        <w:rPr>
          <w:rFonts w:hint="eastAsia"/>
        </w:rPr>
        <w:t>-N）、硝酸盐氮、亚硝酸盐氮、硫酸盐、氯化物、氟化物、氰化物、挥发酚、铁、铅、镉、六价铬、锰、砷、汞、石油类、总大肠菌群、细菌总数、镍、阴离子表面活性剂、硫化物、化学需氧量</w:t>
      </w:r>
    </w:p>
    <w:p>
      <w:pPr>
        <w:ind w:firstLine="480"/>
      </w:pPr>
      <w:r>
        <w:rPr>
          <w:rFonts w:hint="eastAsia"/>
        </w:rPr>
        <w:t>土壤：基本项（45项）：砷、镉、铬（六价）、铜、铅、汞、镍、四氯化碳、氯仿、氯甲烷、1,1-二氯乙烷、1,2-二氯乙烷、1,1-二氯乙烯、顺-1,2-二氯乙烯、反-1,2-二氯乙烯、二氯甲烷、1,2-二氯丙烷、三氯甲烷、1,1,1,2-四氯乙烷、1,1,2,2-四氯乙烷、四氯乙烯、1,1,1-三氯乙烷、1,1,2-三氯乙烷、三氯乙烯、1,2,3-三氯丙烷、氯乙烯、苯、氯苯、1,2-二氯苯、1,4-二氯苯、乙苯、苯乙烯、甲苯、加二甲苯+对二甲苯、邻二甲苯、硝基苯、苯胺、2-氯酚、苯并[a]蒽、苯并[a]芘、苯并</w:t>
      </w:r>
      <w:r>
        <w:t>[b]</w:t>
      </w:r>
      <w:r>
        <w:rPr>
          <w:rFonts w:hint="eastAsia"/>
        </w:rPr>
        <w:t>荧蒽、苯并</w:t>
      </w:r>
      <w:r>
        <w:t>[k]</w:t>
      </w:r>
      <w:r>
        <w:rPr>
          <w:rFonts w:hint="eastAsia"/>
        </w:rPr>
        <w:t>荧蒽、䓛、二苯并</w:t>
      </w:r>
      <w:r>
        <w:t>[a,h]</w:t>
      </w:r>
      <w:r>
        <w:rPr>
          <w:rFonts w:hint="eastAsia"/>
        </w:rPr>
        <w:t>蒽、茚并</w:t>
      </w:r>
      <w:r>
        <w:t>[1,2,3-cd]</w:t>
      </w:r>
      <w:r>
        <w:rPr>
          <w:rFonts w:hint="eastAsia"/>
        </w:rPr>
        <w:t>芘、萘；</w:t>
      </w:r>
    </w:p>
    <w:p>
      <w:pPr>
        <w:ind w:firstLine="480"/>
      </w:pPr>
      <w:r>
        <w:rPr>
          <w:rFonts w:hint="eastAsia"/>
        </w:rPr>
        <w:t>理化性质：pH、容重</w:t>
      </w:r>
    </w:p>
    <w:p>
      <w:pPr>
        <w:ind w:firstLine="480"/>
      </w:pPr>
      <w:r>
        <w:rPr>
          <w:rFonts w:hint="eastAsia"/>
        </w:rPr>
        <w:t>（2）环境影响评价因子</w:t>
      </w:r>
    </w:p>
    <w:p>
      <w:pPr>
        <w:ind w:firstLine="480"/>
      </w:pPr>
      <w:r>
        <w:rPr>
          <w:rFonts w:hint="eastAsia"/>
        </w:rPr>
        <w:t>施工期简要分析。</w:t>
      </w:r>
    </w:p>
    <w:p>
      <w:pPr>
        <w:ind w:firstLine="480"/>
      </w:pPr>
      <w:r>
        <w:rPr>
          <w:rFonts w:hint="eastAsia"/>
        </w:rPr>
        <w:t>运营期：</w:t>
      </w:r>
    </w:p>
    <w:p>
      <w:pPr>
        <w:ind w:firstLine="480"/>
      </w:pPr>
      <w:r>
        <w:rPr>
          <w:rFonts w:hint="eastAsia"/>
        </w:rPr>
        <w:t>环境空气：颗粒物、SO</w:t>
      </w:r>
      <w:r>
        <w:rPr>
          <w:rFonts w:hint="eastAsia"/>
          <w:vertAlign w:val="subscript"/>
        </w:rPr>
        <w:t>2</w:t>
      </w:r>
      <w:r>
        <w:rPr>
          <w:rFonts w:hint="eastAsia"/>
        </w:rPr>
        <w:t>、NO</w:t>
      </w:r>
      <w:r>
        <w:rPr>
          <w:rFonts w:hint="eastAsia"/>
          <w:vertAlign w:val="subscript"/>
        </w:rPr>
        <w:t>2</w:t>
      </w:r>
      <w:r>
        <w:rPr>
          <w:rFonts w:hint="eastAsia"/>
        </w:rPr>
        <w:t>、氨、甲醇和非甲烷总烃；</w:t>
      </w:r>
    </w:p>
    <w:p>
      <w:pPr>
        <w:ind w:firstLine="480"/>
      </w:pPr>
      <w:r>
        <w:rPr>
          <w:rFonts w:hint="eastAsia"/>
        </w:rPr>
        <w:t>地表水：pH、COD、BOD</w:t>
      </w:r>
      <w:r>
        <w:rPr>
          <w:rFonts w:hint="eastAsia"/>
          <w:vertAlign w:val="subscript"/>
        </w:rPr>
        <w:t>5</w:t>
      </w:r>
      <w:r>
        <w:rPr>
          <w:rFonts w:hint="eastAsia"/>
        </w:rPr>
        <w:t>、NH</w:t>
      </w:r>
      <w:r>
        <w:rPr>
          <w:rFonts w:hint="eastAsia"/>
          <w:vertAlign w:val="subscript"/>
        </w:rPr>
        <w:t>3</w:t>
      </w:r>
      <w:r>
        <w:rPr>
          <w:rFonts w:hint="eastAsia"/>
        </w:rPr>
        <w:t>-N、SS、石油类；</w:t>
      </w:r>
    </w:p>
    <w:p>
      <w:pPr>
        <w:ind w:firstLine="480"/>
      </w:pPr>
      <w:r>
        <w:rPr>
          <w:rFonts w:hint="eastAsia"/>
        </w:rPr>
        <w:t>地下水：COD、NH</w:t>
      </w:r>
      <w:r>
        <w:rPr>
          <w:rFonts w:hint="eastAsia"/>
          <w:vertAlign w:val="subscript"/>
        </w:rPr>
        <w:t>3</w:t>
      </w:r>
      <w:r>
        <w:rPr>
          <w:rFonts w:hint="eastAsia"/>
        </w:rPr>
        <w:t>-N</w:t>
      </w:r>
    </w:p>
    <w:p>
      <w:pPr>
        <w:ind w:firstLine="480"/>
      </w:pPr>
      <w:r>
        <w:rPr>
          <w:rFonts w:hint="eastAsia"/>
        </w:rPr>
        <w:t>声环境：环境噪声（等效A声级）</w:t>
      </w:r>
    </w:p>
    <w:p>
      <w:pPr>
        <w:ind w:firstLine="480"/>
      </w:pPr>
      <w:r>
        <w:rPr>
          <w:rFonts w:hint="eastAsia"/>
        </w:rPr>
        <w:t>固体废物：废催化剂、废脱硫剂、废吸附剂、废活性炭、生活垃圾和污泥</w:t>
      </w:r>
    </w:p>
    <w:p>
      <w:pPr>
        <w:ind w:firstLine="480"/>
      </w:pPr>
      <w:r>
        <w:rPr>
          <w:rFonts w:hint="eastAsia"/>
        </w:rPr>
        <w:t>环境风险：氨、甲烷燃爆次生一氧化碳。</w:t>
      </w:r>
    </w:p>
    <w:p>
      <w:pPr>
        <w:pStyle w:val="3"/>
        <w:spacing w:before="156" w:after="156"/>
      </w:pPr>
      <w:bookmarkStart w:id="22" w:name="_Toc84844206"/>
      <w:r>
        <w:rPr>
          <w:rFonts w:hint="eastAsia"/>
        </w:rPr>
        <w:t>1.5 评价功能区划及评价标准</w:t>
      </w:r>
      <w:bookmarkEnd w:id="22"/>
    </w:p>
    <w:p>
      <w:pPr>
        <w:pStyle w:val="4"/>
        <w:spacing w:before="156" w:after="156"/>
      </w:pPr>
      <w:bookmarkStart w:id="23" w:name="_Toc84844207"/>
      <w:r>
        <w:rPr>
          <w:rFonts w:hint="eastAsia"/>
        </w:rPr>
        <w:t>1.5.1环境功能区划</w:t>
      </w:r>
      <w:bookmarkEnd w:id="23"/>
    </w:p>
    <w:p>
      <w:pPr>
        <w:ind w:firstLine="480"/>
      </w:pPr>
      <w:r>
        <w:rPr>
          <w:rFonts w:hint="eastAsia"/>
        </w:rPr>
        <w:t>（1）环境空气质量功能区划：根据《重庆市环境空气质量功能区划分规定》（渝府发[2016]19）规定，项目所在地属环境空气功能二类区。</w:t>
      </w:r>
    </w:p>
    <w:p>
      <w:pPr>
        <w:ind w:firstLine="480"/>
      </w:pPr>
      <w:r>
        <w:rPr>
          <w:rFonts w:hint="eastAsia"/>
        </w:rPr>
        <w:t>（2）地表水环境功能区划：根据《重庆市人民政府批转重庆市地表水环境功能类别调整方案的通知》（渝府发[2012]4号），长江长寿扇沱-石沱段属Ⅲ类水域。晏家河属Ⅳ类水域，水域功能为工业用水。</w:t>
      </w:r>
    </w:p>
    <w:p>
      <w:pPr>
        <w:ind w:firstLine="480"/>
      </w:pPr>
      <w:r>
        <w:rPr>
          <w:rFonts w:hint="eastAsia"/>
        </w:rPr>
        <w:t>（3）地下水环境功能区划分：根据《地下水质量标准》（GB/T14848-2017），项目所在区域地下水质量为Ⅲ类。</w:t>
      </w:r>
    </w:p>
    <w:p>
      <w:pPr>
        <w:ind w:firstLine="480"/>
      </w:pPr>
      <w:r>
        <w:rPr>
          <w:rFonts w:hint="eastAsia"/>
        </w:rPr>
        <w:t>（4）声环境功能区划分：根据《关于印发重庆市长寿区城市、城镇区域环境噪声功能区划分调整方案的通知》（长寿府办发〔2018〕152号），项目所在区域为工业区，声环境执行《声环境质量标准》（GB3096-2008）中的3 类标准。</w:t>
      </w:r>
    </w:p>
    <w:p>
      <w:pPr>
        <w:ind w:firstLine="480"/>
      </w:pPr>
      <w:r>
        <w:rPr>
          <w:rFonts w:hint="eastAsia"/>
        </w:rPr>
        <w:t>（5）土壤环境功能区划：拟建项目所在区域内土壤按照建设用地分类，属于GB50137规定的城市建设用地中的工业用地（M）。</w:t>
      </w:r>
    </w:p>
    <w:p>
      <w:pPr>
        <w:pStyle w:val="4"/>
        <w:spacing w:before="156" w:after="156"/>
      </w:pPr>
      <w:bookmarkStart w:id="24" w:name="_Toc84844208"/>
      <w:r>
        <w:rPr>
          <w:rFonts w:hint="eastAsia"/>
        </w:rPr>
        <w:t>1.5.2环境质量标准</w:t>
      </w:r>
      <w:bookmarkEnd w:id="24"/>
    </w:p>
    <w:p>
      <w:pPr>
        <w:ind w:firstLine="480"/>
      </w:pPr>
      <w:r>
        <w:rPr>
          <w:rFonts w:hint="eastAsia"/>
        </w:rPr>
        <w:t>（1）环境空气：根据《重庆市环境空气质量功能区划分规定》（渝府发[2016] 19号），拟建项目所在地属二类区域，环境空气执行《环境空气质量标准》（GB3095-2012）中二级标准；氨参照《环境影响评价技术导则 大气环境》（H.J 2.2-2018）表D.1相关限值；非甲烷总烃参照执行河北省地方标准《环境空气质量 非甲烷总烃限值》（DB13/1577-2012），详见表1.5-1。</w:t>
      </w:r>
    </w:p>
    <w:p>
      <w:pPr>
        <w:pStyle w:val="41"/>
      </w:pPr>
      <w:r>
        <w:rPr>
          <w:rFonts w:hint="eastAsia"/>
        </w:rPr>
        <w:t>表1.5-1   环境空气质量标准</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27"/>
        <w:gridCol w:w="1841"/>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Align w:val="center"/>
          </w:tcPr>
          <w:p>
            <w:pPr>
              <w:pStyle w:val="42"/>
            </w:pPr>
            <w:r>
              <w:t>评价因子</w:t>
            </w:r>
          </w:p>
        </w:tc>
        <w:tc>
          <w:tcPr>
            <w:tcW w:w="1248" w:type="pct"/>
            <w:vAlign w:val="center"/>
          </w:tcPr>
          <w:p>
            <w:pPr>
              <w:pStyle w:val="42"/>
            </w:pPr>
            <w:r>
              <w:t>平均时段</w:t>
            </w:r>
          </w:p>
        </w:tc>
        <w:tc>
          <w:tcPr>
            <w:tcW w:w="1080" w:type="pct"/>
            <w:vAlign w:val="center"/>
          </w:tcPr>
          <w:p>
            <w:pPr>
              <w:pStyle w:val="42"/>
            </w:pPr>
            <w:r>
              <w:t>标准值</w:t>
            </w:r>
            <w:r>
              <w:rPr>
                <w:rFonts w:hint="eastAsia"/>
              </w:rPr>
              <w:t>（</w:t>
            </w:r>
            <w:r>
              <w:t>μg/m</w:t>
            </w:r>
            <w:r>
              <w:rPr>
                <w:vertAlign w:val="superscript"/>
              </w:rPr>
              <w:t>3</w:t>
            </w:r>
            <w:r>
              <w:rPr>
                <w:rFonts w:hint="eastAsia"/>
              </w:rPr>
              <w:t>）</w:t>
            </w:r>
          </w:p>
        </w:tc>
        <w:tc>
          <w:tcPr>
            <w:tcW w:w="1943" w:type="pct"/>
            <w:vAlign w:val="center"/>
          </w:tcPr>
          <w:p>
            <w:pPr>
              <w:pStyle w:val="42"/>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SO</w:t>
            </w:r>
            <w:r>
              <w:rPr>
                <w:vertAlign w:val="subscript"/>
              </w:rPr>
              <w:t>2</w:t>
            </w:r>
          </w:p>
        </w:tc>
        <w:tc>
          <w:tcPr>
            <w:tcW w:w="1248" w:type="pct"/>
            <w:vAlign w:val="center"/>
          </w:tcPr>
          <w:p>
            <w:pPr>
              <w:pStyle w:val="42"/>
            </w:pPr>
            <w:r>
              <w:t>年平均</w:t>
            </w:r>
          </w:p>
        </w:tc>
        <w:tc>
          <w:tcPr>
            <w:tcW w:w="1080" w:type="pct"/>
            <w:vAlign w:val="center"/>
          </w:tcPr>
          <w:p>
            <w:pPr>
              <w:pStyle w:val="42"/>
            </w:pPr>
            <w:r>
              <w:t>60</w:t>
            </w:r>
          </w:p>
        </w:tc>
        <w:tc>
          <w:tcPr>
            <w:tcW w:w="1943" w:type="pct"/>
            <w:vMerge w:val="restart"/>
            <w:vAlign w:val="center"/>
          </w:tcPr>
          <w:p>
            <w:pPr>
              <w:pStyle w:val="42"/>
            </w:pPr>
            <w:r>
              <w:t>《环境空气质量标准》GB3095-2012的二级标准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24小时平均</w:t>
            </w:r>
          </w:p>
        </w:tc>
        <w:tc>
          <w:tcPr>
            <w:tcW w:w="1080" w:type="pct"/>
            <w:vAlign w:val="center"/>
          </w:tcPr>
          <w:p>
            <w:pPr>
              <w:pStyle w:val="42"/>
            </w:pPr>
            <w:r>
              <w:t>150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1小时平均值</w:t>
            </w:r>
          </w:p>
        </w:tc>
        <w:tc>
          <w:tcPr>
            <w:tcW w:w="1080" w:type="pct"/>
            <w:vAlign w:val="center"/>
          </w:tcPr>
          <w:p>
            <w:pPr>
              <w:pStyle w:val="42"/>
            </w:pPr>
            <w:r>
              <w:t>500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NO</w:t>
            </w:r>
            <w:r>
              <w:rPr>
                <w:vertAlign w:val="subscript"/>
              </w:rPr>
              <w:t>2</w:t>
            </w:r>
          </w:p>
        </w:tc>
        <w:tc>
          <w:tcPr>
            <w:tcW w:w="1248" w:type="pct"/>
            <w:vAlign w:val="center"/>
          </w:tcPr>
          <w:p>
            <w:pPr>
              <w:pStyle w:val="42"/>
            </w:pPr>
            <w:r>
              <w:t>年平均</w:t>
            </w:r>
          </w:p>
        </w:tc>
        <w:tc>
          <w:tcPr>
            <w:tcW w:w="1080" w:type="pct"/>
            <w:vAlign w:val="center"/>
          </w:tcPr>
          <w:p>
            <w:pPr>
              <w:pStyle w:val="42"/>
            </w:pPr>
            <w:r>
              <w:t>40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24小时平均</w:t>
            </w:r>
          </w:p>
        </w:tc>
        <w:tc>
          <w:tcPr>
            <w:tcW w:w="1080" w:type="pct"/>
            <w:vAlign w:val="center"/>
          </w:tcPr>
          <w:p>
            <w:pPr>
              <w:pStyle w:val="42"/>
            </w:pPr>
            <w:r>
              <w:t>80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1小时平均</w:t>
            </w:r>
          </w:p>
        </w:tc>
        <w:tc>
          <w:tcPr>
            <w:tcW w:w="1080" w:type="pct"/>
            <w:vAlign w:val="center"/>
          </w:tcPr>
          <w:p>
            <w:pPr>
              <w:pStyle w:val="42"/>
            </w:pPr>
            <w:r>
              <w:t>200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NOx</w:t>
            </w:r>
          </w:p>
        </w:tc>
        <w:tc>
          <w:tcPr>
            <w:tcW w:w="1248" w:type="pct"/>
            <w:vAlign w:val="center"/>
          </w:tcPr>
          <w:p>
            <w:pPr>
              <w:pStyle w:val="42"/>
            </w:pPr>
            <w:r>
              <w:t>年平均</w:t>
            </w:r>
          </w:p>
        </w:tc>
        <w:tc>
          <w:tcPr>
            <w:tcW w:w="1080" w:type="pct"/>
            <w:vAlign w:val="center"/>
          </w:tcPr>
          <w:p>
            <w:pPr>
              <w:pStyle w:val="42"/>
            </w:pPr>
            <w:r>
              <w:t>50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24小时平均</w:t>
            </w:r>
          </w:p>
        </w:tc>
        <w:tc>
          <w:tcPr>
            <w:tcW w:w="1080" w:type="pct"/>
            <w:vAlign w:val="center"/>
          </w:tcPr>
          <w:p>
            <w:pPr>
              <w:pStyle w:val="42"/>
            </w:pPr>
            <w:r>
              <w:t>100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1小时平均</w:t>
            </w:r>
          </w:p>
        </w:tc>
        <w:tc>
          <w:tcPr>
            <w:tcW w:w="1080" w:type="pct"/>
            <w:vAlign w:val="center"/>
          </w:tcPr>
          <w:p>
            <w:pPr>
              <w:pStyle w:val="42"/>
            </w:pPr>
            <w:r>
              <w:t>250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PM</w:t>
            </w:r>
            <w:r>
              <w:rPr>
                <w:vertAlign w:val="subscript"/>
              </w:rPr>
              <w:t>10</w:t>
            </w:r>
          </w:p>
        </w:tc>
        <w:tc>
          <w:tcPr>
            <w:tcW w:w="1248" w:type="pct"/>
            <w:vAlign w:val="center"/>
          </w:tcPr>
          <w:p>
            <w:pPr>
              <w:pStyle w:val="42"/>
            </w:pPr>
            <w:r>
              <w:t>年平均</w:t>
            </w:r>
          </w:p>
        </w:tc>
        <w:tc>
          <w:tcPr>
            <w:tcW w:w="1080" w:type="pct"/>
            <w:vAlign w:val="center"/>
          </w:tcPr>
          <w:p>
            <w:pPr>
              <w:pStyle w:val="42"/>
            </w:pPr>
            <w:r>
              <w:t>70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24小时平均</w:t>
            </w:r>
          </w:p>
        </w:tc>
        <w:tc>
          <w:tcPr>
            <w:tcW w:w="1080" w:type="pct"/>
            <w:vAlign w:val="center"/>
          </w:tcPr>
          <w:p>
            <w:pPr>
              <w:pStyle w:val="42"/>
            </w:pPr>
            <w:r>
              <w:t>150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PM</w:t>
            </w:r>
            <w:r>
              <w:rPr>
                <w:vertAlign w:val="subscript"/>
              </w:rPr>
              <w:t>2.5</w:t>
            </w:r>
          </w:p>
        </w:tc>
        <w:tc>
          <w:tcPr>
            <w:tcW w:w="1248" w:type="pct"/>
            <w:vAlign w:val="center"/>
          </w:tcPr>
          <w:p>
            <w:pPr>
              <w:pStyle w:val="42"/>
            </w:pPr>
            <w:r>
              <w:t>年平均</w:t>
            </w:r>
          </w:p>
        </w:tc>
        <w:tc>
          <w:tcPr>
            <w:tcW w:w="1080" w:type="pct"/>
            <w:vAlign w:val="center"/>
          </w:tcPr>
          <w:p>
            <w:pPr>
              <w:pStyle w:val="42"/>
            </w:pPr>
            <w:r>
              <w:t>35</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24小时平均</w:t>
            </w:r>
          </w:p>
        </w:tc>
        <w:tc>
          <w:tcPr>
            <w:tcW w:w="1080" w:type="pct"/>
            <w:vAlign w:val="center"/>
          </w:tcPr>
          <w:p>
            <w:pPr>
              <w:pStyle w:val="42"/>
            </w:pPr>
            <w:r>
              <w:t>75</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CO</w:t>
            </w:r>
          </w:p>
        </w:tc>
        <w:tc>
          <w:tcPr>
            <w:tcW w:w="1248" w:type="pct"/>
            <w:vAlign w:val="center"/>
          </w:tcPr>
          <w:p>
            <w:pPr>
              <w:pStyle w:val="42"/>
            </w:pPr>
            <w:r>
              <w:t>24小时平均</w:t>
            </w:r>
          </w:p>
        </w:tc>
        <w:tc>
          <w:tcPr>
            <w:tcW w:w="1080" w:type="pct"/>
            <w:vAlign w:val="center"/>
          </w:tcPr>
          <w:p>
            <w:pPr>
              <w:pStyle w:val="42"/>
            </w:pPr>
            <w:r>
              <w:t>4</w:t>
            </w:r>
            <w:r>
              <w:rPr>
                <w:rFonts w:hint="eastAsia"/>
              </w:rPr>
              <w:t>m</w:t>
            </w:r>
            <w:r>
              <w:t>g/m</w:t>
            </w:r>
            <w:r>
              <w:rPr>
                <w:vertAlign w:val="superscript"/>
              </w:rPr>
              <w:t>3</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1小时平均</w:t>
            </w:r>
          </w:p>
        </w:tc>
        <w:tc>
          <w:tcPr>
            <w:tcW w:w="1080" w:type="pct"/>
            <w:vAlign w:val="center"/>
          </w:tcPr>
          <w:p>
            <w:pPr>
              <w:pStyle w:val="42"/>
            </w:pPr>
            <w:r>
              <w:t>10</w:t>
            </w:r>
            <w:r>
              <w:rPr>
                <w:rFonts w:hint="eastAsia"/>
              </w:rPr>
              <w:t>m</w:t>
            </w:r>
            <w:r>
              <w:t>g/m</w:t>
            </w:r>
            <w:r>
              <w:rPr>
                <w:vertAlign w:val="superscript"/>
              </w:rPr>
              <w:t>3</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t>O</w:t>
            </w:r>
            <w:r>
              <w:rPr>
                <w:vertAlign w:val="subscript"/>
              </w:rPr>
              <w:t>3</w:t>
            </w:r>
          </w:p>
        </w:tc>
        <w:tc>
          <w:tcPr>
            <w:tcW w:w="1248" w:type="pct"/>
            <w:vAlign w:val="center"/>
          </w:tcPr>
          <w:p>
            <w:pPr>
              <w:pStyle w:val="42"/>
            </w:pPr>
            <w:r>
              <w:t>日最大8小时平均</w:t>
            </w:r>
          </w:p>
        </w:tc>
        <w:tc>
          <w:tcPr>
            <w:tcW w:w="1080" w:type="pct"/>
            <w:vAlign w:val="center"/>
          </w:tcPr>
          <w:p>
            <w:pPr>
              <w:pStyle w:val="42"/>
            </w:pPr>
            <w:r>
              <w:t>160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t>1小时平均</w:t>
            </w:r>
          </w:p>
        </w:tc>
        <w:tc>
          <w:tcPr>
            <w:tcW w:w="1080" w:type="pct"/>
            <w:vAlign w:val="center"/>
          </w:tcPr>
          <w:p>
            <w:pPr>
              <w:pStyle w:val="42"/>
            </w:pPr>
            <w:r>
              <w:t>200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Align w:val="center"/>
          </w:tcPr>
          <w:p>
            <w:pPr>
              <w:pStyle w:val="42"/>
            </w:pPr>
            <w:r>
              <w:rPr>
                <w:rFonts w:hint="eastAsia"/>
              </w:rPr>
              <w:t>氨</w:t>
            </w:r>
          </w:p>
        </w:tc>
        <w:tc>
          <w:tcPr>
            <w:tcW w:w="1248" w:type="pct"/>
            <w:vAlign w:val="center"/>
          </w:tcPr>
          <w:p>
            <w:pPr>
              <w:pStyle w:val="42"/>
            </w:pPr>
            <w:r>
              <w:t>1h平均</w:t>
            </w:r>
          </w:p>
        </w:tc>
        <w:tc>
          <w:tcPr>
            <w:tcW w:w="1080" w:type="pct"/>
            <w:vAlign w:val="center"/>
          </w:tcPr>
          <w:p>
            <w:pPr>
              <w:pStyle w:val="42"/>
            </w:pPr>
            <w:r>
              <w:rPr>
                <w:rFonts w:hint="eastAsia"/>
              </w:rPr>
              <w:t>200</w:t>
            </w:r>
          </w:p>
        </w:tc>
        <w:tc>
          <w:tcPr>
            <w:tcW w:w="1943" w:type="pct"/>
            <w:vMerge w:val="restart"/>
            <w:vAlign w:val="center"/>
          </w:tcPr>
          <w:p>
            <w:pPr>
              <w:pStyle w:val="42"/>
            </w:pPr>
            <w:r>
              <w:rPr>
                <w:rFonts w:hint="eastAsia"/>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restart"/>
            <w:vAlign w:val="center"/>
          </w:tcPr>
          <w:p>
            <w:pPr>
              <w:pStyle w:val="42"/>
            </w:pPr>
            <w:r>
              <w:rPr>
                <w:rFonts w:hint="eastAsia"/>
              </w:rPr>
              <w:t>甲醇</w:t>
            </w:r>
          </w:p>
        </w:tc>
        <w:tc>
          <w:tcPr>
            <w:tcW w:w="1248" w:type="pct"/>
            <w:vAlign w:val="center"/>
          </w:tcPr>
          <w:p>
            <w:pPr>
              <w:pStyle w:val="42"/>
            </w:pPr>
            <w:r>
              <w:t>1h平均</w:t>
            </w:r>
          </w:p>
        </w:tc>
        <w:tc>
          <w:tcPr>
            <w:tcW w:w="1080" w:type="pct"/>
            <w:vAlign w:val="center"/>
          </w:tcPr>
          <w:p>
            <w:pPr>
              <w:pStyle w:val="42"/>
            </w:pPr>
            <w:r>
              <w:rPr>
                <w:rFonts w:hint="eastAsia"/>
              </w:rPr>
              <w:t>3000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Merge w:val="continue"/>
            <w:vAlign w:val="center"/>
          </w:tcPr>
          <w:p>
            <w:pPr>
              <w:pStyle w:val="42"/>
            </w:pPr>
          </w:p>
        </w:tc>
        <w:tc>
          <w:tcPr>
            <w:tcW w:w="1248" w:type="pct"/>
            <w:vAlign w:val="center"/>
          </w:tcPr>
          <w:p>
            <w:pPr>
              <w:pStyle w:val="42"/>
            </w:pPr>
            <w:r>
              <w:rPr>
                <w:rFonts w:hint="eastAsia"/>
              </w:rPr>
              <w:t>日平均</w:t>
            </w:r>
          </w:p>
        </w:tc>
        <w:tc>
          <w:tcPr>
            <w:tcW w:w="1080" w:type="pct"/>
            <w:vAlign w:val="center"/>
          </w:tcPr>
          <w:p>
            <w:pPr>
              <w:pStyle w:val="42"/>
            </w:pPr>
            <w:r>
              <w:rPr>
                <w:rFonts w:hint="eastAsia"/>
              </w:rPr>
              <w:t>1000</w:t>
            </w:r>
          </w:p>
        </w:tc>
        <w:tc>
          <w:tcPr>
            <w:tcW w:w="1943"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29" w:type="pct"/>
            <w:vAlign w:val="center"/>
          </w:tcPr>
          <w:p>
            <w:pPr>
              <w:pStyle w:val="42"/>
            </w:pPr>
            <w:r>
              <w:t>非甲烷总烃</w:t>
            </w:r>
          </w:p>
        </w:tc>
        <w:tc>
          <w:tcPr>
            <w:tcW w:w="1248" w:type="pct"/>
            <w:vAlign w:val="center"/>
          </w:tcPr>
          <w:p>
            <w:pPr>
              <w:pStyle w:val="42"/>
            </w:pPr>
            <w:r>
              <w:t>1h平均</w:t>
            </w:r>
          </w:p>
        </w:tc>
        <w:tc>
          <w:tcPr>
            <w:tcW w:w="1080" w:type="pct"/>
            <w:vAlign w:val="center"/>
          </w:tcPr>
          <w:p>
            <w:pPr>
              <w:pStyle w:val="42"/>
            </w:pPr>
            <w:r>
              <w:t>2000</w:t>
            </w:r>
          </w:p>
        </w:tc>
        <w:tc>
          <w:tcPr>
            <w:tcW w:w="1943" w:type="pct"/>
            <w:vAlign w:val="center"/>
          </w:tcPr>
          <w:p>
            <w:pPr>
              <w:pStyle w:val="42"/>
            </w:pPr>
            <w:r>
              <w:t>《环境空气质量非甲烷总烃限值》</w:t>
            </w:r>
            <w:r>
              <w:rPr>
                <w:rFonts w:hint="eastAsia"/>
              </w:rPr>
              <w:t>（</w:t>
            </w:r>
            <w:r>
              <w:t>DB13/1</w:t>
            </w:r>
            <w:r>
              <w:rPr>
                <w:rFonts w:hint="eastAsia"/>
              </w:rPr>
              <w:t>5</w:t>
            </w:r>
            <w:r>
              <w:t>77-2012</w:t>
            </w:r>
            <w:r>
              <w:rPr>
                <w:rFonts w:hint="eastAsia"/>
              </w:rPr>
              <w:t>）</w:t>
            </w:r>
          </w:p>
        </w:tc>
      </w:tr>
    </w:tbl>
    <w:p>
      <w:pPr>
        <w:ind w:firstLine="480"/>
      </w:pPr>
      <w:r>
        <w:rPr>
          <w:rFonts w:hint="eastAsia"/>
        </w:rPr>
        <w:t>（2）地表水环境：根据《重庆市人民政府批转重庆市地表水环境功能类别调整方案的通知》（渝府发[2012]4号），长江长寿扇沱-石沱段属Ⅲ类水域，地表水pH、COD、BOD</w:t>
      </w:r>
      <w:r>
        <w:rPr>
          <w:rFonts w:hint="eastAsia"/>
          <w:vertAlign w:val="subscript"/>
        </w:rPr>
        <w:t>5</w:t>
      </w:r>
      <w:r>
        <w:rPr>
          <w:rFonts w:hint="eastAsia"/>
        </w:rPr>
        <w:t>、氨氮、石油类、总磷（以P计）执行《地表水环境质量标准》（GB3838-2002）表1，标准限值详见表1.5-2。</w:t>
      </w:r>
    </w:p>
    <w:p>
      <w:pPr>
        <w:pStyle w:val="41"/>
      </w:pPr>
      <w:r>
        <w:rPr>
          <w:rFonts w:hint="eastAsia"/>
        </w:rPr>
        <w:t>表1.5-2 地表水环境质量标准</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1881"/>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污染物名称</w:t>
            </w:r>
          </w:p>
        </w:tc>
        <w:tc>
          <w:tcPr>
            <w:tcW w:w="1881" w:type="dxa"/>
            <w:vAlign w:val="center"/>
          </w:tcPr>
          <w:p>
            <w:pPr>
              <w:pStyle w:val="42"/>
            </w:pPr>
            <w:r>
              <w:t>标准值（mg/L）</w:t>
            </w:r>
          </w:p>
        </w:tc>
        <w:tc>
          <w:tcPr>
            <w:tcW w:w="3878" w:type="dxa"/>
            <w:vAlign w:val="center"/>
          </w:tcPr>
          <w:p>
            <w:pPr>
              <w:pStyle w:val="42"/>
            </w:pPr>
            <w: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pH（无量纲）</w:t>
            </w:r>
          </w:p>
        </w:tc>
        <w:tc>
          <w:tcPr>
            <w:tcW w:w="1881" w:type="dxa"/>
            <w:vAlign w:val="center"/>
          </w:tcPr>
          <w:p>
            <w:pPr>
              <w:pStyle w:val="42"/>
            </w:pPr>
            <w:r>
              <w:t>6～9</w:t>
            </w:r>
          </w:p>
        </w:tc>
        <w:tc>
          <w:tcPr>
            <w:tcW w:w="3878" w:type="dxa"/>
            <w:vMerge w:val="restart"/>
            <w:vAlign w:val="center"/>
          </w:tcPr>
          <w:p>
            <w:pPr>
              <w:pStyle w:val="42"/>
            </w:pPr>
            <w:r>
              <w:t>《地表水环境质量标准》（GB3838-2002）表1：地表水环境质量标准基本项目标准限值</w:t>
            </w:r>
            <w:r>
              <w:rPr>
                <w:rFonts w:hint="eastAsia"/>
              </w:rPr>
              <w:t>，Ⅲ</w:t>
            </w:r>
            <w: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化学需氧量（COD）</w:t>
            </w:r>
          </w:p>
        </w:tc>
        <w:tc>
          <w:tcPr>
            <w:tcW w:w="1881" w:type="dxa"/>
            <w:vAlign w:val="center"/>
          </w:tcPr>
          <w:p>
            <w:pPr>
              <w:pStyle w:val="42"/>
            </w:pPr>
            <w:r>
              <w:t>≤20</w:t>
            </w:r>
          </w:p>
        </w:tc>
        <w:tc>
          <w:tcPr>
            <w:tcW w:w="387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五日生化需氧量（BOD</w:t>
            </w:r>
            <w:r>
              <w:rPr>
                <w:vertAlign w:val="subscript"/>
              </w:rPr>
              <w:t>5</w:t>
            </w:r>
            <w:r>
              <w:t>）</w:t>
            </w:r>
          </w:p>
        </w:tc>
        <w:tc>
          <w:tcPr>
            <w:tcW w:w="1881" w:type="dxa"/>
            <w:vAlign w:val="center"/>
          </w:tcPr>
          <w:p>
            <w:pPr>
              <w:pStyle w:val="42"/>
            </w:pPr>
            <w:r>
              <w:t>≤4</w:t>
            </w:r>
          </w:p>
        </w:tc>
        <w:tc>
          <w:tcPr>
            <w:tcW w:w="387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氨氮（NH</w:t>
            </w:r>
            <w:r>
              <w:rPr>
                <w:vertAlign w:val="subscript"/>
              </w:rPr>
              <w:t>3</w:t>
            </w:r>
            <w:r>
              <w:t>-N）</w:t>
            </w:r>
          </w:p>
        </w:tc>
        <w:tc>
          <w:tcPr>
            <w:tcW w:w="1881" w:type="dxa"/>
            <w:vAlign w:val="center"/>
          </w:tcPr>
          <w:p>
            <w:pPr>
              <w:pStyle w:val="42"/>
            </w:pPr>
            <w:r>
              <w:t>≤1.0</w:t>
            </w:r>
          </w:p>
        </w:tc>
        <w:tc>
          <w:tcPr>
            <w:tcW w:w="387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rPr>
                <w:rFonts w:hint="eastAsia"/>
              </w:rPr>
              <w:t>TN（湖、库以N计）</w:t>
            </w:r>
          </w:p>
        </w:tc>
        <w:tc>
          <w:tcPr>
            <w:tcW w:w="1881" w:type="dxa"/>
            <w:vAlign w:val="center"/>
          </w:tcPr>
          <w:p>
            <w:pPr>
              <w:pStyle w:val="42"/>
            </w:pPr>
            <w:r>
              <w:t>≤1.0</w:t>
            </w:r>
          </w:p>
        </w:tc>
        <w:tc>
          <w:tcPr>
            <w:tcW w:w="387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石油类</w:t>
            </w:r>
          </w:p>
        </w:tc>
        <w:tc>
          <w:tcPr>
            <w:tcW w:w="1881" w:type="dxa"/>
            <w:vAlign w:val="center"/>
          </w:tcPr>
          <w:p>
            <w:pPr>
              <w:pStyle w:val="42"/>
            </w:pPr>
            <w:r>
              <w:t>≤0.05</w:t>
            </w:r>
          </w:p>
        </w:tc>
        <w:tc>
          <w:tcPr>
            <w:tcW w:w="387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63" w:type="dxa"/>
            <w:vAlign w:val="center"/>
          </w:tcPr>
          <w:p>
            <w:pPr>
              <w:pStyle w:val="42"/>
            </w:pPr>
            <w:r>
              <w:t>总磷（以P计）</w:t>
            </w:r>
          </w:p>
        </w:tc>
        <w:tc>
          <w:tcPr>
            <w:tcW w:w="1881" w:type="dxa"/>
            <w:vAlign w:val="center"/>
          </w:tcPr>
          <w:p>
            <w:pPr>
              <w:pStyle w:val="42"/>
            </w:pPr>
            <w:r>
              <w:t>≤0.2</w:t>
            </w:r>
          </w:p>
        </w:tc>
        <w:tc>
          <w:tcPr>
            <w:tcW w:w="3878" w:type="dxa"/>
            <w:vMerge w:val="continue"/>
            <w:vAlign w:val="center"/>
          </w:tcPr>
          <w:p>
            <w:pPr>
              <w:pStyle w:val="42"/>
            </w:pPr>
          </w:p>
        </w:tc>
      </w:tr>
    </w:tbl>
    <w:p>
      <w:pPr>
        <w:ind w:firstLine="480"/>
      </w:pPr>
      <w:r>
        <w:rPr>
          <w:rFonts w:hint="eastAsia"/>
        </w:rPr>
        <w:t>（3）声学环境：拟建项目执行《声环境质量标准》（GB3096-2008）3类标准，即昼间：65dB(A)、夜间55 dB(A)。</w:t>
      </w:r>
    </w:p>
    <w:p>
      <w:pPr>
        <w:ind w:firstLine="480"/>
      </w:pPr>
      <w:r>
        <w:rPr>
          <w:rFonts w:hint="eastAsia"/>
        </w:rPr>
        <w:t>（4）地下水环境：地下水质量执行《地下水质量标准》（GB/T14848-2017）中Ⅲ类标准和《生活饮用水卫生标准》（GB5749-2006等水质要求），具体见表1.5-3。</w:t>
      </w:r>
    </w:p>
    <w:p>
      <w:pPr>
        <w:pStyle w:val="41"/>
      </w:pPr>
      <w:r>
        <w:rPr>
          <w:rFonts w:hint="eastAsia"/>
        </w:rPr>
        <w:t>表1.5-3   地下水质量指标单位：mg/L</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540"/>
        <w:gridCol w:w="1757"/>
        <w:gridCol w:w="850"/>
        <w:gridCol w:w="1276"/>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序号</w:t>
            </w:r>
          </w:p>
        </w:tc>
        <w:tc>
          <w:tcPr>
            <w:tcW w:w="2540" w:type="dxa"/>
            <w:vAlign w:val="center"/>
          </w:tcPr>
          <w:p>
            <w:pPr>
              <w:pStyle w:val="42"/>
            </w:pPr>
            <w:r>
              <w:t>项目</w:t>
            </w:r>
          </w:p>
        </w:tc>
        <w:tc>
          <w:tcPr>
            <w:tcW w:w="1757" w:type="dxa"/>
            <w:vAlign w:val="center"/>
          </w:tcPr>
          <w:p>
            <w:pPr>
              <w:pStyle w:val="42"/>
            </w:pPr>
            <w:r>
              <w:rPr>
                <w:rFonts w:hint="eastAsia"/>
              </w:rPr>
              <w:t>Ⅲ</w:t>
            </w:r>
            <w:r>
              <w:t>类标准值</w:t>
            </w:r>
          </w:p>
        </w:tc>
        <w:tc>
          <w:tcPr>
            <w:tcW w:w="850" w:type="dxa"/>
            <w:vAlign w:val="center"/>
          </w:tcPr>
          <w:p>
            <w:pPr>
              <w:pStyle w:val="42"/>
            </w:pPr>
            <w:r>
              <w:t>序号</w:t>
            </w:r>
          </w:p>
        </w:tc>
        <w:tc>
          <w:tcPr>
            <w:tcW w:w="1276" w:type="dxa"/>
            <w:vAlign w:val="center"/>
          </w:tcPr>
          <w:p>
            <w:pPr>
              <w:pStyle w:val="42"/>
            </w:pPr>
            <w:r>
              <w:t>项目</w:t>
            </w:r>
          </w:p>
        </w:tc>
        <w:tc>
          <w:tcPr>
            <w:tcW w:w="1355" w:type="dxa"/>
            <w:vAlign w:val="center"/>
          </w:tcPr>
          <w:p>
            <w:pPr>
              <w:pStyle w:val="42"/>
            </w:pPr>
            <w:r>
              <w:rPr>
                <w:rFonts w:hint="eastAsia"/>
              </w:rPr>
              <w:t>Ⅲ</w:t>
            </w:r>
            <w: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1</w:t>
            </w:r>
          </w:p>
        </w:tc>
        <w:tc>
          <w:tcPr>
            <w:tcW w:w="2540" w:type="dxa"/>
            <w:vAlign w:val="center"/>
          </w:tcPr>
          <w:p>
            <w:pPr>
              <w:pStyle w:val="42"/>
            </w:pPr>
            <w:r>
              <w:t>pH</w:t>
            </w:r>
          </w:p>
        </w:tc>
        <w:tc>
          <w:tcPr>
            <w:tcW w:w="1757" w:type="dxa"/>
            <w:vAlign w:val="center"/>
          </w:tcPr>
          <w:p>
            <w:pPr>
              <w:pStyle w:val="42"/>
            </w:pPr>
            <w:r>
              <w:t>6.5-8.5</w:t>
            </w:r>
          </w:p>
        </w:tc>
        <w:tc>
          <w:tcPr>
            <w:tcW w:w="850" w:type="dxa"/>
            <w:vAlign w:val="center"/>
          </w:tcPr>
          <w:p>
            <w:pPr>
              <w:pStyle w:val="42"/>
            </w:pPr>
            <w:r>
              <w:t>15</w:t>
            </w:r>
          </w:p>
        </w:tc>
        <w:tc>
          <w:tcPr>
            <w:tcW w:w="1276" w:type="dxa"/>
            <w:vAlign w:val="center"/>
          </w:tcPr>
          <w:p>
            <w:pPr>
              <w:pStyle w:val="42"/>
            </w:pPr>
            <w:r>
              <w:t>铁</w:t>
            </w:r>
          </w:p>
        </w:tc>
        <w:tc>
          <w:tcPr>
            <w:tcW w:w="1355" w:type="dxa"/>
            <w:vAlign w:val="center"/>
          </w:tcPr>
          <w:p>
            <w:pPr>
              <w:pStyle w:val="42"/>
            </w:pP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2</w:t>
            </w:r>
          </w:p>
        </w:tc>
        <w:tc>
          <w:tcPr>
            <w:tcW w:w="2540" w:type="dxa"/>
            <w:vAlign w:val="center"/>
          </w:tcPr>
          <w:p>
            <w:pPr>
              <w:pStyle w:val="42"/>
            </w:pPr>
            <w:r>
              <w:t>氨氮</w:t>
            </w:r>
          </w:p>
        </w:tc>
        <w:tc>
          <w:tcPr>
            <w:tcW w:w="1757" w:type="dxa"/>
            <w:vAlign w:val="center"/>
          </w:tcPr>
          <w:p>
            <w:pPr>
              <w:pStyle w:val="42"/>
            </w:pPr>
            <w:r>
              <w:t>≤0.50</w:t>
            </w:r>
          </w:p>
        </w:tc>
        <w:tc>
          <w:tcPr>
            <w:tcW w:w="850" w:type="dxa"/>
            <w:vAlign w:val="center"/>
          </w:tcPr>
          <w:p>
            <w:pPr>
              <w:pStyle w:val="42"/>
            </w:pPr>
            <w:r>
              <w:t>16</w:t>
            </w:r>
          </w:p>
        </w:tc>
        <w:tc>
          <w:tcPr>
            <w:tcW w:w="1276" w:type="dxa"/>
            <w:vAlign w:val="center"/>
          </w:tcPr>
          <w:p>
            <w:pPr>
              <w:pStyle w:val="42"/>
            </w:pPr>
            <w:r>
              <w:t>K</w:t>
            </w:r>
            <w:r>
              <w:rPr>
                <w:vertAlign w:val="superscript"/>
              </w:rPr>
              <w:t>+</w:t>
            </w:r>
          </w:p>
        </w:tc>
        <w:tc>
          <w:tcPr>
            <w:tcW w:w="1355"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3</w:t>
            </w:r>
          </w:p>
        </w:tc>
        <w:tc>
          <w:tcPr>
            <w:tcW w:w="2540" w:type="dxa"/>
            <w:vAlign w:val="center"/>
          </w:tcPr>
          <w:p>
            <w:pPr>
              <w:pStyle w:val="42"/>
            </w:pPr>
            <w:r>
              <w:t>硝酸盐</w:t>
            </w:r>
          </w:p>
        </w:tc>
        <w:tc>
          <w:tcPr>
            <w:tcW w:w="1757" w:type="dxa"/>
            <w:vAlign w:val="center"/>
          </w:tcPr>
          <w:p>
            <w:pPr>
              <w:pStyle w:val="42"/>
            </w:pPr>
            <w:r>
              <w:t>≤20</w:t>
            </w:r>
          </w:p>
        </w:tc>
        <w:tc>
          <w:tcPr>
            <w:tcW w:w="850" w:type="dxa"/>
            <w:vAlign w:val="center"/>
          </w:tcPr>
          <w:p>
            <w:pPr>
              <w:pStyle w:val="42"/>
            </w:pPr>
            <w:r>
              <w:t>17</w:t>
            </w:r>
          </w:p>
        </w:tc>
        <w:tc>
          <w:tcPr>
            <w:tcW w:w="1276" w:type="dxa"/>
            <w:vAlign w:val="center"/>
          </w:tcPr>
          <w:p>
            <w:pPr>
              <w:pStyle w:val="42"/>
            </w:pPr>
            <w:r>
              <w:t>Na</w:t>
            </w:r>
            <w:r>
              <w:rPr>
                <w:vertAlign w:val="superscript"/>
              </w:rPr>
              <w:t>+</w:t>
            </w:r>
          </w:p>
        </w:tc>
        <w:tc>
          <w:tcPr>
            <w:tcW w:w="1355" w:type="dxa"/>
            <w:vAlign w:val="center"/>
          </w:tcPr>
          <w:p>
            <w:pPr>
              <w:pStyle w:val="42"/>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4</w:t>
            </w:r>
          </w:p>
        </w:tc>
        <w:tc>
          <w:tcPr>
            <w:tcW w:w="2540" w:type="dxa"/>
            <w:vAlign w:val="center"/>
          </w:tcPr>
          <w:p>
            <w:pPr>
              <w:pStyle w:val="42"/>
            </w:pPr>
            <w:r>
              <w:t>亚硝酸盐</w:t>
            </w:r>
          </w:p>
        </w:tc>
        <w:tc>
          <w:tcPr>
            <w:tcW w:w="1757" w:type="dxa"/>
            <w:vAlign w:val="center"/>
          </w:tcPr>
          <w:p>
            <w:pPr>
              <w:pStyle w:val="42"/>
            </w:pPr>
            <w:r>
              <w:t>≤1.00</w:t>
            </w:r>
          </w:p>
        </w:tc>
        <w:tc>
          <w:tcPr>
            <w:tcW w:w="850" w:type="dxa"/>
            <w:vAlign w:val="center"/>
          </w:tcPr>
          <w:p>
            <w:pPr>
              <w:pStyle w:val="42"/>
            </w:pPr>
            <w:r>
              <w:t>18</w:t>
            </w:r>
          </w:p>
        </w:tc>
        <w:tc>
          <w:tcPr>
            <w:tcW w:w="1276" w:type="dxa"/>
            <w:vAlign w:val="center"/>
          </w:tcPr>
          <w:p>
            <w:pPr>
              <w:pStyle w:val="42"/>
            </w:pPr>
            <w:r>
              <w:t>Ca</w:t>
            </w:r>
            <w:r>
              <w:rPr>
                <w:vertAlign w:val="superscript"/>
              </w:rPr>
              <w:t>2+</w:t>
            </w:r>
          </w:p>
        </w:tc>
        <w:tc>
          <w:tcPr>
            <w:tcW w:w="1355"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5</w:t>
            </w:r>
          </w:p>
        </w:tc>
        <w:tc>
          <w:tcPr>
            <w:tcW w:w="2540" w:type="dxa"/>
            <w:vAlign w:val="center"/>
          </w:tcPr>
          <w:p>
            <w:pPr>
              <w:pStyle w:val="42"/>
            </w:pPr>
            <w:r>
              <w:rPr>
                <w:rFonts w:hint="eastAsia"/>
              </w:rPr>
              <w:t>挥发性酚类（以苯酚计）</w:t>
            </w:r>
          </w:p>
        </w:tc>
        <w:tc>
          <w:tcPr>
            <w:tcW w:w="1757" w:type="dxa"/>
            <w:vAlign w:val="center"/>
          </w:tcPr>
          <w:p>
            <w:pPr>
              <w:pStyle w:val="42"/>
            </w:pPr>
            <w:r>
              <w:t>≤0.002</w:t>
            </w:r>
          </w:p>
        </w:tc>
        <w:tc>
          <w:tcPr>
            <w:tcW w:w="850" w:type="dxa"/>
            <w:vAlign w:val="center"/>
          </w:tcPr>
          <w:p>
            <w:pPr>
              <w:pStyle w:val="42"/>
            </w:pPr>
            <w:r>
              <w:t>19</w:t>
            </w:r>
          </w:p>
        </w:tc>
        <w:tc>
          <w:tcPr>
            <w:tcW w:w="1276" w:type="dxa"/>
            <w:vAlign w:val="center"/>
          </w:tcPr>
          <w:p>
            <w:pPr>
              <w:pStyle w:val="42"/>
            </w:pPr>
            <w:r>
              <w:t>Mg</w:t>
            </w:r>
            <w:r>
              <w:rPr>
                <w:vertAlign w:val="superscript"/>
              </w:rPr>
              <w:t>2+</w:t>
            </w:r>
          </w:p>
        </w:tc>
        <w:tc>
          <w:tcPr>
            <w:tcW w:w="1355"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6</w:t>
            </w:r>
          </w:p>
        </w:tc>
        <w:tc>
          <w:tcPr>
            <w:tcW w:w="2540" w:type="dxa"/>
            <w:vAlign w:val="center"/>
          </w:tcPr>
          <w:p>
            <w:pPr>
              <w:pStyle w:val="42"/>
            </w:pPr>
            <w:r>
              <w:t>氰化物</w:t>
            </w:r>
          </w:p>
        </w:tc>
        <w:tc>
          <w:tcPr>
            <w:tcW w:w="1757" w:type="dxa"/>
            <w:vAlign w:val="center"/>
          </w:tcPr>
          <w:p>
            <w:pPr>
              <w:pStyle w:val="42"/>
            </w:pPr>
            <w:r>
              <w:t>≤0.05</w:t>
            </w:r>
          </w:p>
        </w:tc>
        <w:tc>
          <w:tcPr>
            <w:tcW w:w="850" w:type="dxa"/>
            <w:vAlign w:val="center"/>
          </w:tcPr>
          <w:p>
            <w:pPr>
              <w:pStyle w:val="42"/>
            </w:pPr>
            <w:r>
              <w:t>20</w:t>
            </w:r>
          </w:p>
        </w:tc>
        <w:tc>
          <w:tcPr>
            <w:tcW w:w="1276" w:type="dxa"/>
            <w:vAlign w:val="center"/>
          </w:tcPr>
          <w:p>
            <w:pPr>
              <w:pStyle w:val="42"/>
            </w:pPr>
            <w:r>
              <w:t>Cl</w:t>
            </w:r>
            <w:r>
              <w:rPr>
                <w:vertAlign w:val="superscript"/>
              </w:rPr>
              <w:t>-</w:t>
            </w:r>
          </w:p>
        </w:tc>
        <w:tc>
          <w:tcPr>
            <w:tcW w:w="1355" w:type="dxa"/>
            <w:vAlign w:val="center"/>
          </w:tcPr>
          <w:p>
            <w:pPr>
              <w:pStyle w:val="42"/>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7</w:t>
            </w:r>
          </w:p>
        </w:tc>
        <w:tc>
          <w:tcPr>
            <w:tcW w:w="2540" w:type="dxa"/>
            <w:vAlign w:val="center"/>
          </w:tcPr>
          <w:p>
            <w:pPr>
              <w:pStyle w:val="42"/>
            </w:pPr>
            <w:r>
              <w:t>汞</w:t>
            </w:r>
          </w:p>
        </w:tc>
        <w:tc>
          <w:tcPr>
            <w:tcW w:w="1757" w:type="dxa"/>
            <w:vAlign w:val="center"/>
          </w:tcPr>
          <w:p>
            <w:pPr>
              <w:pStyle w:val="42"/>
            </w:pPr>
            <w:r>
              <w:t>≤0.001</w:t>
            </w:r>
          </w:p>
        </w:tc>
        <w:tc>
          <w:tcPr>
            <w:tcW w:w="850" w:type="dxa"/>
            <w:vAlign w:val="center"/>
          </w:tcPr>
          <w:p>
            <w:pPr>
              <w:pStyle w:val="42"/>
            </w:pPr>
            <w:r>
              <w:t>21</w:t>
            </w:r>
          </w:p>
        </w:tc>
        <w:tc>
          <w:tcPr>
            <w:tcW w:w="1276" w:type="dxa"/>
            <w:vAlign w:val="center"/>
          </w:tcPr>
          <w:p>
            <w:pPr>
              <w:pStyle w:val="42"/>
            </w:pPr>
            <w:r>
              <w:t>SO</w:t>
            </w:r>
            <w:r>
              <w:rPr>
                <w:vertAlign w:val="subscript"/>
              </w:rPr>
              <w:t>4</w:t>
            </w:r>
            <w:r>
              <w:rPr>
                <w:vertAlign w:val="superscript"/>
              </w:rPr>
              <w:t>2-</w:t>
            </w:r>
          </w:p>
        </w:tc>
        <w:tc>
          <w:tcPr>
            <w:tcW w:w="1355" w:type="dxa"/>
            <w:vAlign w:val="center"/>
          </w:tcPr>
          <w:p>
            <w:pPr>
              <w:pStyle w:val="42"/>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8</w:t>
            </w:r>
          </w:p>
        </w:tc>
        <w:tc>
          <w:tcPr>
            <w:tcW w:w="2540" w:type="dxa"/>
            <w:vAlign w:val="center"/>
          </w:tcPr>
          <w:p>
            <w:pPr>
              <w:pStyle w:val="42"/>
            </w:pPr>
            <w:r>
              <w:t>砷</w:t>
            </w:r>
          </w:p>
        </w:tc>
        <w:tc>
          <w:tcPr>
            <w:tcW w:w="1757" w:type="dxa"/>
            <w:vAlign w:val="center"/>
          </w:tcPr>
          <w:p>
            <w:pPr>
              <w:pStyle w:val="42"/>
            </w:pPr>
            <w:r>
              <w:t>≤0.01</w:t>
            </w:r>
          </w:p>
        </w:tc>
        <w:tc>
          <w:tcPr>
            <w:tcW w:w="850" w:type="dxa"/>
            <w:vAlign w:val="center"/>
          </w:tcPr>
          <w:p>
            <w:pPr>
              <w:pStyle w:val="42"/>
            </w:pPr>
            <w:r>
              <w:t>22</w:t>
            </w:r>
          </w:p>
        </w:tc>
        <w:tc>
          <w:tcPr>
            <w:tcW w:w="1276" w:type="dxa"/>
            <w:vAlign w:val="center"/>
          </w:tcPr>
          <w:p>
            <w:pPr>
              <w:pStyle w:val="42"/>
            </w:pPr>
            <w:r>
              <w:t>CO</w:t>
            </w:r>
            <w:r>
              <w:rPr>
                <w:vertAlign w:val="subscript"/>
              </w:rPr>
              <w:t>3</w:t>
            </w:r>
            <w:r>
              <w:rPr>
                <w:vertAlign w:val="superscript"/>
              </w:rPr>
              <w:t>-</w:t>
            </w:r>
          </w:p>
        </w:tc>
        <w:tc>
          <w:tcPr>
            <w:tcW w:w="1355"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9</w:t>
            </w:r>
          </w:p>
        </w:tc>
        <w:tc>
          <w:tcPr>
            <w:tcW w:w="2540" w:type="dxa"/>
            <w:vAlign w:val="center"/>
          </w:tcPr>
          <w:p>
            <w:pPr>
              <w:pStyle w:val="42"/>
            </w:pPr>
            <w:r>
              <w:t>铬</w:t>
            </w:r>
            <w:r>
              <w:rPr>
                <w:rFonts w:hint="eastAsia"/>
              </w:rPr>
              <w:t>（</w:t>
            </w:r>
            <w:r>
              <w:t>六价</w:t>
            </w:r>
            <w:r>
              <w:rPr>
                <w:rFonts w:hint="eastAsia"/>
              </w:rPr>
              <w:t>）</w:t>
            </w:r>
          </w:p>
        </w:tc>
        <w:tc>
          <w:tcPr>
            <w:tcW w:w="1757" w:type="dxa"/>
            <w:vAlign w:val="center"/>
          </w:tcPr>
          <w:p>
            <w:pPr>
              <w:pStyle w:val="42"/>
            </w:pPr>
            <w:r>
              <w:t>≤0.05</w:t>
            </w:r>
          </w:p>
        </w:tc>
        <w:tc>
          <w:tcPr>
            <w:tcW w:w="850" w:type="dxa"/>
            <w:vAlign w:val="center"/>
          </w:tcPr>
          <w:p>
            <w:pPr>
              <w:pStyle w:val="42"/>
            </w:pPr>
            <w:r>
              <w:rPr>
                <w:rFonts w:hint="eastAsia"/>
              </w:rPr>
              <w:t>23</w:t>
            </w:r>
          </w:p>
        </w:tc>
        <w:tc>
          <w:tcPr>
            <w:tcW w:w="1276" w:type="dxa"/>
            <w:vAlign w:val="center"/>
          </w:tcPr>
          <w:p>
            <w:pPr>
              <w:pStyle w:val="42"/>
            </w:pPr>
            <w:r>
              <w:t>HCO</w:t>
            </w:r>
            <w:r>
              <w:rPr>
                <w:vertAlign w:val="subscript"/>
              </w:rPr>
              <w:t>3</w:t>
            </w:r>
            <w:r>
              <w:rPr>
                <w:vertAlign w:val="superscript"/>
              </w:rPr>
              <w:t>-</w:t>
            </w:r>
          </w:p>
        </w:tc>
        <w:tc>
          <w:tcPr>
            <w:tcW w:w="1355"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10</w:t>
            </w:r>
          </w:p>
        </w:tc>
        <w:tc>
          <w:tcPr>
            <w:tcW w:w="2540" w:type="dxa"/>
            <w:vAlign w:val="center"/>
          </w:tcPr>
          <w:p>
            <w:pPr>
              <w:pStyle w:val="42"/>
            </w:pPr>
            <w:r>
              <w:t>总硬度(以CaCO</w:t>
            </w:r>
            <w:r>
              <w:rPr>
                <w:vertAlign w:val="subscript"/>
              </w:rPr>
              <w:t>3</w:t>
            </w:r>
            <w:r>
              <w:t>计)</w:t>
            </w:r>
          </w:p>
        </w:tc>
        <w:tc>
          <w:tcPr>
            <w:tcW w:w="1757" w:type="dxa"/>
            <w:vAlign w:val="center"/>
          </w:tcPr>
          <w:p>
            <w:pPr>
              <w:pStyle w:val="42"/>
            </w:pPr>
            <w:r>
              <w:t>≤450</w:t>
            </w:r>
          </w:p>
        </w:tc>
        <w:tc>
          <w:tcPr>
            <w:tcW w:w="850" w:type="dxa"/>
            <w:vAlign w:val="center"/>
          </w:tcPr>
          <w:p>
            <w:pPr>
              <w:pStyle w:val="42"/>
            </w:pPr>
            <w:r>
              <w:rPr>
                <w:rFonts w:hint="eastAsia"/>
              </w:rPr>
              <w:t>24</w:t>
            </w:r>
          </w:p>
        </w:tc>
        <w:tc>
          <w:tcPr>
            <w:tcW w:w="1276" w:type="dxa"/>
            <w:vAlign w:val="center"/>
          </w:tcPr>
          <w:p>
            <w:pPr>
              <w:pStyle w:val="42"/>
            </w:pPr>
            <w:r>
              <w:rPr>
                <w:rFonts w:hint="eastAsia"/>
              </w:rPr>
              <w:t>锰</w:t>
            </w:r>
          </w:p>
        </w:tc>
        <w:tc>
          <w:tcPr>
            <w:tcW w:w="1355" w:type="dxa"/>
            <w:vAlign w:val="center"/>
          </w:tcPr>
          <w:p>
            <w:pPr>
              <w:pStyle w:val="42"/>
            </w:pPr>
            <w:r>
              <w:t>≤</w:t>
            </w: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11</w:t>
            </w:r>
          </w:p>
        </w:tc>
        <w:tc>
          <w:tcPr>
            <w:tcW w:w="2540" w:type="dxa"/>
            <w:vAlign w:val="center"/>
          </w:tcPr>
          <w:p>
            <w:pPr>
              <w:pStyle w:val="42"/>
            </w:pPr>
            <w:r>
              <w:t>铅</w:t>
            </w:r>
          </w:p>
        </w:tc>
        <w:tc>
          <w:tcPr>
            <w:tcW w:w="1757" w:type="dxa"/>
            <w:vAlign w:val="center"/>
          </w:tcPr>
          <w:p>
            <w:pPr>
              <w:pStyle w:val="42"/>
            </w:pPr>
            <w:r>
              <w:t>≤0.01</w:t>
            </w:r>
          </w:p>
        </w:tc>
        <w:tc>
          <w:tcPr>
            <w:tcW w:w="850" w:type="dxa"/>
            <w:vAlign w:val="center"/>
          </w:tcPr>
          <w:p>
            <w:pPr>
              <w:pStyle w:val="42"/>
            </w:pPr>
            <w:r>
              <w:rPr>
                <w:rFonts w:hint="eastAsia"/>
              </w:rPr>
              <w:t>25</w:t>
            </w:r>
          </w:p>
        </w:tc>
        <w:tc>
          <w:tcPr>
            <w:tcW w:w="1276" w:type="dxa"/>
            <w:vAlign w:val="center"/>
          </w:tcPr>
          <w:p>
            <w:pPr>
              <w:pStyle w:val="42"/>
            </w:pPr>
            <w:r>
              <w:rPr>
                <w:rFonts w:hint="eastAsia"/>
              </w:rPr>
              <w:t>耗氧量</w:t>
            </w:r>
          </w:p>
        </w:tc>
        <w:tc>
          <w:tcPr>
            <w:tcW w:w="1355" w:type="dxa"/>
            <w:vAlign w:val="center"/>
          </w:tcPr>
          <w:p>
            <w:pPr>
              <w:pStyle w:val="42"/>
            </w:pPr>
            <w:r>
              <w:t>≤</w:t>
            </w: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12</w:t>
            </w:r>
          </w:p>
        </w:tc>
        <w:tc>
          <w:tcPr>
            <w:tcW w:w="2540" w:type="dxa"/>
            <w:vAlign w:val="center"/>
          </w:tcPr>
          <w:p>
            <w:pPr>
              <w:pStyle w:val="42"/>
            </w:pPr>
            <w:r>
              <w:t>氟化物</w:t>
            </w:r>
          </w:p>
        </w:tc>
        <w:tc>
          <w:tcPr>
            <w:tcW w:w="1757" w:type="dxa"/>
            <w:vAlign w:val="center"/>
          </w:tcPr>
          <w:p>
            <w:pPr>
              <w:pStyle w:val="42"/>
            </w:pPr>
            <w:r>
              <w:t>≤1.0</w:t>
            </w:r>
          </w:p>
        </w:tc>
        <w:tc>
          <w:tcPr>
            <w:tcW w:w="850" w:type="dxa"/>
            <w:vAlign w:val="center"/>
          </w:tcPr>
          <w:p>
            <w:pPr>
              <w:pStyle w:val="42"/>
            </w:pPr>
            <w:r>
              <w:rPr>
                <w:rFonts w:hint="eastAsia"/>
              </w:rPr>
              <w:t>26</w:t>
            </w:r>
          </w:p>
        </w:tc>
        <w:tc>
          <w:tcPr>
            <w:tcW w:w="1276" w:type="dxa"/>
            <w:vAlign w:val="center"/>
          </w:tcPr>
          <w:p>
            <w:pPr>
              <w:pStyle w:val="42"/>
            </w:pPr>
            <w:r>
              <w:rPr>
                <w:rFonts w:hint="eastAsia"/>
              </w:rPr>
              <w:t>总大肠菌群</w:t>
            </w:r>
          </w:p>
        </w:tc>
        <w:tc>
          <w:tcPr>
            <w:tcW w:w="1355" w:type="dxa"/>
            <w:vAlign w:val="center"/>
          </w:tcPr>
          <w:p>
            <w:pPr>
              <w:pStyle w:val="42"/>
            </w:pPr>
            <w:r>
              <w:t>≤</w:t>
            </w: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t>13</w:t>
            </w:r>
          </w:p>
        </w:tc>
        <w:tc>
          <w:tcPr>
            <w:tcW w:w="2540" w:type="dxa"/>
            <w:vAlign w:val="center"/>
          </w:tcPr>
          <w:p>
            <w:pPr>
              <w:pStyle w:val="42"/>
            </w:pPr>
            <w:r>
              <w:t>镉</w:t>
            </w:r>
          </w:p>
        </w:tc>
        <w:tc>
          <w:tcPr>
            <w:tcW w:w="1757" w:type="dxa"/>
            <w:vAlign w:val="center"/>
          </w:tcPr>
          <w:p>
            <w:pPr>
              <w:pStyle w:val="42"/>
            </w:pPr>
            <w:r>
              <w:t>≤0.0</w:t>
            </w:r>
            <w:r>
              <w:rPr>
                <w:rFonts w:hint="eastAsia"/>
              </w:rPr>
              <w:t>0</w:t>
            </w:r>
            <w:r>
              <w:t>5</w:t>
            </w:r>
          </w:p>
        </w:tc>
        <w:tc>
          <w:tcPr>
            <w:tcW w:w="850" w:type="dxa"/>
            <w:vAlign w:val="center"/>
          </w:tcPr>
          <w:p>
            <w:pPr>
              <w:pStyle w:val="42"/>
            </w:pPr>
            <w:r>
              <w:rPr>
                <w:rFonts w:hint="eastAsia"/>
              </w:rPr>
              <w:t>27</w:t>
            </w:r>
          </w:p>
        </w:tc>
        <w:tc>
          <w:tcPr>
            <w:tcW w:w="1276" w:type="dxa"/>
            <w:vAlign w:val="center"/>
          </w:tcPr>
          <w:p>
            <w:pPr>
              <w:pStyle w:val="42"/>
            </w:pPr>
            <w:r>
              <w:rPr>
                <w:rFonts w:hint="eastAsia"/>
              </w:rPr>
              <w:t>细菌总数</w:t>
            </w:r>
          </w:p>
        </w:tc>
        <w:tc>
          <w:tcPr>
            <w:tcW w:w="1355" w:type="dxa"/>
            <w:vAlign w:val="center"/>
          </w:tcPr>
          <w:p>
            <w:pPr>
              <w:pStyle w:val="42"/>
            </w:pPr>
            <w:r>
              <w:t>≤</w:t>
            </w:r>
            <w:r>
              <w:rPr>
                <w:rFonts w:hint="eastAsia"/>
              </w:rPr>
              <w:t>100（CFU/ml）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6" w:type="dxa"/>
            <w:vAlign w:val="center"/>
          </w:tcPr>
          <w:p>
            <w:pPr>
              <w:pStyle w:val="42"/>
            </w:pPr>
            <w:r>
              <w:rPr>
                <w:rFonts w:hint="eastAsia"/>
              </w:rPr>
              <w:t>14</w:t>
            </w:r>
          </w:p>
        </w:tc>
        <w:tc>
          <w:tcPr>
            <w:tcW w:w="2540" w:type="dxa"/>
            <w:vAlign w:val="center"/>
          </w:tcPr>
          <w:p>
            <w:pPr>
              <w:pStyle w:val="42"/>
            </w:pPr>
            <w:r>
              <w:rPr>
                <w:rFonts w:hint="eastAsia"/>
              </w:rPr>
              <w:t>溶解性固体</w:t>
            </w:r>
          </w:p>
        </w:tc>
        <w:tc>
          <w:tcPr>
            <w:tcW w:w="1757" w:type="dxa"/>
            <w:vAlign w:val="center"/>
          </w:tcPr>
          <w:p>
            <w:pPr>
              <w:pStyle w:val="42"/>
            </w:pPr>
            <w:r>
              <w:t>≤</w:t>
            </w:r>
            <w:r>
              <w:rPr>
                <w:rFonts w:hint="eastAsia"/>
              </w:rPr>
              <w:t>1000（MPN</w:t>
            </w:r>
            <w:r>
              <w:rPr>
                <w:rFonts w:hint="eastAsia"/>
                <w:vertAlign w:val="superscript"/>
              </w:rPr>
              <w:t>b</w:t>
            </w:r>
            <w:r>
              <w:rPr>
                <w:rFonts w:hint="eastAsia"/>
              </w:rPr>
              <w:t>/100ml）</w:t>
            </w:r>
          </w:p>
        </w:tc>
        <w:tc>
          <w:tcPr>
            <w:tcW w:w="850" w:type="dxa"/>
            <w:vAlign w:val="center"/>
          </w:tcPr>
          <w:p>
            <w:pPr>
              <w:pStyle w:val="42"/>
            </w:pPr>
          </w:p>
        </w:tc>
        <w:tc>
          <w:tcPr>
            <w:tcW w:w="1276" w:type="dxa"/>
            <w:vAlign w:val="center"/>
          </w:tcPr>
          <w:p>
            <w:pPr>
              <w:pStyle w:val="42"/>
            </w:pPr>
          </w:p>
        </w:tc>
        <w:tc>
          <w:tcPr>
            <w:tcW w:w="1355" w:type="dxa"/>
            <w:vAlign w:val="center"/>
          </w:tcPr>
          <w:p>
            <w:pPr>
              <w:pStyle w:val="42"/>
            </w:pPr>
          </w:p>
        </w:tc>
      </w:tr>
    </w:tbl>
    <w:p>
      <w:pPr>
        <w:ind w:firstLine="480"/>
      </w:pPr>
      <w:r>
        <w:rPr>
          <w:rFonts w:hint="eastAsia"/>
        </w:rPr>
        <w:t>（5）土壤：拟建项目执行《土壤环境质量建设用地土壤污染风险管控标准（试行）》（GB36600-2018）中第二类用地标准，具体如表1.5-4。</w:t>
      </w:r>
    </w:p>
    <w:p>
      <w:pPr>
        <w:pStyle w:val="41"/>
      </w:pPr>
      <w:r>
        <w:rPr>
          <w:rFonts w:hint="eastAsia"/>
        </w:rPr>
        <w:t>表1.5-4   土壤环境质量标准单位：mg/kg</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3"/>
        <w:gridCol w:w="2066"/>
        <w:gridCol w:w="1643"/>
        <w:gridCol w:w="1823"/>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序号</w:t>
            </w:r>
          </w:p>
        </w:tc>
        <w:tc>
          <w:tcPr>
            <w:tcW w:w="2066" w:type="dxa"/>
            <w:vAlign w:val="center"/>
          </w:tcPr>
          <w:p>
            <w:pPr>
              <w:pStyle w:val="42"/>
            </w:pPr>
            <w:r>
              <w:t>污染物项目</w:t>
            </w:r>
          </w:p>
        </w:tc>
        <w:tc>
          <w:tcPr>
            <w:tcW w:w="1643" w:type="dxa"/>
            <w:vAlign w:val="center"/>
          </w:tcPr>
          <w:p>
            <w:pPr>
              <w:pStyle w:val="42"/>
            </w:pPr>
            <w:r>
              <w:t>CAS 编号</w:t>
            </w:r>
          </w:p>
        </w:tc>
        <w:tc>
          <w:tcPr>
            <w:tcW w:w="1823" w:type="dxa"/>
            <w:vAlign w:val="center"/>
          </w:tcPr>
          <w:p>
            <w:pPr>
              <w:pStyle w:val="42"/>
            </w:pPr>
            <w:r>
              <w:t>第二类用地筛选值</w:t>
            </w:r>
          </w:p>
        </w:tc>
        <w:tc>
          <w:tcPr>
            <w:tcW w:w="1951" w:type="dxa"/>
            <w:vAlign w:val="center"/>
          </w:tcPr>
          <w:p>
            <w:pPr>
              <w:pStyle w:val="42"/>
            </w:pPr>
            <w:r>
              <w:t>第二类用地管制值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pPr>
              <w:pStyle w:val="42"/>
            </w:pPr>
            <w:r>
              <w:t>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pPr>
              <w:pStyle w:val="42"/>
            </w:pPr>
            <w: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w:t>
            </w:r>
          </w:p>
        </w:tc>
        <w:tc>
          <w:tcPr>
            <w:tcW w:w="2066" w:type="dxa"/>
            <w:vAlign w:val="center"/>
          </w:tcPr>
          <w:p>
            <w:pPr>
              <w:pStyle w:val="42"/>
            </w:pPr>
            <w:r>
              <w:t>砷</w:t>
            </w:r>
          </w:p>
        </w:tc>
        <w:tc>
          <w:tcPr>
            <w:tcW w:w="1643" w:type="dxa"/>
            <w:vAlign w:val="center"/>
          </w:tcPr>
          <w:p>
            <w:pPr>
              <w:pStyle w:val="42"/>
            </w:pPr>
            <w:r>
              <w:t>7440-38-2</w:t>
            </w:r>
          </w:p>
        </w:tc>
        <w:tc>
          <w:tcPr>
            <w:tcW w:w="1823" w:type="dxa"/>
            <w:vAlign w:val="center"/>
          </w:tcPr>
          <w:p>
            <w:pPr>
              <w:pStyle w:val="42"/>
            </w:pPr>
            <w:r>
              <w:t>60</w:t>
            </w:r>
            <w:r>
              <w:rPr>
                <w:rFonts w:hint="eastAsia"/>
              </w:rPr>
              <w:t>①</w:t>
            </w:r>
          </w:p>
        </w:tc>
        <w:tc>
          <w:tcPr>
            <w:tcW w:w="1951" w:type="dxa"/>
            <w:vAlign w:val="center"/>
          </w:tcPr>
          <w:p>
            <w:pPr>
              <w:pStyle w:val="42"/>
            </w:pPr>
            <w: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w:t>
            </w:r>
          </w:p>
        </w:tc>
        <w:tc>
          <w:tcPr>
            <w:tcW w:w="2066" w:type="dxa"/>
            <w:vAlign w:val="center"/>
          </w:tcPr>
          <w:p>
            <w:pPr>
              <w:pStyle w:val="42"/>
            </w:pPr>
            <w:r>
              <w:t>镉</w:t>
            </w:r>
          </w:p>
        </w:tc>
        <w:tc>
          <w:tcPr>
            <w:tcW w:w="1643" w:type="dxa"/>
            <w:vAlign w:val="center"/>
          </w:tcPr>
          <w:p>
            <w:pPr>
              <w:pStyle w:val="42"/>
            </w:pPr>
            <w:r>
              <w:t>7440-43-9</w:t>
            </w:r>
          </w:p>
        </w:tc>
        <w:tc>
          <w:tcPr>
            <w:tcW w:w="1823" w:type="dxa"/>
            <w:vAlign w:val="center"/>
          </w:tcPr>
          <w:p>
            <w:pPr>
              <w:pStyle w:val="42"/>
            </w:pPr>
            <w:r>
              <w:t>65</w:t>
            </w:r>
          </w:p>
        </w:tc>
        <w:tc>
          <w:tcPr>
            <w:tcW w:w="1951" w:type="dxa"/>
            <w:vAlign w:val="center"/>
          </w:tcPr>
          <w:p>
            <w:pPr>
              <w:pStyle w:val="42"/>
            </w:pPr>
            <w: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w:t>
            </w:r>
          </w:p>
        </w:tc>
        <w:tc>
          <w:tcPr>
            <w:tcW w:w="2066" w:type="dxa"/>
            <w:vAlign w:val="center"/>
          </w:tcPr>
          <w:p>
            <w:pPr>
              <w:pStyle w:val="42"/>
            </w:pPr>
            <w:r>
              <w:t>铬（六价）</w:t>
            </w:r>
          </w:p>
        </w:tc>
        <w:tc>
          <w:tcPr>
            <w:tcW w:w="1643" w:type="dxa"/>
            <w:vAlign w:val="center"/>
          </w:tcPr>
          <w:p>
            <w:pPr>
              <w:pStyle w:val="42"/>
            </w:pPr>
            <w:r>
              <w:t>18540-29-9</w:t>
            </w:r>
          </w:p>
        </w:tc>
        <w:tc>
          <w:tcPr>
            <w:tcW w:w="1823" w:type="dxa"/>
            <w:vAlign w:val="center"/>
          </w:tcPr>
          <w:p>
            <w:pPr>
              <w:pStyle w:val="42"/>
            </w:pPr>
            <w:r>
              <w:t>5.7</w:t>
            </w:r>
          </w:p>
        </w:tc>
        <w:tc>
          <w:tcPr>
            <w:tcW w:w="1951" w:type="dxa"/>
            <w:vAlign w:val="center"/>
          </w:tcPr>
          <w:p>
            <w:pPr>
              <w:pStyle w:val="42"/>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w:t>
            </w:r>
          </w:p>
        </w:tc>
        <w:tc>
          <w:tcPr>
            <w:tcW w:w="2066" w:type="dxa"/>
            <w:vAlign w:val="center"/>
          </w:tcPr>
          <w:p>
            <w:pPr>
              <w:pStyle w:val="42"/>
            </w:pPr>
            <w:r>
              <w:t>铜</w:t>
            </w:r>
          </w:p>
        </w:tc>
        <w:tc>
          <w:tcPr>
            <w:tcW w:w="1643" w:type="dxa"/>
            <w:vAlign w:val="center"/>
          </w:tcPr>
          <w:p>
            <w:pPr>
              <w:pStyle w:val="42"/>
            </w:pPr>
            <w:r>
              <w:t>7440-50-8</w:t>
            </w:r>
          </w:p>
        </w:tc>
        <w:tc>
          <w:tcPr>
            <w:tcW w:w="1823" w:type="dxa"/>
            <w:vAlign w:val="center"/>
          </w:tcPr>
          <w:p>
            <w:pPr>
              <w:pStyle w:val="42"/>
            </w:pPr>
            <w:r>
              <w:t>18000</w:t>
            </w:r>
          </w:p>
        </w:tc>
        <w:tc>
          <w:tcPr>
            <w:tcW w:w="1951" w:type="dxa"/>
            <w:vAlign w:val="center"/>
          </w:tcPr>
          <w:p>
            <w:pPr>
              <w:pStyle w:val="42"/>
            </w:pPr>
            <w: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5</w:t>
            </w:r>
          </w:p>
        </w:tc>
        <w:tc>
          <w:tcPr>
            <w:tcW w:w="2066" w:type="dxa"/>
            <w:vAlign w:val="center"/>
          </w:tcPr>
          <w:p>
            <w:pPr>
              <w:pStyle w:val="42"/>
            </w:pPr>
            <w:r>
              <w:t>铅</w:t>
            </w:r>
          </w:p>
        </w:tc>
        <w:tc>
          <w:tcPr>
            <w:tcW w:w="1643" w:type="dxa"/>
            <w:vAlign w:val="center"/>
          </w:tcPr>
          <w:p>
            <w:pPr>
              <w:pStyle w:val="42"/>
            </w:pPr>
            <w:r>
              <w:t>7439-92-1</w:t>
            </w:r>
          </w:p>
        </w:tc>
        <w:tc>
          <w:tcPr>
            <w:tcW w:w="1823" w:type="dxa"/>
            <w:vAlign w:val="center"/>
          </w:tcPr>
          <w:p>
            <w:pPr>
              <w:pStyle w:val="42"/>
            </w:pPr>
            <w:r>
              <w:t>800</w:t>
            </w:r>
          </w:p>
        </w:tc>
        <w:tc>
          <w:tcPr>
            <w:tcW w:w="1951" w:type="dxa"/>
            <w:vAlign w:val="center"/>
          </w:tcPr>
          <w:p>
            <w:pPr>
              <w:pStyle w:val="42"/>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6</w:t>
            </w:r>
          </w:p>
        </w:tc>
        <w:tc>
          <w:tcPr>
            <w:tcW w:w="2066" w:type="dxa"/>
            <w:vAlign w:val="center"/>
          </w:tcPr>
          <w:p>
            <w:pPr>
              <w:pStyle w:val="42"/>
            </w:pPr>
            <w:r>
              <w:t>汞</w:t>
            </w:r>
          </w:p>
        </w:tc>
        <w:tc>
          <w:tcPr>
            <w:tcW w:w="1643" w:type="dxa"/>
            <w:vAlign w:val="center"/>
          </w:tcPr>
          <w:p>
            <w:pPr>
              <w:pStyle w:val="42"/>
            </w:pPr>
            <w:r>
              <w:t>7439-97-6</w:t>
            </w:r>
          </w:p>
        </w:tc>
        <w:tc>
          <w:tcPr>
            <w:tcW w:w="1823" w:type="dxa"/>
            <w:vAlign w:val="center"/>
          </w:tcPr>
          <w:p>
            <w:pPr>
              <w:pStyle w:val="42"/>
            </w:pPr>
            <w:r>
              <w:t>38</w:t>
            </w:r>
          </w:p>
        </w:tc>
        <w:tc>
          <w:tcPr>
            <w:tcW w:w="1951" w:type="dxa"/>
            <w:vAlign w:val="center"/>
          </w:tcPr>
          <w:p>
            <w:pPr>
              <w:pStyle w:val="42"/>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7</w:t>
            </w:r>
          </w:p>
        </w:tc>
        <w:tc>
          <w:tcPr>
            <w:tcW w:w="2066" w:type="dxa"/>
            <w:vAlign w:val="center"/>
          </w:tcPr>
          <w:p>
            <w:pPr>
              <w:pStyle w:val="42"/>
            </w:pPr>
            <w:r>
              <w:t>镍</w:t>
            </w:r>
          </w:p>
        </w:tc>
        <w:tc>
          <w:tcPr>
            <w:tcW w:w="1643" w:type="dxa"/>
            <w:vAlign w:val="center"/>
          </w:tcPr>
          <w:p>
            <w:pPr>
              <w:pStyle w:val="42"/>
            </w:pPr>
            <w:r>
              <w:t>7440-02-0</w:t>
            </w:r>
          </w:p>
        </w:tc>
        <w:tc>
          <w:tcPr>
            <w:tcW w:w="1823" w:type="dxa"/>
            <w:vAlign w:val="center"/>
          </w:tcPr>
          <w:p>
            <w:pPr>
              <w:pStyle w:val="42"/>
            </w:pPr>
            <w:r>
              <w:t>900</w:t>
            </w:r>
          </w:p>
        </w:tc>
        <w:tc>
          <w:tcPr>
            <w:tcW w:w="1951" w:type="dxa"/>
            <w:vAlign w:val="center"/>
          </w:tcPr>
          <w:p>
            <w:pPr>
              <w:pStyle w:val="42"/>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pPr>
              <w:pStyle w:val="42"/>
            </w:pPr>
            <w: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8</w:t>
            </w:r>
          </w:p>
        </w:tc>
        <w:tc>
          <w:tcPr>
            <w:tcW w:w="2066" w:type="dxa"/>
            <w:vAlign w:val="center"/>
          </w:tcPr>
          <w:p>
            <w:pPr>
              <w:pStyle w:val="42"/>
            </w:pPr>
            <w:r>
              <w:t>四氯化碳</w:t>
            </w:r>
          </w:p>
        </w:tc>
        <w:tc>
          <w:tcPr>
            <w:tcW w:w="1643" w:type="dxa"/>
            <w:vAlign w:val="center"/>
          </w:tcPr>
          <w:p>
            <w:pPr>
              <w:pStyle w:val="42"/>
            </w:pPr>
            <w:r>
              <w:t>56-23-5</w:t>
            </w:r>
          </w:p>
        </w:tc>
        <w:tc>
          <w:tcPr>
            <w:tcW w:w="1823" w:type="dxa"/>
            <w:vAlign w:val="center"/>
          </w:tcPr>
          <w:p>
            <w:pPr>
              <w:pStyle w:val="42"/>
            </w:pPr>
            <w:r>
              <w:t>2.8</w:t>
            </w:r>
          </w:p>
        </w:tc>
        <w:tc>
          <w:tcPr>
            <w:tcW w:w="1951" w:type="dxa"/>
            <w:vAlign w:val="center"/>
          </w:tcPr>
          <w:p>
            <w:pPr>
              <w:pStyle w:val="42"/>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9</w:t>
            </w:r>
          </w:p>
        </w:tc>
        <w:tc>
          <w:tcPr>
            <w:tcW w:w="2066" w:type="dxa"/>
            <w:vAlign w:val="center"/>
          </w:tcPr>
          <w:p>
            <w:pPr>
              <w:pStyle w:val="42"/>
            </w:pPr>
            <w:r>
              <w:t>氯仿</w:t>
            </w:r>
          </w:p>
        </w:tc>
        <w:tc>
          <w:tcPr>
            <w:tcW w:w="1643" w:type="dxa"/>
            <w:vAlign w:val="center"/>
          </w:tcPr>
          <w:p>
            <w:pPr>
              <w:pStyle w:val="42"/>
            </w:pPr>
            <w:r>
              <w:t>67-66-3</w:t>
            </w:r>
          </w:p>
        </w:tc>
        <w:tc>
          <w:tcPr>
            <w:tcW w:w="1823" w:type="dxa"/>
            <w:vAlign w:val="center"/>
          </w:tcPr>
          <w:p>
            <w:pPr>
              <w:pStyle w:val="42"/>
            </w:pPr>
            <w:r>
              <w:t>0.9</w:t>
            </w:r>
          </w:p>
        </w:tc>
        <w:tc>
          <w:tcPr>
            <w:tcW w:w="1951" w:type="dxa"/>
            <w:vAlign w:val="center"/>
          </w:tcPr>
          <w:p>
            <w:pPr>
              <w:pStyle w:val="42"/>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10</w:t>
            </w:r>
          </w:p>
        </w:tc>
        <w:tc>
          <w:tcPr>
            <w:tcW w:w="2066" w:type="dxa"/>
            <w:vAlign w:val="center"/>
          </w:tcPr>
          <w:p>
            <w:pPr>
              <w:pStyle w:val="42"/>
            </w:pPr>
            <w:r>
              <w:t>氯甲烷</w:t>
            </w:r>
          </w:p>
        </w:tc>
        <w:tc>
          <w:tcPr>
            <w:tcW w:w="1643" w:type="dxa"/>
            <w:vAlign w:val="center"/>
          </w:tcPr>
          <w:p>
            <w:pPr>
              <w:pStyle w:val="42"/>
            </w:pPr>
            <w:r>
              <w:t>74-87-3</w:t>
            </w:r>
          </w:p>
        </w:tc>
        <w:tc>
          <w:tcPr>
            <w:tcW w:w="1823" w:type="dxa"/>
            <w:vAlign w:val="center"/>
          </w:tcPr>
          <w:p>
            <w:pPr>
              <w:pStyle w:val="42"/>
            </w:pPr>
            <w:r>
              <w:t>37</w:t>
            </w:r>
          </w:p>
        </w:tc>
        <w:tc>
          <w:tcPr>
            <w:tcW w:w="1951" w:type="dxa"/>
            <w:vAlign w:val="center"/>
          </w:tcPr>
          <w:p>
            <w:pPr>
              <w:pStyle w:val="42"/>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11</w:t>
            </w:r>
          </w:p>
        </w:tc>
        <w:tc>
          <w:tcPr>
            <w:tcW w:w="2066" w:type="dxa"/>
            <w:vAlign w:val="center"/>
          </w:tcPr>
          <w:p>
            <w:pPr>
              <w:pStyle w:val="42"/>
            </w:pPr>
            <w:r>
              <w:t>1,1-二氯乙烷</w:t>
            </w:r>
          </w:p>
        </w:tc>
        <w:tc>
          <w:tcPr>
            <w:tcW w:w="1643" w:type="dxa"/>
            <w:vAlign w:val="center"/>
          </w:tcPr>
          <w:p>
            <w:pPr>
              <w:pStyle w:val="42"/>
            </w:pPr>
            <w:r>
              <w:t>75-34-3</w:t>
            </w:r>
          </w:p>
        </w:tc>
        <w:tc>
          <w:tcPr>
            <w:tcW w:w="1823" w:type="dxa"/>
            <w:vAlign w:val="center"/>
          </w:tcPr>
          <w:p>
            <w:pPr>
              <w:pStyle w:val="42"/>
            </w:pPr>
            <w:r>
              <w:t>9</w:t>
            </w:r>
          </w:p>
        </w:tc>
        <w:tc>
          <w:tcPr>
            <w:tcW w:w="1951"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12</w:t>
            </w:r>
          </w:p>
        </w:tc>
        <w:tc>
          <w:tcPr>
            <w:tcW w:w="2066" w:type="dxa"/>
            <w:vAlign w:val="center"/>
          </w:tcPr>
          <w:p>
            <w:pPr>
              <w:pStyle w:val="42"/>
            </w:pPr>
            <w:r>
              <w:t>1,2-二氯乙烷</w:t>
            </w:r>
          </w:p>
        </w:tc>
        <w:tc>
          <w:tcPr>
            <w:tcW w:w="1643" w:type="dxa"/>
            <w:vAlign w:val="center"/>
          </w:tcPr>
          <w:p>
            <w:pPr>
              <w:pStyle w:val="42"/>
            </w:pPr>
            <w:r>
              <w:t>107-06-2</w:t>
            </w:r>
          </w:p>
        </w:tc>
        <w:tc>
          <w:tcPr>
            <w:tcW w:w="1823" w:type="dxa"/>
            <w:vAlign w:val="center"/>
          </w:tcPr>
          <w:p>
            <w:pPr>
              <w:pStyle w:val="42"/>
            </w:pPr>
            <w:r>
              <w:t>5</w:t>
            </w:r>
          </w:p>
        </w:tc>
        <w:tc>
          <w:tcPr>
            <w:tcW w:w="1951" w:type="dxa"/>
            <w:vAlign w:val="center"/>
          </w:tcPr>
          <w:p>
            <w:pPr>
              <w:pStyle w:val="42"/>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13</w:t>
            </w:r>
          </w:p>
        </w:tc>
        <w:tc>
          <w:tcPr>
            <w:tcW w:w="2066" w:type="dxa"/>
            <w:vAlign w:val="center"/>
          </w:tcPr>
          <w:p>
            <w:pPr>
              <w:pStyle w:val="42"/>
            </w:pPr>
            <w:r>
              <w:t>1,1-二氯乙烯</w:t>
            </w:r>
          </w:p>
        </w:tc>
        <w:tc>
          <w:tcPr>
            <w:tcW w:w="1643" w:type="dxa"/>
            <w:vAlign w:val="center"/>
          </w:tcPr>
          <w:p>
            <w:pPr>
              <w:pStyle w:val="42"/>
            </w:pPr>
            <w:r>
              <w:t>75-35-4</w:t>
            </w:r>
          </w:p>
        </w:tc>
        <w:tc>
          <w:tcPr>
            <w:tcW w:w="1823" w:type="dxa"/>
            <w:vAlign w:val="center"/>
          </w:tcPr>
          <w:p>
            <w:pPr>
              <w:pStyle w:val="42"/>
            </w:pPr>
            <w:r>
              <w:t>66</w:t>
            </w:r>
          </w:p>
        </w:tc>
        <w:tc>
          <w:tcPr>
            <w:tcW w:w="1951" w:type="dxa"/>
            <w:vAlign w:val="center"/>
          </w:tcPr>
          <w:p>
            <w:pPr>
              <w:pStyle w:val="42"/>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14</w:t>
            </w:r>
          </w:p>
        </w:tc>
        <w:tc>
          <w:tcPr>
            <w:tcW w:w="2066" w:type="dxa"/>
            <w:vAlign w:val="center"/>
          </w:tcPr>
          <w:p>
            <w:pPr>
              <w:pStyle w:val="42"/>
            </w:pPr>
            <w:r>
              <w:t>顺-1,2-二氯乙烯</w:t>
            </w:r>
          </w:p>
        </w:tc>
        <w:tc>
          <w:tcPr>
            <w:tcW w:w="1643" w:type="dxa"/>
            <w:vAlign w:val="center"/>
          </w:tcPr>
          <w:p>
            <w:pPr>
              <w:pStyle w:val="42"/>
            </w:pPr>
            <w:r>
              <w:t>156-59-2</w:t>
            </w:r>
          </w:p>
        </w:tc>
        <w:tc>
          <w:tcPr>
            <w:tcW w:w="1823" w:type="dxa"/>
            <w:vAlign w:val="center"/>
          </w:tcPr>
          <w:p>
            <w:pPr>
              <w:pStyle w:val="42"/>
            </w:pPr>
            <w:r>
              <w:t>596</w:t>
            </w:r>
          </w:p>
        </w:tc>
        <w:tc>
          <w:tcPr>
            <w:tcW w:w="1951" w:type="dxa"/>
            <w:vAlign w:val="center"/>
          </w:tcPr>
          <w:p>
            <w:pPr>
              <w:pStyle w:val="42"/>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15</w:t>
            </w:r>
          </w:p>
        </w:tc>
        <w:tc>
          <w:tcPr>
            <w:tcW w:w="2066" w:type="dxa"/>
            <w:vAlign w:val="center"/>
          </w:tcPr>
          <w:p>
            <w:pPr>
              <w:pStyle w:val="42"/>
            </w:pPr>
            <w:r>
              <w:t>反-1,2-二氯乙烯</w:t>
            </w:r>
          </w:p>
        </w:tc>
        <w:tc>
          <w:tcPr>
            <w:tcW w:w="1643" w:type="dxa"/>
            <w:vAlign w:val="center"/>
          </w:tcPr>
          <w:p>
            <w:pPr>
              <w:pStyle w:val="42"/>
            </w:pPr>
            <w:r>
              <w:t>156-60-5</w:t>
            </w:r>
          </w:p>
        </w:tc>
        <w:tc>
          <w:tcPr>
            <w:tcW w:w="1823" w:type="dxa"/>
            <w:vAlign w:val="center"/>
          </w:tcPr>
          <w:p>
            <w:pPr>
              <w:pStyle w:val="42"/>
            </w:pPr>
            <w:r>
              <w:t>54</w:t>
            </w:r>
          </w:p>
        </w:tc>
        <w:tc>
          <w:tcPr>
            <w:tcW w:w="1951" w:type="dxa"/>
            <w:vAlign w:val="center"/>
          </w:tcPr>
          <w:p>
            <w:pPr>
              <w:pStyle w:val="42"/>
            </w:pPr>
            <w: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16</w:t>
            </w:r>
          </w:p>
        </w:tc>
        <w:tc>
          <w:tcPr>
            <w:tcW w:w="2066" w:type="dxa"/>
            <w:vAlign w:val="center"/>
          </w:tcPr>
          <w:p>
            <w:pPr>
              <w:pStyle w:val="42"/>
            </w:pPr>
            <w:r>
              <w:t>二氯甲烷</w:t>
            </w:r>
          </w:p>
        </w:tc>
        <w:tc>
          <w:tcPr>
            <w:tcW w:w="1643" w:type="dxa"/>
            <w:vAlign w:val="center"/>
          </w:tcPr>
          <w:p>
            <w:pPr>
              <w:pStyle w:val="42"/>
            </w:pPr>
            <w:r>
              <w:t>75-09-2</w:t>
            </w:r>
          </w:p>
        </w:tc>
        <w:tc>
          <w:tcPr>
            <w:tcW w:w="1823" w:type="dxa"/>
            <w:vAlign w:val="center"/>
          </w:tcPr>
          <w:p>
            <w:pPr>
              <w:pStyle w:val="42"/>
            </w:pPr>
            <w:r>
              <w:t>616</w:t>
            </w:r>
          </w:p>
        </w:tc>
        <w:tc>
          <w:tcPr>
            <w:tcW w:w="1951" w:type="dxa"/>
            <w:vAlign w:val="center"/>
          </w:tcPr>
          <w:p>
            <w:pPr>
              <w:pStyle w:val="42"/>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17</w:t>
            </w:r>
          </w:p>
        </w:tc>
        <w:tc>
          <w:tcPr>
            <w:tcW w:w="2066" w:type="dxa"/>
            <w:vAlign w:val="center"/>
          </w:tcPr>
          <w:p>
            <w:pPr>
              <w:pStyle w:val="42"/>
            </w:pPr>
            <w:r>
              <w:t>1,2-二氯丙烷</w:t>
            </w:r>
          </w:p>
        </w:tc>
        <w:tc>
          <w:tcPr>
            <w:tcW w:w="1643" w:type="dxa"/>
            <w:vAlign w:val="center"/>
          </w:tcPr>
          <w:p>
            <w:pPr>
              <w:pStyle w:val="42"/>
            </w:pPr>
            <w:r>
              <w:t>78-87-5</w:t>
            </w:r>
          </w:p>
        </w:tc>
        <w:tc>
          <w:tcPr>
            <w:tcW w:w="1823" w:type="dxa"/>
            <w:vAlign w:val="center"/>
          </w:tcPr>
          <w:p>
            <w:pPr>
              <w:pStyle w:val="42"/>
            </w:pPr>
            <w:r>
              <w:t>5</w:t>
            </w:r>
          </w:p>
        </w:tc>
        <w:tc>
          <w:tcPr>
            <w:tcW w:w="1951" w:type="dxa"/>
            <w:vAlign w:val="center"/>
          </w:tcPr>
          <w:p>
            <w:pPr>
              <w:pStyle w:val="42"/>
            </w:pPr>
            <w: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18</w:t>
            </w:r>
          </w:p>
        </w:tc>
        <w:tc>
          <w:tcPr>
            <w:tcW w:w="2066" w:type="dxa"/>
            <w:vAlign w:val="center"/>
          </w:tcPr>
          <w:p>
            <w:pPr>
              <w:pStyle w:val="42"/>
            </w:pPr>
            <w:r>
              <w:t>1,1,1,2-四氯乙烷</w:t>
            </w:r>
          </w:p>
        </w:tc>
        <w:tc>
          <w:tcPr>
            <w:tcW w:w="1643" w:type="dxa"/>
            <w:vAlign w:val="center"/>
          </w:tcPr>
          <w:p>
            <w:pPr>
              <w:pStyle w:val="42"/>
            </w:pPr>
            <w:r>
              <w:t>630-20-6</w:t>
            </w:r>
          </w:p>
        </w:tc>
        <w:tc>
          <w:tcPr>
            <w:tcW w:w="1823" w:type="dxa"/>
            <w:vAlign w:val="center"/>
          </w:tcPr>
          <w:p>
            <w:pPr>
              <w:pStyle w:val="42"/>
            </w:pPr>
            <w:r>
              <w:t>10</w:t>
            </w:r>
          </w:p>
        </w:tc>
        <w:tc>
          <w:tcPr>
            <w:tcW w:w="1951"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19</w:t>
            </w:r>
          </w:p>
        </w:tc>
        <w:tc>
          <w:tcPr>
            <w:tcW w:w="2066" w:type="dxa"/>
            <w:vAlign w:val="center"/>
          </w:tcPr>
          <w:p>
            <w:pPr>
              <w:pStyle w:val="42"/>
            </w:pPr>
            <w:r>
              <w:t>1,1,2,2-四氯乙烷</w:t>
            </w:r>
          </w:p>
        </w:tc>
        <w:tc>
          <w:tcPr>
            <w:tcW w:w="1643" w:type="dxa"/>
            <w:vAlign w:val="center"/>
          </w:tcPr>
          <w:p>
            <w:pPr>
              <w:pStyle w:val="42"/>
            </w:pPr>
            <w:r>
              <w:t>79-34-5</w:t>
            </w:r>
          </w:p>
        </w:tc>
        <w:tc>
          <w:tcPr>
            <w:tcW w:w="1823" w:type="dxa"/>
            <w:vAlign w:val="center"/>
          </w:tcPr>
          <w:p>
            <w:pPr>
              <w:pStyle w:val="42"/>
            </w:pPr>
            <w:r>
              <w:t>6.8</w:t>
            </w:r>
          </w:p>
        </w:tc>
        <w:tc>
          <w:tcPr>
            <w:tcW w:w="1951" w:type="dxa"/>
            <w:vAlign w:val="center"/>
          </w:tcPr>
          <w:p>
            <w:pPr>
              <w:pStyle w:val="42"/>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20</w:t>
            </w:r>
          </w:p>
        </w:tc>
        <w:tc>
          <w:tcPr>
            <w:tcW w:w="2066" w:type="dxa"/>
            <w:vAlign w:val="center"/>
          </w:tcPr>
          <w:p>
            <w:pPr>
              <w:pStyle w:val="42"/>
            </w:pPr>
            <w:r>
              <w:t>四氯乙烯</w:t>
            </w:r>
          </w:p>
        </w:tc>
        <w:tc>
          <w:tcPr>
            <w:tcW w:w="1643" w:type="dxa"/>
            <w:vAlign w:val="center"/>
          </w:tcPr>
          <w:p>
            <w:pPr>
              <w:pStyle w:val="42"/>
            </w:pPr>
            <w:r>
              <w:t>127-18-4</w:t>
            </w:r>
          </w:p>
        </w:tc>
        <w:tc>
          <w:tcPr>
            <w:tcW w:w="1823" w:type="dxa"/>
            <w:vAlign w:val="center"/>
          </w:tcPr>
          <w:p>
            <w:pPr>
              <w:pStyle w:val="42"/>
            </w:pPr>
            <w:r>
              <w:t>53</w:t>
            </w:r>
          </w:p>
        </w:tc>
        <w:tc>
          <w:tcPr>
            <w:tcW w:w="1951" w:type="dxa"/>
            <w:vAlign w:val="center"/>
          </w:tcPr>
          <w:p>
            <w:pPr>
              <w:pStyle w:val="42"/>
            </w:pPr>
            <w: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21</w:t>
            </w:r>
          </w:p>
        </w:tc>
        <w:tc>
          <w:tcPr>
            <w:tcW w:w="2066" w:type="dxa"/>
            <w:vAlign w:val="center"/>
          </w:tcPr>
          <w:p>
            <w:pPr>
              <w:pStyle w:val="42"/>
            </w:pPr>
            <w:r>
              <w:t>1,1,1-三氯乙烷</w:t>
            </w:r>
          </w:p>
        </w:tc>
        <w:tc>
          <w:tcPr>
            <w:tcW w:w="1643" w:type="dxa"/>
            <w:vAlign w:val="center"/>
          </w:tcPr>
          <w:p>
            <w:pPr>
              <w:pStyle w:val="42"/>
            </w:pPr>
            <w:r>
              <w:t>71-55-6</w:t>
            </w:r>
          </w:p>
        </w:tc>
        <w:tc>
          <w:tcPr>
            <w:tcW w:w="1823" w:type="dxa"/>
            <w:vAlign w:val="center"/>
          </w:tcPr>
          <w:p>
            <w:pPr>
              <w:pStyle w:val="42"/>
            </w:pPr>
            <w:r>
              <w:t>840</w:t>
            </w:r>
          </w:p>
        </w:tc>
        <w:tc>
          <w:tcPr>
            <w:tcW w:w="1951" w:type="dxa"/>
            <w:vAlign w:val="center"/>
          </w:tcPr>
          <w:p>
            <w:pPr>
              <w:pStyle w:val="42"/>
            </w:pPr>
            <w: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22</w:t>
            </w:r>
          </w:p>
        </w:tc>
        <w:tc>
          <w:tcPr>
            <w:tcW w:w="2066" w:type="dxa"/>
            <w:vAlign w:val="center"/>
          </w:tcPr>
          <w:p>
            <w:pPr>
              <w:pStyle w:val="42"/>
            </w:pPr>
            <w:r>
              <w:t>1,1,2-三氯乙烷</w:t>
            </w:r>
          </w:p>
        </w:tc>
        <w:tc>
          <w:tcPr>
            <w:tcW w:w="1643" w:type="dxa"/>
            <w:vAlign w:val="center"/>
          </w:tcPr>
          <w:p>
            <w:pPr>
              <w:pStyle w:val="42"/>
            </w:pPr>
            <w:r>
              <w:t>79-00-5</w:t>
            </w:r>
          </w:p>
        </w:tc>
        <w:tc>
          <w:tcPr>
            <w:tcW w:w="1823" w:type="dxa"/>
            <w:vAlign w:val="center"/>
          </w:tcPr>
          <w:p>
            <w:pPr>
              <w:pStyle w:val="42"/>
            </w:pPr>
            <w:r>
              <w:t>2.8</w:t>
            </w:r>
          </w:p>
        </w:tc>
        <w:tc>
          <w:tcPr>
            <w:tcW w:w="1951" w:type="dxa"/>
            <w:vAlign w:val="center"/>
          </w:tcPr>
          <w:p>
            <w:pPr>
              <w:pStyle w:val="42"/>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23</w:t>
            </w:r>
          </w:p>
        </w:tc>
        <w:tc>
          <w:tcPr>
            <w:tcW w:w="2066" w:type="dxa"/>
            <w:vAlign w:val="center"/>
          </w:tcPr>
          <w:p>
            <w:pPr>
              <w:pStyle w:val="42"/>
            </w:pPr>
            <w:r>
              <w:t>三氯乙烯</w:t>
            </w:r>
          </w:p>
        </w:tc>
        <w:tc>
          <w:tcPr>
            <w:tcW w:w="1643" w:type="dxa"/>
            <w:vAlign w:val="center"/>
          </w:tcPr>
          <w:p>
            <w:pPr>
              <w:pStyle w:val="42"/>
            </w:pPr>
            <w:r>
              <w:t>79-01-6</w:t>
            </w:r>
          </w:p>
        </w:tc>
        <w:tc>
          <w:tcPr>
            <w:tcW w:w="1823" w:type="dxa"/>
            <w:vAlign w:val="center"/>
          </w:tcPr>
          <w:p>
            <w:pPr>
              <w:pStyle w:val="42"/>
            </w:pPr>
            <w:r>
              <w:t>2.8</w:t>
            </w:r>
          </w:p>
        </w:tc>
        <w:tc>
          <w:tcPr>
            <w:tcW w:w="1951" w:type="dxa"/>
            <w:vAlign w:val="center"/>
          </w:tcPr>
          <w:p>
            <w:pPr>
              <w:pStyle w:val="42"/>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24</w:t>
            </w:r>
          </w:p>
        </w:tc>
        <w:tc>
          <w:tcPr>
            <w:tcW w:w="2066" w:type="dxa"/>
            <w:vAlign w:val="center"/>
          </w:tcPr>
          <w:p>
            <w:pPr>
              <w:pStyle w:val="42"/>
            </w:pPr>
            <w:r>
              <w:t>1,2,3-三氯丙烷</w:t>
            </w:r>
          </w:p>
        </w:tc>
        <w:tc>
          <w:tcPr>
            <w:tcW w:w="1643" w:type="dxa"/>
            <w:vAlign w:val="center"/>
          </w:tcPr>
          <w:p>
            <w:pPr>
              <w:pStyle w:val="42"/>
            </w:pPr>
            <w:r>
              <w:t>96-18-4</w:t>
            </w:r>
          </w:p>
        </w:tc>
        <w:tc>
          <w:tcPr>
            <w:tcW w:w="1823" w:type="dxa"/>
            <w:vAlign w:val="center"/>
          </w:tcPr>
          <w:p>
            <w:pPr>
              <w:pStyle w:val="42"/>
            </w:pPr>
            <w:r>
              <w:t>0.5</w:t>
            </w:r>
          </w:p>
        </w:tc>
        <w:tc>
          <w:tcPr>
            <w:tcW w:w="1951" w:type="dxa"/>
            <w:vAlign w:val="center"/>
          </w:tcPr>
          <w:p>
            <w:pPr>
              <w:pStyle w:val="42"/>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25</w:t>
            </w:r>
          </w:p>
        </w:tc>
        <w:tc>
          <w:tcPr>
            <w:tcW w:w="2066" w:type="dxa"/>
            <w:vAlign w:val="center"/>
          </w:tcPr>
          <w:p>
            <w:pPr>
              <w:pStyle w:val="42"/>
            </w:pPr>
            <w:r>
              <w:t>氯乙烯</w:t>
            </w:r>
          </w:p>
        </w:tc>
        <w:tc>
          <w:tcPr>
            <w:tcW w:w="1643" w:type="dxa"/>
            <w:vAlign w:val="center"/>
          </w:tcPr>
          <w:p>
            <w:pPr>
              <w:pStyle w:val="42"/>
            </w:pPr>
            <w:r>
              <w:t>75-01-4</w:t>
            </w:r>
          </w:p>
        </w:tc>
        <w:tc>
          <w:tcPr>
            <w:tcW w:w="1823" w:type="dxa"/>
            <w:vAlign w:val="center"/>
          </w:tcPr>
          <w:p>
            <w:pPr>
              <w:pStyle w:val="42"/>
            </w:pPr>
            <w:r>
              <w:t>0.43</w:t>
            </w:r>
          </w:p>
        </w:tc>
        <w:tc>
          <w:tcPr>
            <w:tcW w:w="1951" w:type="dxa"/>
            <w:vAlign w:val="center"/>
          </w:tcPr>
          <w:p>
            <w:pPr>
              <w:pStyle w:val="42"/>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26</w:t>
            </w:r>
          </w:p>
        </w:tc>
        <w:tc>
          <w:tcPr>
            <w:tcW w:w="2066" w:type="dxa"/>
            <w:vAlign w:val="center"/>
          </w:tcPr>
          <w:p>
            <w:pPr>
              <w:pStyle w:val="42"/>
            </w:pPr>
            <w:r>
              <w:t>苯</w:t>
            </w:r>
          </w:p>
        </w:tc>
        <w:tc>
          <w:tcPr>
            <w:tcW w:w="1643" w:type="dxa"/>
            <w:vAlign w:val="center"/>
          </w:tcPr>
          <w:p>
            <w:pPr>
              <w:pStyle w:val="42"/>
            </w:pPr>
            <w:r>
              <w:t>71-43-2</w:t>
            </w:r>
          </w:p>
        </w:tc>
        <w:tc>
          <w:tcPr>
            <w:tcW w:w="1823" w:type="dxa"/>
            <w:vAlign w:val="center"/>
          </w:tcPr>
          <w:p>
            <w:pPr>
              <w:pStyle w:val="42"/>
            </w:pPr>
            <w:r>
              <w:t>4</w:t>
            </w:r>
          </w:p>
        </w:tc>
        <w:tc>
          <w:tcPr>
            <w:tcW w:w="1951" w:type="dxa"/>
            <w:vAlign w:val="center"/>
          </w:tcPr>
          <w:p>
            <w:pPr>
              <w:pStyle w:val="42"/>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27</w:t>
            </w:r>
          </w:p>
        </w:tc>
        <w:tc>
          <w:tcPr>
            <w:tcW w:w="2066" w:type="dxa"/>
            <w:vAlign w:val="center"/>
          </w:tcPr>
          <w:p>
            <w:pPr>
              <w:pStyle w:val="42"/>
            </w:pPr>
            <w:r>
              <w:t>氯苯</w:t>
            </w:r>
          </w:p>
        </w:tc>
        <w:tc>
          <w:tcPr>
            <w:tcW w:w="1643" w:type="dxa"/>
            <w:vAlign w:val="center"/>
          </w:tcPr>
          <w:p>
            <w:pPr>
              <w:pStyle w:val="42"/>
            </w:pPr>
            <w:r>
              <w:t>108-90-7</w:t>
            </w:r>
          </w:p>
        </w:tc>
        <w:tc>
          <w:tcPr>
            <w:tcW w:w="1823" w:type="dxa"/>
            <w:vAlign w:val="center"/>
          </w:tcPr>
          <w:p>
            <w:pPr>
              <w:pStyle w:val="42"/>
            </w:pPr>
            <w:r>
              <w:t>270</w:t>
            </w:r>
          </w:p>
        </w:tc>
        <w:tc>
          <w:tcPr>
            <w:tcW w:w="1951" w:type="dxa"/>
            <w:vAlign w:val="center"/>
          </w:tcPr>
          <w:p>
            <w:pPr>
              <w:pStyle w:val="42"/>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28</w:t>
            </w:r>
          </w:p>
        </w:tc>
        <w:tc>
          <w:tcPr>
            <w:tcW w:w="2066" w:type="dxa"/>
            <w:vAlign w:val="center"/>
          </w:tcPr>
          <w:p>
            <w:pPr>
              <w:pStyle w:val="42"/>
            </w:pPr>
            <w:r>
              <w:t>1,2-二氯苯</w:t>
            </w:r>
          </w:p>
        </w:tc>
        <w:tc>
          <w:tcPr>
            <w:tcW w:w="1643" w:type="dxa"/>
            <w:vAlign w:val="center"/>
          </w:tcPr>
          <w:p>
            <w:pPr>
              <w:pStyle w:val="42"/>
            </w:pPr>
            <w:r>
              <w:t>95-50-1</w:t>
            </w:r>
          </w:p>
        </w:tc>
        <w:tc>
          <w:tcPr>
            <w:tcW w:w="1823" w:type="dxa"/>
            <w:vAlign w:val="center"/>
          </w:tcPr>
          <w:p>
            <w:pPr>
              <w:pStyle w:val="42"/>
            </w:pPr>
            <w:r>
              <w:t>560</w:t>
            </w:r>
          </w:p>
        </w:tc>
        <w:tc>
          <w:tcPr>
            <w:tcW w:w="1951" w:type="dxa"/>
            <w:vAlign w:val="center"/>
          </w:tcPr>
          <w:p>
            <w:pPr>
              <w:pStyle w:val="42"/>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29</w:t>
            </w:r>
          </w:p>
        </w:tc>
        <w:tc>
          <w:tcPr>
            <w:tcW w:w="2066" w:type="dxa"/>
            <w:vAlign w:val="center"/>
          </w:tcPr>
          <w:p>
            <w:pPr>
              <w:pStyle w:val="42"/>
            </w:pPr>
            <w:r>
              <w:t>1,4-二氯苯</w:t>
            </w:r>
          </w:p>
        </w:tc>
        <w:tc>
          <w:tcPr>
            <w:tcW w:w="1643" w:type="dxa"/>
            <w:vAlign w:val="center"/>
          </w:tcPr>
          <w:p>
            <w:pPr>
              <w:pStyle w:val="42"/>
            </w:pPr>
            <w:r>
              <w:t>106-46-7</w:t>
            </w:r>
          </w:p>
        </w:tc>
        <w:tc>
          <w:tcPr>
            <w:tcW w:w="1823" w:type="dxa"/>
            <w:vAlign w:val="center"/>
          </w:tcPr>
          <w:p>
            <w:pPr>
              <w:pStyle w:val="42"/>
            </w:pPr>
            <w:r>
              <w:t>20</w:t>
            </w:r>
          </w:p>
        </w:tc>
        <w:tc>
          <w:tcPr>
            <w:tcW w:w="1951" w:type="dxa"/>
            <w:vAlign w:val="center"/>
          </w:tcPr>
          <w:p>
            <w:pPr>
              <w:pStyle w:val="42"/>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30</w:t>
            </w:r>
          </w:p>
        </w:tc>
        <w:tc>
          <w:tcPr>
            <w:tcW w:w="2066" w:type="dxa"/>
            <w:vAlign w:val="center"/>
          </w:tcPr>
          <w:p>
            <w:pPr>
              <w:pStyle w:val="42"/>
            </w:pPr>
            <w:r>
              <w:t>乙苯</w:t>
            </w:r>
          </w:p>
        </w:tc>
        <w:tc>
          <w:tcPr>
            <w:tcW w:w="1643" w:type="dxa"/>
            <w:vAlign w:val="center"/>
          </w:tcPr>
          <w:p>
            <w:pPr>
              <w:pStyle w:val="42"/>
            </w:pPr>
            <w:r>
              <w:t>100-41-4</w:t>
            </w:r>
          </w:p>
        </w:tc>
        <w:tc>
          <w:tcPr>
            <w:tcW w:w="1823" w:type="dxa"/>
            <w:vAlign w:val="center"/>
          </w:tcPr>
          <w:p>
            <w:pPr>
              <w:pStyle w:val="42"/>
            </w:pPr>
            <w:r>
              <w:t>28</w:t>
            </w:r>
          </w:p>
        </w:tc>
        <w:tc>
          <w:tcPr>
            <w:tcW w:w="1951" w:type="dxa"/>
            <w:vAlign w:val="center"/>
          </w:tcPr>
          <w:p>
            <w:pPr>
              <w:pStyle w:val="42"/>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31</w:t>
            </w:r>
          </w:p>
        </w:tc>
        <w:tc>
          <w:tcPr>
            <w:tcW w:w="2066" w:type="dxa"/>
            <w:vAlign w:val="center"/>
          </w:tcPr>
          <w:p>
            <w:pPr>
              <w:pStyle w:val="42"/>
            </w:pPr>
            <w:r>
              <w:t>苯乙烯</w:t>
            </w:r>
          </w:p>
        </w:tc>
        <w:tc>
          <w:tcPr>
            <w:tcW w:w="1643" w:type="dxa"/>
            <w:vAlign w:val="center"/>
          </w:tcPr>
          <w:p>
            <w:pPr>
              <w:pStyle w:val="42"/>
            </w:pPr>
            <w:r>
              <w:t>100-42-5</w:t>
            </w:r>
          </w:p>
        </w:tc>
        <w:tc>
          <w:tcPr>
            <w:tcW w:w="1823" w:type="dxa"/>
            <w:vAlign w:val="center"/>
          </w:tcPr>
          <w:p>
            <w:pPr>
              <w:pStyle w:val="42"/>
            </w:pPr>
            <w:r>
              <w:t>1290</w:t>
            </w:r>
          </w:p>
        </w:tc>
        <w:tc>
          <w:tcPr>
            <w:tcW w:w="1951" w:type="dxa"/>
            <w:vAlign w:val="center"/>
          </w:tcPr>
          <w:p>
            <w:pPr>
              <w:pStyle w:val="42"/>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32</w:t>
            </w:r>
          </w:p>
        </w:tc>
        <w:tc>
          <w:tcPr>
            <w:tcW w:w="2066" w:type="dxa"/>
            <w:vAlign w:val="center"/>
          </w:tcPr>
          <w:p>
            <w:pPr>
              <w:pStyle w:val="42"/>
            </w:pPr>
            <w:r>
              <w:t>甲苯</w:t>
            </w:r>
          </w:p>
        </w:tc>
        <w:tc>
          <w:tcPr>
            <w:tcW w:w="1643" w:type="dxa"/>
            <w:vAlign w:val="center"/>
          </w:tcPr>
          <w:p>
            <w:pPr>
              <w:pStyle w:val="42"/>
            </w:pPr>
            <w:r>
              <w:t>108-88-3</w:t>
            </w:r>
          </w:p>
        </w:tc>
        <w:tc>
          <w:tcPr>
            <w:tcW w:w="1823" w:type="dxa"/>
            <w:vAlign w:val="center"/>
          </w:tcPr>
          <w:p>
            <w:pPr>
              <w:pStyle w:val="42"/>
            </w:pPr>
            <w:r>
              <w:t>1200</w:t>
            </w:r>
          </w:p>
        </w:tc>
        <w:tc>
          <w:tcPr>
            <w:tcW w:w="1951" w:type="dxa"/>
            <w:vAlign w:val="center"/>
          </w:tcPr>
          <w:p>
            <w:pPr>
              <w:pStyle w:val="42"/>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33</w:t>
            </w:r>
          </w:p>
        </w:tc>
        <w:tc>
          <w:tcPr>
            <w:tcW w:w="2066" w:type="dxa"/>
            <w:vAlign w:val="center"/>
          </w:tcPr>
          <w:p>
            <w:pPr>
              <w:pStyle w:val="42"/>
            </w:pPr>
            <w:r>
              <w:t>间二甲苯+对二甲苯</w:t>
            </w:r>
          </w:p>
        </w:tc>
        <w:tc>
          <w:tcPr>
            <w:tcW w:w="1643" w:type="dxa"/>
            <w:vAlign w:val="center"/>
          </w:tcPr>
          <w:p>
            <w:pPr>
              <w:pStyle w:val="42"/>
            </w:pPr>
            <w:r>
              <w:t>108-38-3,106-42-3</w:t>
            </w:r>
          </w:p>
        </w:tc>
        <w:tc>
          <w:tcPr>
            <w:tcW w:w="1823" w:type="dxa"/>
            <w:vAlign w:val="center"/>
          </w:tcPr>
          <w:p>
            <w:pPr>
              <w:pStyle w:val="42"/>
            </w:pPr>
            <w:r>
              <w:t>570</w:t>
            </w:r>
          </w:p>
        </w:tc>
        <w:tc>
          <w:tcPr>
            <w:tcW w:w="1951" w:type="dxa"/>
            <w:vAlign w:val="center"/>
          </w:tcPr>
          <w:p>
            <w:pPr>
              <w:pStyle w:val="42"/>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34</w:t>
            </w:r>
          </w:p>
        </w:tc>
        <w:tc>
          <w:tcPr>
            <w:tcW w:w="2066" w:type="dxa"/>
            <w:vAlign w:val="center"/>
          </w:tcPr>
          <w:p>
            <w:pPr>
              <w:pStyle w:val="42"/>
            </w:pPr>
            <w:r>
              <w:t>邻二甲苯</w:t>
            </w:r>
          </w:p>
        </w:tc>
        <w:tc>
          <w:tcPr>
            <w:tcW w:w="1643" w:type="dxa"/>
            <w:vAlign w:val="center"/>
          </w:tcPr>
          <w:p>
            <w:pPr>
              <w:pStyle w:val="42"/>
            </w:pPr>
            <w:r>
              <w:t>95-47-6</w:t>
            </w:r>
          </w:p>
        </w:tc>
        <w:tc>
          <w:tcPr>
            <w:tcW w:w="1823" w:type="dxa"/>
            <w:vAlign w:val="center"/>
          </w:tcPr>
          <w:p>
            <w:pPr>
              <w:pStyle w:val="42"/>
            </w:pPr>
            <w:r>
              <w:t>640</w:t>
            </w:r>
          </w:p>
        </w:tc>
        <w:tc>
          <w:tcPr>
            <w:tcW w:w="1951" w:type="dxa"/>
            <w:vAlign w:val="center"/>
          </w:tcPr>
          <w:p>
            <w:pPr>
              <w:pStyle w:val="42"/>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16" w:type="dxa"/>
            <w:gridSpan w:val="5"/>
            <w:vAlign w:val="center"/>
          </w:tcPr>
          <w:p>
            <w:pPr>
              <w:pStyle w:val="42"/>
            </w:pPr>
            <w: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35</w:t>
            </w:r>
          </w:p>
        </w:tc>
        <w:tc>
          <w:tcPr>
            <w:tcW w:w="2066" w:type="dxa"/>
            <w:vAlign w:val="center"/>
          </w:tcPr>
          <w:p>
            <w:pPr>
              <w:pStyle w:val="42"/>
            </w:pPr>
            <w:r>
              <w:t>硝基苯</w:t>
            </w:r>
          </w:p>
        </w:tc>
        <w:tc>
          <w:tcPr>
            <w:tcW w:w="1643" w:type="dxa"/>
            <w:vAlign w:val="center"/>
          </w:tcPr>
          <w:p>
            <w:pPr>
              <w:pStyle w:val="42"/>
            </w:pPr>
            <w:r>
              <w:t>98-95-3</w:t>
            </w:r>
          </w:p>
        </w:tc>
        <w:tc>
          <w:tcPr>
            <w:tcW w:w="1823" w:type="dxa"/>
            <w:vAlign w:val="center"/>
          </w:tcPr>
          <w:p>
            <w:pPr>
              <w:pStyle w:val="42"/>
            </w:pPr>
            <w:r>
              <w:t>76</w:t>
            </w:r>
          </w:p>
        </w:tc>
        <w:tc>
          <w:tcPr>
            <w:tcW w:w="1951" w:type="dxa"/>
            <w:vAlign w:val="center"/>
          </w:tcPr>
          <w:p>
            <w:pPr>
              <w:pStyle w:val="42"/>
            </w:pPr>
            <w: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36</w:t>
            </w:r>
          </w:p>
        </w:tc>
        <w:tc>
          <w:tcPr>
            <w:tcW w:w="2066" w:type="dxa"/>
            <w:vAlign w:val="center"/>
          </w:tcPr>
          <w:p>
            <w:pPr>
              <w:pStyle w:val="42"/>
            </w:pPr>
            <w:r>
              <w:t>苯胺</w:t>
            </w:r>
          </w:p>
        </w:tc>
        <w:tc>
          <w:tcPr>
            <w:tcW w:w="1643" w:type="dxa"/>
            <w:vAlign w:val="center"/>
          </w:tcPr>
          <w:p>
            <w:pPr>
              <w:pStyle w:val="42"/>
            </w:pPr>
            <w:r>
              <w:t>62-53-3</w:t>
            </w:r>
          </w:p>
        </w:tc>
        <w:tc>
          <w:tcPr>
            <w:tcW w:w="1823" w:type="dxa"/>
            <w:vAlign w:val="center"/>
          </w:tcPr>
          <w:p>
            <w:pPr>
              <w:pStyle w:val="42"/>
            </w:pPr>
            <w:r>
              <w:t>260</w:t>
            </w:r>
          </w:p>
        </w:tc>
        <w:tc>
          <w:tcPr>
            <w:tcW w:w="1951" w:type="dxa"/>
            <w:vAlign w:val="center"/>
          </w:tcPr>
          <w:p>
            <w:pPr>
              <w:pStyle w:val="42"/>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37</w:t>
            </w:r>
          </w:p>
        </w:tc>
        <w:tc>
          <w:tcPr>
            <w:tcW w:w="2066" w:type="dxa"/>
            <w:vAlign w:val="center"/>
          </w:tcPr>
          <w:p>
            <w:pPr>
              <w:pStyle w:val="42"/>
            </w:pPr>
            <w:r>
              <w:t>2-氯酚</w:t>
            </w:r>
          </w:p>
        </w:tc>
        <w:tc>
          <w:tcPr>
            <w:tcW w:w="1643" w:type="dxa"/>
            <w:vAlign w:val="center"/>
          </w:tcPr>
          <w:p>
            <w:pPr>
              <w:pStyle w:val="42"/>
            </w:pPr>
            <w:r>
              <w:t>95-57-8</w:t>
            </w:r>
          </w:p>
        </w:tc>
        <w:tc>
          <w:tcPr>
            <w:tcW w:w="1823" w:type="dxa"/>
            <w:vAlign w:val="center"/>
          </w:tcPr>
          <w:p>
            <w:pPr>
              <w:pStyle w:val="42"/>
            </w:pPr>
            <w:r>
              <w:t>2256</w:t>
            </w:r>
          </w:p>
        </w:tc>
        <w:tc>
          <w:tcPr>
            <w:tcW w:w="1951" w:type="dxa"/>
            <w:vAlign w:val="center"/>
          </w:tcPr>
          <w:p>
            <w:pPr>
              <w:pStyle w:val="42"/>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38</w:t>
            </w:r>
          </w:p>
        </w:tc>
        <w:tc>
          <w:tcPr>
            <w:tcW w:w="2066" w:type="dxa"/>
            <w:vAlign w:val="center"/>
          </w:tcPr>
          <w:p>
            <w:pPr>
              <w:pStyle w:val="42"/>
            </w:pPr>
            <w:r>
              <w:t>苯并[a]蒽</w:t>
            </w:r>
          </w:p>
        </w:tc>
        <w:tc>
          <w:tcPr>
            <w:tcW w:w="1643" w:type="dxa"/>
            <w:vAlign w:val="center"/>
          </w:tcPr>
          <w:p>
            <w:pPr>
              <w:pStyle w:val="42"/>
            </w:pPr>
            <w:r>
              <w:t>56-55-3</w:t>
            </w:r>
          </w:p>
        </w:tc>
        <w:tc>
          <w:tcPr>
            <w:tcW w:w="1823" w:type="dxa"/>
            <w:vAlign w:val="center"/>
          </w:tcPr>
          <w:p>
            <w:pPr>
              <w:pStyle w:val="42"/>
            </w:pPr>
            <w:r>
              <w:t>15</w:t>
            </w:r>
          </w:p>
        </w:tc>
        <w:tc>
          <w:tcPr>
            <w:tcW w:w="1951" w:type="dxa"/>
            <w:vAlign w:val="center"/>
          </w:tcPr>
          <w:p>
            <w:pPr>
              <w:pStyle w:val="42"/>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39</w:t>
            </w:r>
          </w:p>
        </w:tc>
        <w:tc>
          <w:tcPr>
            <w:tcW w:w="2066" w:type="dxa"/>
            <w:vAlign w:val="center"/>
          </w:tcPr>
          <w:p>
            <w:pPr>
              <w:pStyle w:val="42"/>
            </w:pPr>
            <w:r>
              <w:t>苯并[a]芘</w:t>
            </w:r>
          </w:p>
        </w:tc>
        <w:tc>
          <w:tcPr>
            <w:tcW w:w="1643" w:type="dxa"/>
            <w:vAlign w:val="center"/>
          </w:tcPr>
          <w:p>
            <w:pPr>
              <w:pStyle w:val="42"/>
            </w:pPr>
            <w:r>
              <w:t>50-32-8</w:t>
            </w:r>
          </w:p>
        </w:tc>
        <w:tc>
          <w:tcPr>
            <w:tcW w:w="1823" w:type="dxa"/>
            <w:vAlign w:val="center"/>
          </w:tcPr>
          <w:p>
            <w:pPr>
              <w:pStyle w:val="42"/>
            </w:pPr>
            <w:r>
              <w:t>1.5</w:t>
            </w:r>
          </w:p>
        </w:tc>
        <w:tc>
          <w:tcPr>
            <w:tcW w:w="1951" w:type="dxa"/>
            <w:vAlign w:val="center"/>
          </w:tcPr>
          <w:p>
            <w:pPr>
              <w:pStyle w:val="42"/>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40</w:t>
            </w:r>
          </w:p>
        </w:tc>
        <w:tc>
          <w:tcPr>
            <w:tcW w:w="2066" w:type="dxa"/>
            <w:vAlign w:val="center"/>
          </w:tcPr>
          <w:p>
            <w:pPr>
              <w:pStyle w:val="42"/>
            </w:pPr>
            <w:r>
              <w:t>苯并[b]荧蒽</w:t>
            </w:r>
          </w:p>
        </w:tc>
        <w:tc>
          <w:tcPr>
            <w:tcW w:w="1643" w:type="dxa"/>
            <w:vAlign w:val="center"/>
          </w:tcPr>
          <w:p>
            <w:pPr>
              <w:pStyle w:val="42"/>
            </w:pPr>
            <w:r>
              <w:t>205-99-2</w:t>
            </w:r>
          </w:p>
        </w:tc>
        <w:tc>
          <w:tcPr>
            <w:tcW w:w="1823" w:type="dxa"/>
            <w:vAlign w:val="center"/>
          </w:tcPr>
          <w:p>
            <w:pPr>
              <w:pStyle w:val="42"/>
            </w:pPr>
            <w:r>
              <w:t>15</w:t>
            </w:r>
          </w:p>
        </w:tc>
        <w:tc>
          <w:tcPr>
            <w:tcW w:w="1951" w:type="dxa"/>
            <w:vAlign w:val="center"/>
          </w:tcPr>
          <w:p>
            <w:pPr>
              <w:pStyle w:val="42"/>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41</w:t>
            </w:r>
          </w:p>
        </w:tc>
        <w:tc>
          <w:tcPr>
            <w:tcW w:w="2066" w:type="dxa"/>
            <w:vAlign w:val="center"/>
          </w:tcPr>
          <w:p>
            <w:pPr>
              <w:pStyle w:val="42"/>
            </w:pPr>
            <w:r>
              <w:t>苯并[k]荧蒽</w:t>
            </w:r>
          </w:p>
        </w:tc>
        <w:tc>
          <w:tcPr>
            <w:tcW w:w="1643" w:type="dxa"/>
            <w:vAlign w:val="center"/>
          </w:tcPr>
          <w:p>
            <w:pPr>
              <w:pStyle w:val="42"/>
            </w:pPr>
            <w:r>
              <w:t>207-08-9</w:t>
            </w:r>
          </w:p>
        </w:tc>
        <w:tc>
          <w:tcPr>
            <w:tcW w:w="1823" w:type="dxa"/>
            <w:vAlign w:val="center"/>
          </w:tcPr>
          <w:p>
            <w:pPr>
              <w:pStyle w:val="42"/>
            </w:pPr>
            <w:r>
              <w:t>151</w:t>
            </w:r>
          </w:p>
        </w:tc>
        <w:tc>
          <w:tcPr>
            <w:tcW w:w="1951" w:type="dxa"/>
            <w:vAlign w:val="center"/>
          </w:tcPr>
          <w:p>
            <w:pPr>
              <w:pStyle w:val="42"/>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42</w:t>
            </w:r>
          </w:p>
        </w:tc>
        <w:tc>
          <w:tcPr>
            <w:tcW w:w="2066" w:type="dxa"/>
            <w:vAlign w:val="center"/>
          </w:tcPr>
          <w:p>
            <w:pPr>
              <w:pStyle w:val="42"/>
            </w:pPr>
            <w:r>
              <w:t>䓛</w:t>
            </w:r>
          </w:p>
        </w:tc>
        <w:tc>
          <w:tcPr>
            <w:tcW w:w="1643" w:type="dxa"/>
            <w:vAlign w:val="center"/>
          </w:tcPr>
          <w:p>
            <w:pPr>
              <w:pStyle w:val="42"/>
            </w:pPr>
            <w:r>
              <w:t>218-01-9</w:t>
            </w:r>
          </w:p>
        </w:tc>
        <w:tc>
          <w:tcPr>
            <w:tcW w:w="1823" w:type="dxa"/>
            <w:vAlign w:val="center"/>
          </w:tcPr>
          <w:p>
            <w:pPr>
              <w:pStyle w:val="42"/>
            </w:pPr>
            <w:r>
              <w:t>1293</w:t>
            </w:r>
          </w:p>
        </w:tc>
        <w:tc>
          <w:tcPr>
            <w:tcW w:w="1951" w:type="dxa"/>
            <w:vAlign w:val="center"/>
          </w:tcPr>
          <w:p>
            <w:pPr>
              <w:pStyle w:val="42"/>
            </w:pPr>
            <w: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43</w:t>
            </w:r>
          </w:p>
        </w:tc>
        <w:tc>
          <w:tcPr>
            <w:tcW w:w="2066" w:type="dxa"/>
            <w:vAlign w:val="center"/>
          </w:tcPr>
          <w:p>
            <w:pPr>
              <w:pStyle w:val="42"/>
            </w:pPr>
            <w:r>
              <w:t>二苯并[a, h]蒽</w:t>
            </w:r>
          </w:p>
        </w:tc>
        <w:tc>
          <w:tcPr>
            <w:tcW w:w="1643" w:type="dxa"/>
            <w:vAlign w:val="center"/>
          </w:tcPr>
          <w:p>
            <w:pPr>
              <w:pStyle w:val="42"/>
            </w:pPr>
            <w:r>
              <w:t>53-70-3</w:t>
            </w:r>
          </w:p>
        </w:tc>
        <w:tc>
          <w:tcPr>
            <w:tcW w:w="1823" w:type="dxa"/>
            <w:vAlign w:val="center"/>
          </w:tcPr>
          <w:p>
            <w:pPr>
              <w:pStyle w:val="42"/>
            </w:pPr>
            <w:r>
              <w:t>1.5</w:t>
            </w:r>
          </w:p>
        </w:tc>
        <w:tc>
          <w:tcPr>
            <w:tcW w:w="1951" w:type="dxa"/>
            <w:vAlign w:val="center"/>
          </w:tcPr>
          <w:p>
            <w:pPr>
              <w:pStyle w:val="42"/>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44</w:t>
            </w:r>
          </w:p>
        </w:tc>
        <w:tc>
          <w:tcPr>
            <w:tcW w:w="2066" w:type="dxa"/>
            <w:vAlign w:val="center"/>
          </w:tcPr>
          <w:p>
            <w:pPr>
              <w:pStyle w:val="42"/>
            </w:pPr>
            <w:r>
              <w:t>茚并[1,2,3-cd]芘</w:t>
            </w:r>
          </w:p>
        </w:tc>
        <w:tc>
          <w:tcPr>
            <w:tcW w:w="1643" w:type="dxa"/>
            <w:vAlign w:val="center"/>
          </w:tcPr>
          <w:p>
            <w:pPr>
              <w:pStyle w:val="42"/>
            </w:pPr>
            <w:r>
              <w:t>193-39-5</w:t>
            </w:r>
          </w:p>
        </w:tc>
        <w:tc>
          <w:tcPr>
            <w:tcW w:w="1823" w:type="dxa"/>
            <w:vAlign w:val="center"/>
          </w:tcPr>
          <w:p>
            <w:pPr>
              <w:pStyle w:val="42"/>
            </w:pPr>
            <w:r>
              <w:t>15</w:t>
            </w:r>
          </w:p>
        </w:tc>
        <w:tc>
          <w:tcPr>
            <w:tcW w:w="1951" w:type="dxa"/>
            <w:vAlign w:val="center"/>
          </w:tcPr>
          <w:p>
            <w:pPr>
              <w:pStyle w:val="42"/>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3" w:type="dxa"/>
            <w:vAlign w:val="center"/>
          </w:tcPr>
          <w:p>
            <w:pPr>
              <w:pStyle w:val="42"/>
            </w:pPr>
            <w:r>
              <w:t>45</w:t>
            </w:r>
          </w:p>
        </w:tc>
        <w:tc>
          <w:tcPr>
            <w:tcW w:w="2066" w:type="dxa"/>
            <w:vAlign w:val="center"/>
          </w:tcPr>
          <w:p>
            <w:pPr>
              <w:pStyle w:val="42"/>
            </w:pPr>
            <w:r>
              <w:t>萘</w:t>
            </w:r>
          </w:p>
        </w:tc>
        <w:tc>
          <w:tcPr>
            <w:tcW w:w="1643" w:type="dxa"/>
            <w:vAlign w:val="center"/>
          </w:tcPr>
          <w:p>
            <w:pPr>
              <w:pStyle w:val="42"/>
            </w:pPr>
            <w:r>
              <w:t>91-20-3</w:t>
            </w:r>
          </w:p>
        </w:tc>
        <w:tc>
          <w:tcPr>
            <w:tcW w:w="1823" w:type="dxa"/>
            <w:vAlign w:val="center"/>
          </w:tcPr>
          <w:p>
            <w:pPr>
              <w:pStyle w:val="42"/>
            </w:pPr>
            <w:r>
              <w:t>70</w:t>
            </w:r>
          </w:p>
        </w:tc>
        <w:tc>
          <w:tcPr>
            <w:tcW w:w="1951" w:type="dxa"/>
            <w:vAlign w:val="center"/>
          </w:tcPr>
          <w:p>
            <w:pPr>
              <w:pStyle w:val="42"/>
            </w:pPr>
            <w:r>
              <w:t>700</w:t>
            </w:r>
          </w:p>
        </w:tc>
      </w:tr>
    </w:tbl>
    <w:p>
      <w:pPr>
        <w:pStyle w:val="4"/>
        <w:spacing w:before="156" w:after="156"/>
      </w:pPr>
      <w:bookmarkStart w:id="25" w:name="_Toc84844209"/>
      <w:r>
        <w:rPr>
          <w:rFonts w:hint="eastAsia"/>
        </w:rPr>
        <w:t>1.5.3排放标准</w:t>
      </w:r>
      <w:bookmarkEnd w:id="25"/>
    </w:p>
    <w:p>
      <w:pPr>
        <w:ind w:firstLine="480"/>
      </w:pPr>
      <w:r>
        <w:rPr>
          <w:rFonts w:hint="eastAsia"/>
        </w:rPr>
        <w:t>（1）废气：拟建项目一段转化炉烟气执行《无机化学工业污染物排放标准》（GB31573-2015）中表3大气污染物排放限值（甲醇执行重庆市《大气污染物综合排放标准》（DB50/418-2016）表3排放限值）；合成氨工序工艺废气氨和废水处理站臭气执行《恶臭污染物排放标准》（GB14554-93），执行标准值详见下表1.5-5。</w:t>
      </w:r>
    </w:p>
    <w:p>
      <w:pPr>
        <w:pStyle w:val="41"/>
      </w:pPr>
      <w:r>
        <w:rPr>
          <w:rFonts w:hint="eastAsia"/>
        </w:rPr>
        <w:t>表1.5-5 大气污染物排放限值</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3"/>
        <w:gridCol w:w="1134"/>
        <w:gridCol w:w="1249"/>
        <w:gridCol w:w="1020"/>
        <w:gridCol w:w="637"/>
        <w:gridCol w:w="1025"/>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restart"/>
            <w:shd w:val="clear" w:color="auto" w:fill="auto"/>
            <w:vAlign w:val="center"/>
          </w:tcPr>
          <w:p>
            <w:pPr>
              <w:pStyle w:val="42"/>
            </w:pPr>
            <w:r>
              <w:t>污染源</w:t>
            </w:r>
          </w:p>
        </w:tc>
        <w:tc>
          <w:tcPr>
            <w:tcW w:w="678" w:type="pct"/>
            <w:vMerge w:val="restart"/>
            <w:shd w:val="clear" w:color="auto" w:fill="auto"/>
            <w:vAlign w:val="center"/>
          </w:tcPr>
          <w:p>
            <w:pPr>
              <w:pStyle w:val="42"/>
            </w:pPr>
            <w:r>
              <w:t>污染物</w:t>
            </w:r>
          </w:p>
        </w:tc>
        <w:tc>
          <w:tcPr>
            <w:tcW w:w="747" w:type="pct"/>
            <w:vMerge w:val="restart"/>
            <w:shd w:val="clear" w:color="auto" w:fill="auto"/>
            <w:vAlign w:val="center"/>
          </w:tcPr>
          <w:p>
            <w:pPr>
              <w:pStyle w:val="42"/>
            </w:pPr>
            <w:r>
              <w:t>最高允许排放浓度（mg/m</w:t>
            </w:r>
            <w:r>
              <w:rPr>
                <w:vertAlign w:val="superscript"/>
              </w:rPr>
              <w:t>3</w:t>
            </w:r>
            <w:r>
              <w:t>）</w:t>
            </w:r>
          </w:p>
        </w:tc>
        <w:tc>
          <w:tcPr>
            <w:tcW w:w="610" w:type="pct"/>
            <w:vMerge w:val="restart"/>
            <w:shd w:val="clear" w:color="auto" w:fill="auto"/>
            <w:vAlign w:val="center"/>
          </w:tcPr>
          <w:p>
            <w:pPr>
              <w:pStyle w:val="42"/>
            </w:pPr>
            <w:r>
              <w:t>最高允许排放速率（kg/h）</w:t>
            </w:r>
          </w:p>
        </w:tc>
        <w:tc>
          <w:tcPr>
            <w:tcW w:w="994" w:type="pct"/>
            <w:gridSpan w:val="2"/>
            <w:shd w:val="clear" w:color="auto" w:fill="auto"/>
            <w:vAlign w:val="center"/>
          </w:tcPr>
          <w:p>
            <w:pPr>
              <w:pStyle w:val="42"/>
            </w:pPr>
            <w:r>
              <w:t>无组织排放监控浓度限值</w:t>
            </w:r>
          </w:p>
        </w:tc>
        <w:tc>
          <w:tcPr>
            <w:tcW w:w="1276" w:type="pct"/>
            <w:vMerge w:val="restart"/>
            <w:shd w:val="clear" w:color="auto" w:fill="auto"/>
            <w:vAlign w:val="center"/>
          </w:tcPr>
          <w:p>
            <w:pPr>
              <w:pStyle w:val="42"/>
            </w:pPr>
            <w:r>
              <w:t>依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vAlign w:val="center"/>
          </w:tcPr>
          <w:p>
            <w:pPr>
              <w:pStyle w:val="42"/>
            </w:pPr>
          </w:p>
        </w:tc>
        <w:tc>
          <w:tcPr>
            <w:tcW w:w="678" w:type="pct"/>
            <w:vMerge w:val="continue"/>
            <w:vAlign w:val="center"/>
          </w:tcPr>
          <w:p>
            <w:pPr>
              <w:pStyle w:val="42"/>
            </w:pPr>
          </w:p>
        </w:tc>
        <w:tc>
          <w:tcPr>
            <w:tcW w:w="747" w:type="pct"/>
            <w:vMerge w:val="continue"/>
            <w:vAlign w:val="center"/>
          </w:tcPr>
          <w:p>
            <w:pPr>
              <w:pStyle w:val="42"/>
            </w:pPr>
          </w:p>
        </w:tc>
        <w:tc>
          <w:tcPr>
            <w:tcW w:w="610" w:type="pct"/>
            <w:vMerge w:val="continue"/>
            <w:vAlign w:val="center"/>
          </w:tcPr>
          <w:p>
            <w:pPr>
              <w:pStyle w:val="42"/>
            </w:pPr>
          </w:p>
        </w:tc>
        <w:tc>
          <w:tcPr>
            <w:tcW w:w="381" w:type="pct"/>
            <w:shd w:val="clear" w:color="auto" w:fill="auto"/>
            <w:vAlign w:val="center"/>
          </w:tcPr>
          <w:p>
            <w:pPr>
              <w:pStyle w:val="42"/>
            </w:pPr>
            <w:r>
              <w:t>监控点</w:t>
            </w:r>
          </w:p>
        </w:tc>
        <w:tc>
          <w:tcPr>
            <w:tcW w:w="613" w:type="pct"/>
            <w:shd w:val="clear" w:color="auto" w:fill="auto"/>
            <w:vAlign w:val="center"/>
          </w:tcPr>
          <w:p>
            <w:pPr>
              <w:pStyle w:val="42"/>
            </w:pPr>
            <w:r>
              <w:t>浓度（mg/m</w:t>
            </w:r>
            <w:r>
              <w:rPr>
                <w:vertAlign w:val="superscript"/>
              </w:rPr>
              <w:t>3</w:t>
            </w:r>
            <w:r>
              <w:t>）</w:t>
            </w:r>
          </w:p>
        </w:tc>
        <w:tc>
          <w:tcPr>
            <w:tcW w:w="1276"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restart"/>
            <w:shd w:val="clear" w:color="auto" w:fill="auto"/>
            <w:vAlign w:val="center"/>
          </w:tcPr>
          <w:p>
            <w:pPr>
              <w:pStyle w:val="42"/>
            </w:pPr>
            <w:r>
              <w:rPr>
                <w:rFonts w:hint="eastAsia"/>
              </w:rPr>
              <w:t>一段转化炉烟气排气筒（60m）</w:t>
            </w:r>
          </w:p>
        </w:tc>
        <w:tc>
          <w:tcPr>
            <w:tcW w:w="678" w:type="pct"/>
            <w:shd w:val="clear" w:color="auto" w:fill="auto"/>
            <w:vAlign w:val="center"/>
          </w:tcPr>
          <w:p>
            <w:pPr>
              <w:pStyle w:val="42"/>
            </w:pPr>
            <w:r>
              <w:rPr>
                <w:rFonts w:hint="eastAsia"/>
              </w:rPr>
              <w:t>颗粒物</w:t>
            </w:r>
          </w:p>
        </w:tc>
        <w:tc>
          <w:tcPr>
            <w:tcW w:w="747" w:type="pct"/>
            <w:shd w:val="clear" w:color="auto" w:fill="auto"/>
            <w:vAlign w:val="center"/>
          </w:tcPr>
          <w:p>
            <w:pPr>
              <w:pStyle w:val="42"/>
            </w:pPr>
            <w:r>
              <w:rPr>
                <w:rFonts w:hint="eastAsia"/>
              </w:rPr>
              <w:t>30</w:t>
            </w:r>
          </w:p>
        </w:tc>
        <w:tc>
          <w:tcPr>
            <w:tcW w:w="610" w:type="pct"/>
            <w:shd w:val="clear" w:color="auto" w:fill="auto"/>
            <w:vAlign w:val="center"/>
          </w:tcPr>
          <w:p>
            <w:pPr>
              <w:pStyle w:val="42"/>
            </w:pPr>
            <w:r>
              <w:rPr>
                <w:rFonts w:hint="eastAsia"/>
              </w:rPr>
              <w:t>/</w:t>
            </w:r>
          </w:p>
        </w:tc>
        <w:tc>
          <w:tcPr>
            <w:tcW w:w="381" w:type="pct"/>
            <w:vMerge w:val="restart"/>
            <w:shd w:val="clear" w:color="auto" w:fill="auto"/>
            <w:vAlign w:val="center"/>
          </w:tcPr>
          <w:p>
            <w:pPr>
              <w:pStyle w:val="42"/>
            </w:pPr>
            <w:r>
              <w:rPr>
                <w:rFonts w:hint="eastAsia"/>
              </w:rPr>
              <w:t>企业边界</w:t>
            </w:r>
          </w:p>
        </w:tc>
        <w:tc>
          <w:tcPr>
            <w:tcW w:w="613" w:type="pct"/>
            <w:shd w:val="clear" w:color="auto" w:fill="auto"/>
            <w:vAlign w:val="center"/>
          </w:tcPr>
          <w:p>
            <w:pPr>
              <w:pStyle w:val="42"/>
            </w:pPr>
            <w:r>
              <w:rPr>
                <w:rFonts w:hint="eastAsia"/>
              </w:rPr>
              <w:t>/</w:t>
            </w:r>
          </w:p>
        </w:tc>
        <w:tc>
          <w:tcPr>
            <w:tcW w:w="1276" w:type="pct"/>
            <w:vMerge w:val="restart"/>
            <w:shd w:val="clear" w:color="auto" w:fill="auto"/>
            <w:vAlign w:val="center"/>
          </w:tcPr>
          <w:p>
            <w:pPr>
              <w:pStyle w:val="42"/>
            </w:pPr>
            <w:r>
              <w:rPr>
                <w:rFonts w:hint="eastAsia"/>
              </w:rPr>
              <w:t>《无机化学工业污染物排放标准》（GB31573-2015）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氮氧化物</w:t>
            </w:r>
          </w:p>
        </w:tc>
        <w:tc>
          <w:tcPr>
            <w:tcW w:w="747" w:type="pct"/>
            <w:shd w:val="clear" w:color="auto" w:fill="auto"/>
            <w:vAlign w:val="center"/>
          </w:tcPr>
          <w:p>
            <w:pPr>
              <w:pStyle w:val="42"/>
            </w:pPr>
            <w:r>
              <w:rPr>
                <w:rFonts w:hint="eastAsia"/>
              </w:rPr>
              <w:t>200</w:t>
            </w:r>
          </w:p>
        </w:tc>
        <w:tc>
          <w:tcPr>
            <w:tcW w:w="610" w:type="pct"/>
            <w:shd w:val="clear" w:color="auto" w:fill="auto"/>
            <w:vAlign w:val="center"/>
          </w:tcPr>
          <w:p>
            <w:pPr>
              <w:pStyle w:val="42"/>
            </w:pPr>
            <w:r>
              <w:rPr>
                <w:rFonts w:hint="eastAsia"/>
              </w:rPr>
              <w:t>/</w:t>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w:t>
            </w:r>
          </w:p>
        </w:tc>
        <w:tc>
          <w:tcPr>
            <w:tcW w:w="1276"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二氧化硫</w:t>
            </w:r>
          </w:p>
        </w:tc>
        <w:tc>
          <w:tcPr>
            <w:tcW w:w="747" w:type="pct"/>
            <w:shd w:val="clear" w:color="auto" w:fill="auto"/>
            <w:vAlign w:val="center"/>
          </w:tcPr>
          <w:p>
            <w:pPr>
              <w:pStyle w:val="42"/>
            </w:pPr>
            <w:r>
              <w:rPr>
                <w:rFonts w:hint="eastAsia"/>
              </w:rPr>
              <w:t>100</w:t>
            </w:r>
          </w:p>
        </w:tc>
        <w:tc>
          <w:tcPr>
            <w:tcW w:w="610" w:type="pct"/>
            <w:shd w:val="clear" w:color="auto" w:fill="auto"/>
            <w:vAlign w:val="center"/>
          </w:tcPr>
          <w:p>
            <w:pPr>
              <w:pStyle w:val="42"/>
            </w:pPr>
            <w:r>
              <w:rPr>
                <w:rFonts w:hint="eastAsia"/>
              </w:rPr>
              <w:t>/</w:t>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w:t>
            </w:r>
          </w:p>
        </w:tc>
        <w:tc>
          <w:tcPr>
            <w:tcW w:w="1276"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氨</w:t>
            </w:r>
          </w:p>
        </w:tc>
        <w:tc>
          <w:tcPr>
            <w:tcW w:w="747" w:type="pct"/>
            <w:shd w:val="clear" w:color="auto" w:fill="auto"/>
            <w:vAlign w:val="center"/>
          </w:tcPr>
          <w:p>
            <w:pPr>
              <w:pStyle w:val="42"/>
            </w:pPr>
            <w:r>
              <w:rPr>
                <w:rFonts w:hint="eastAsia"/>
              </w:rPr>
              <w:t>20</w:t>
            </w:r>
          </w:p>
        </w:tc>
        <w:tc>
          <w:tcPr>
            <w:tcW w:w="610" w:type="pct"/>
            <w:shd w:val="clear" w:color="auto" w:fill="auto"/>
            <w:vAlign w:val="center"/>
          </w:tcPr>
          <w:p>
            <w:pPr>
              <w:pStyle w:val="42"/>
            </w:pPr>
            <w:r>
              <w:rPr>
                <w:rFonts w:hint="eastAsia"/>
              </w:rPr>
              <w:t>/</w:t>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0.3</w:t>
            </w:r>
          </w:p>
        </w:tc>
        <w:tc>
          <w:tcPr>
            <w:tcW w:w="1276"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非甲烷总烃</w:t>
            </w:r>
          </w:p>
        </w:tc>
        <w:tc>
          <w:tcPr>
            <w:tcW w:w="747" w:type="pct"/>
            <w:shd w:val="clear" w:color="auto" w:fill="auto"/>
            <w:vAlign w:val="center"/>
          </w:tcPr>
          <w:p>
            <w:pPr>
              <w:pStyle w:val="42"/>
            </w:pPr>
            <w:r>
              <w:rPr>
                <w:rFonts w:hint="eastAsia"/>
              </w:rPr>
              <w:t>120</w:t>
            </w:r>
          </w:p>
        </w:tc>
        <w:tc>
          <w:tcPr>
            <w:tcW w:w="610" w:type="pct"/>
            <w:shd w:val="clear" w:color="auto" w:fill="auto"/>
            <w:vAlign w:val="center"/>
          </w:tcPr>
          <w:p>
            <w:pPr>
              <w:pStyle w:val="42"/>
            </w:pPr>
            <w:r>
              <w:rPr>
                <w:rFonts w:hint="eastAsia"/>
              </w:rPr>
              <w:t>224.6</w:t>
            </w:r>
            <w:r>
              <w:fldChar w:fldCharType="begin"/>
            </w:r>
            <w:r>
              <w:instrText xml:space="preserve"> </w:instrText>
            </w:r>
            <w:r>
              <w:rPr>
                <w:rFonts w:hint="eastAsia"/>
              </w:rPr>
              <w:instrText xml:space="preserve">eq \o\ac(○,</w:instrText>
            </w:r>
            <w:r>
              <w:rPr>
                <w:rFonts w:hint="eastAsia"/>
                <w:position w:val="2"/>
                <w:sz w:val="14"/>
              </w:rPr>
              <w:instrText xml:space="preserve">1</w:instrText>
            </w:r>
            <w:r>
              <w:rPr>
                <w:rFonts w:hint="eastAsia"/>
              </w:rPr>
              <w:instrText xml:space="preserve">)</w:instrText>
            </w:r>
            <w:r>
              <w:fldChar w:fldCharType="end"/>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4.0</w:t>
            </w:r>
          </w:p>
        </w:tc>
        <w:tc>
          <w:tcPr>
            <w:tcW w:w="1276" w:type="pct"/>
            <w:vMerge w:val="restart"/>
            <w:shd w:val="clear" w:color="auto" w:fill="auto"/>
            <w:vAlign w:val="center"/>
          </w:tcPr>
          <w:p>
            <w:pPr>
              <w:pStyle w:val="42"/>
            </w:pPr>
            <w:bookmarkStart w:id="26" w:name="OLE_LINK11"/>
            <w:bookmarkStart w:id="27" w:name="OLE_LINK10"/>
            <w:r>
              <w:rPr>
                <w:rFonts w:hint="eastAsia"/>
              </w:rPr>
              <w:t>重庆市《大气污染物综合排放标准》（DB50/418-2016）</w:t>
            </w:r>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甲醇</w:t>
            </w:r>
          </w:p>
        </w:tc>
        <w:tc>
          <w:tcPr>
            <w:tcW w:w="747" w:type="pct"/>
            <w:shd w:val="clear" w:color="auto" w:fill="auto"/>
            <w:vAlign w:val="center"/>
          </w:tcPr>
          <w:p>
            <w:pPr>
              <w:pStyle w:val="42"/>
            </w:pPr>
            <w:r>
              <w:rPr>
                <w:rFonts w:hint="eastAsia"/>
              </w:rPr>
              <w:t>190</w:t>
            </w:r>
          </w:p>
        </w:tc>
        <w:tc>
          <w:tcPr>
            <w:tcW w:w="610" w:type="pct"/>
            <w:shd w:val="clear" w:color="auto" w:fill="auto"/>
            <w:vAlign w:val="center"/>
          </w:tcPr>
          <w:p>
            <w:pPr>
              <w:pStyle w:val="42"/>
            </w:pPr>
            <w:r>
              <w:rPr>
                <w:rFonts w:hint="eastAsia"/>
              </w:rPr>
              <w:t>110.9</w:t>
            </w:r>
            <w:r>
              <w:fldChar w:fldCharType="begin"/>
            </w:r>
            <w:r>
              <w:instrText xml:space="preserve"> </w:instrText>
            </w:r>
            <w:r>
              <w:rPr>
                <w:rFonts w:hint="eastAsia"/>
              </w:rPr>
              <w:instrText xml:space="preserve">eq \o\ac(○,</w:instrText>
            </w:r>
            <w:r>
              <w:rPr>
                <w:rFonts w:hint="eastAsia"/>
                <w:position w:val="2"/>
                <w:sz w:val="14"/>
              </w:rPr>
              <w:instrText xml:space="preserve">1</w:instrText>
            </w:r>
            <w:r>
              <w:rPr>
                <w:rFonts w:hint="eastAsia"/>
              </w:rPr>
              <w:instrText xml:space="preserve">)</w:instrText>
            </w:r>
            <w:r>
              <w:fldChar w:fldCharType="end"/>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12</w:t>
            </w:r>
          </w:p>
        </w:tc>
        <w:tc>
          <w:tcPr>
            <w:tcW w:w="1276"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restart"/>
            <w:shd w:val="clear" w:color="auto" w:fill="auto"/>
            <w:vAlign w:val="center"/>
          </w:tcPr>
          <w:p>
            <w:pPr>
              <w:pStyle w:val="42"/>
            </w:pPr>
            <w:r>
              <w:rPr>
                <w:rFonts w:hint="eastAsia"/>
              </w:rPr>
              <w:t>废水处理站排气筒（15m）</w:t>
            </w:r>
          </w:p>
        </w:tc>
        <w:tc>
          <w:tcPr>
            <w:tcW w:w="678" w:type="pct"/>
            <w:shd w:val="clear" w:color="auto" w:fill="auto"/>
            <w:vAlign w:val="center"/>
          </w:tcPr>
          <w:p>
            <w:pPr>
              <w:pStyle w:val="42"/>
            </w:pPr>
            <w:r>
              <w:rPr>
                <w:rFonts w:hint="eastAsia"/>
              </w:rPr>
              <w:t>硫化氢</w:t>
            </w:r>
          </w:p>
        </w:tc>
        <w:tc>
          <w:tcPr>
            <w:tcW w:w="747" w:type="pct"/>
            <w:shd w:val="clear" w:color="auto" w:fill="auto"/>
            <w:vAlign w:val="center"/>
          </w:tcPr>
          <w:p>
            <w:pPr>
              <w:pStyle w:val="42"/>
            </w:pPr>
            <w:r>
              <w:rPr>
                <w:rFonts w:hint="eastAsia"/>
              </w:rPr>
              <w:t>/</w:t>
            </w:r>
          </w:p>
        </w:tc>
        <w:tc>
          <w:tcPr>
            <w:tcW w:w="610" w:type="pct"/>
            <w:shd w:val="clear" w:color="auto" w:fill="auto"/>
            <w:vAlign w:val="center"/>
          </w:tcPr>
          <w:p>
            <w:pPr>
              <w:pStyle w:val="42"/>
            </w:pPr>
            <w:r>
              <w:rPr>
                <w:rFonts w:hint="eastAsia"/>
              </w:rPr>
              <w:t>0.33</w:t>
            </w:r>
          </w:p>
        </w:tc>
        <w:tc>
          <w:tcPr>
            <w:tcW w:w="381" w:type="pct"/>
            <w:vMerge w:val="restart"/>
            <w:shd w:val="clear" w:color="auto" w:fill="auto"/>
            <w:vAlign w:val="center"/>
          </w:tcPr>
          <w:p>
            <w:pPr>
              <w:pStyle w:val="42"/>
            </w:pPr>
            <w:r>
              <w:rPr>
                <w:rFonts w:hint="eastAsia"/>
              </w:rPr>
              <w:t>企业边界</w:t>
            </w:r>
          </w:p>
        </w:tc>
        <w:tc>
          <w:tcPr>
            <w:tcW w:w="613" w:type="pct"/>
            <w:shd w:val="clear" w:color="auto" w:fill="auto"/>
            <w:vAlign w:val="center"/>
          </w:tcPr>
          <w:p>
            <w:pPr>
              <w:pStyle w:val="42"/>
            </w:pPr>
            <w:r>
              <w:rPr>
                <w:rFonts w:hint="eastAsia"/>
              </w:rPr>
              <w:t>0.06</w:t>
            </w:r>
          </w:p>
        </w:tc>
        <w:tc>
          <w:tcPr>
            <w:tcW w:w="1276" w:type="pct"/>
            <w:vMerge w:val="restart"/>
            <w:shd w:val="clear" w:color="auto" w:fill="auto"/>
            <w:vAlign w:val="center"/>
          </w:tcPr>
          <w:p>
            <w:pPr>
              <w:pStyle w:val="42"/>
            </w:pPr>
            <w:r>
              <w:rPr>
                <w:rFonts w:hint="eastAsia"/>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rPr>
                <w:rFonts w:hint="eastAsia"/>
              </w:rPr>
              <w:t>氨</w:t>
            </w:r>
          </w:p>
        </w:tc>
        <w:tc>
          <w:tcPr>
            <w:tcW w:w="747" w:type="pct"/>
            <w:shd w:val="clear" w:color="auto" w:fill="auto"/>
            <w:vAlign w:val="center"/>
          </w:tcPr>
          <w:p>
            <w:pPr>
              <w:pStyle w:val="42"/>
            </w:pPr>
            <w:r>
              <w:rPr>
                <w:rFonts w:hint="eastAsia"/>
              </w:rPr>
              <w:t>/</w:t>
            </w:r>
          </w:p>
        </w:tc>
        <w:tc>
          <w:tcPr>
            <w:tcW w:w="610" w:type="pct"/>
            <w:shd w:val="clear" w:color="auto" w:fill="auto"/>
            <w:vAlign w:val="center"/>
          </w:tcPr>
          <w:p>
            <w:pPr>
              <w:pStyle w:val="42"/>
            </w:pPr>
            <w:r>
              <w:rPr>
                <w:rFonts w:hint="eastAsia"/>
              </w:rPr>
              <w:t>4.9</w:t>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rPr>
                <w:rFonts w:hint="eastAsia"/>
              </w:rPr>
              <w:t>1.5</w:t>
            </w:r>
          </w:p>
        </w:tc>
        <w:tc>
          <w:tcPr>
            <w:tcW w:w="1276"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695" w:type="pct"/>
            <w:vMerge w:val="continue"/>
            <w:shd w:val="clear" w:color="auto" w:fill="auto"/>
            <w:vAlign w:val="center"/>
          </w:tcPr>
          <w:p>
            <w:pPr>
              <w:pStyle w:val="42"/>
            </w:pPr>
          </w:p>
        </w:tc>
        <w:tc>
          <w:tcPr>
            <w:tcW w:w="678" w:type="pct"/>
            <w:shd w:val="clear" w:color="auto" w:fill="auto"/>
            <w:vAlign w:val="center"/>
          </w:tcPr>
          <w:p>
            <w:pPr>
              <w:pStyle w:val="42"/>
            </w:pPr>
            <w:r>
              <w:t>臭气浓度</w:t>
            </w:r>
          </w:p>
        </w:tc>
        <w:tc>
          <w:tcPr>
            <w:tcW w:w="747" w:type="pct"/>
            <w:shd w:val="clear" w:color="auto" w:fill="auto"/>
            <w:vAlign w:val="center"/>
          </w:tcPr>
          <w:p>
            <w:pPr>
              <w:pStyle w:val="42"/>
            </w:pPr>
            <w:r>
              <w:t>6000</w:t>
            </w:r>
          </w:p>
          <w:p>
            <w:pPr>
              <w:pStyle w:val="42"/>
            </w:pPr>
            <w:r>
              <w:t>（无量纲）</w:t>
            </w:r>
          </w:p>
        </w:tc>
        <w:tc>
          <w:tcPr>
            <w:tcW w:w="610" w:type="pct"/>
            <w:shd w:val="clear" w:color="auto" w:fill="auto"/>
            <w:vAlign w:val="center"/>
          </w:tcPr>
          <w:p>
            <w:pPr>
              <w:pStyle w:val="42"/>
            </w:pPr>
            <w:r>
              <w:rPr>
                <w:rFonts w:hint="eastAsia"/>
              </w:rPr>
              <w:t>/</w:t>
            </w:r>
          </w:p>
        </w:tc>
        <w:tc>
          <w:tcPr>
            <w:tcW w:w="381" w:type="pct"/>
            <w:vMerge w:val="continue"/>
            <w:shd w:val="clear" w:color="auto" w:fill="auto"/>
            <w:vAlign w:val="center"/>
          </w:tcPr>
          <w:p>
            <w:pPr>
              <w:pStyle w:val="42"/>
            </w:pPr>
          </w:p>
        </w:tc>
        <w:tc>
          <w:tcPr>
            <w:tcW w:w="613" w:type="pct"/>
            <w:shd w:val="clear" w:color="auto" w:fill="auto"/>
            <w:vAlign w:val="center"/>
          </w:tcPr>
          <w:p>
            <w:pPr>
              <w:pStyle w:val="42"/>
            </w:pPr>
            <w:r>
              <w:t>20（无量纲）</w:t>
            </w:r>
          </w:p>
        </w:tc>
        <w:tc>
          <w:tcPr>
            <w:tcW w:w="1276" w:type="pct"/>
            <w:vMerge w:val="continue"/>
            <w:shd w:val="clear" w:color="auto" w:fill="auto"/>
            <w:vAlign w:val="center"/>
          </w:tcPr>
          <w:p>
            <w:pPr>
              <w:pStyle w:val="42"/>
            </w:pPr>
          </w:p>
        </w:tc>
      </w:tr>
    </w:tbl>
    <w:p>
      <w:pPr>
        <w:pStyle w:val="41"/>
        <w:jc w:val="left"/>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本工程排气筒高度为60m，高于重庆市《大气污染物综合排放标准》（DB50/418-2016）列表中排气筒高度的最高值，本次评价采用“外推法”计算甲醇最高允许排放速率。</w:t>
      </w:r>
    </w:p>
    <w:p>
      <w:pPr>
        <w:ind w:firstLine="480"/>
      </w:pPr>
      <w:r>
        <w:rPr>
          <w:rFonts w:hint="eastAsia"/>
        </w:rPr>
        <w:t>（2）废水：拟建项目属于合成氨项目，废水集中收集在厂区废水处理站处理达标后排入园区污水处理厂，进一步深度处理达标后最终排入长江。厂区废水排放口执行《合成氨工业水污染物排放标准》（GB13458-2013）表2新建企业水污染物排放浓度限值（间接排放）和单位产品基准排水量；园区污水处理厂排水执行《化工园区主要水污染物排放标准》（DB50/457-2012）中表1标准规定（COD执行60mg/L），表1中未规定的指标执行《污水综合排放标准》（GB8978-1996）中一级标准，标准值详见下表1.5-6。</w:t>
      </w:r>
    </w:p>
    <w:p>
      <w:pPr>
        <w:pStyle w:val="41"/>
      </w:pPr>
      <w:r>
        <w:rPr>
          <w:rFonts w:hint="eastAsia"/>
        </w:rPr>
        <w:t>表1.5-6  废水排放标准  单位：mg/L</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510"/>
        <w:gridCol w:w="2835"/>
        <w:gridCol w:w="21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污染物名称</w:t>
            </w:r>
          </w:p>
        </w:tc>
        <w:tc>
          <w:tcPr>
            <w:tcW w:w="1663" w:type="pct"/>
            <w:vAlign w:val="center"/>
          </w:tcPr>
          <w:p>
            <w:pPr>
              <w:pStyle w:val="42"/>
            </w:pPr>
            <w:r>
              <w:t>企业排入园区污水处理厂污染物浓度限值</w:t>
            </w:r>
          </w:p>
        </w:tc>
        <w:tc>
          <w:tcPr>
            <w:tcW w:w="1277" w:type="pct"/>
            <w:tcBorders>
              <w:left w:val="single" w:color="auto" w:sz="4" w:space="0"/>
            </w:tcBorders>
            <w:shd w:val="clear" w:color="auto" w:fill="auto"/>
            <w:vAlign w:val="center"/>
          </w:tcPr>
          <w:p>
            <w:pPr>
              <w:pStyle w:val="42"/>
            </w:pPr>
            <w:r>
              <w:t>园区污水处理厂尾水排放标准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pH</w:t>
            </w:r>
          </w:p>
        </w:tc>
        <w:tc>
          <w:tcPr>
            <w:tcW w:w="1663" w:type="pct"/>
            <w:vAlign w:val="center"/>
          </w:tcPr>
          <w:p>
            <w:pPr>
              <w:pStyle w:val="42"/>
            </w:pPr>
            <w:r>
              <w:t>6~9</w:t>
            </w:r>
          </w:p>
        </w:tc>
        <w:tc>
          <w:tcPr>
            <w:tcW w:w="1277" w:type="pct"/>
            <w:tcBorders>
              <w:left w:val="single" w:color="auto" w:sz="4" w:space="0"/>
            </w:tcBorders>
            <w:vAlign w:val="center"/>
          </w:tcPr>
          <w:p>
            <w:pPr>
              <w:pStyle w:val="42"/>
            </w:pPr>
            <w: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COD</w:t>
            </w:r>
          </w:p>
        </w:tc>
        <w:tc>
          <w:tcPr>
            <w:tcW w:w="1663" w:type="pct"/>
            <w:vAlign w:val="center"/>
          </w:tcPr>
          <w:p>
            <w:pPr>
              <w:pStyle w:val="42"/>
            </w:pPr>
            <w:r>
              <w:rPr>
                <w:rFonts w:hint="eastAsia"/>
              </w:rPr>
              <w:t>200</w:t>
            </w:r>
          </w:p>
        </w:tc>
        <w:tc>
          <w:tcPr>
            <w:tcW w:w="1277" w:type="pct"/>
            <w:tcBorders>
              <w:left w:val="single" w:color="auto" w:sz="4" w:space="0"/>
            </w:tcBorders>
            <w:vAlign w:val="center"/>
          </w:tcPr>
          <w:p>
            <w:pPr>
              <w:pStyle w:val="42"/>
            </w:pPr>
            <w: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SS</w:t>
            </w:r>
          </w:p>
        </w:tc>
        <w:tc>
          <w:tcPr>
            <w:tcW w:w="1663" w:type="pct"/>
            <w:vAlign w:val="center"/>
          </w:tcPr>
          <w:p>
            <w:pPr>
              <w:pStyle w:val="42"/>
            </w:pPr>
            <w:r>
              <w:rPr>
                <w:rFonts w:hint="eastAsia"/>
              </w:rPr>
              <w:t>100</w:t>
            </w:r>
          </w:p>
        </w:tc>
        <w:tc>
          <w:tcPr>
            <w:tcW w:w="1277" w:type="pct"/>
            <w:tcBorders>
              <w:left w:val="single" w:color="auto" w:sz="4" w:space="0"/>
            </w:tcBorders>
            <w:vAlign w:val="center"/>
          </w:tcPr>
          <w:p>
            <w:pPr>
              <w:pStyle w:val="42"/>
            </w:pPr>
            <w: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BOD</w:t>
            </w:r>
            <w:r>
              <w:rPr>
                <w:vertAlign w:val="subscript"/>
              </w:rPr>
              <w:t>5</w:t>
            </w:r>
          </w:p>
        </w:tc>
        <w:tc>
          <w:tcPr>
            <w:tcW w:w="1663" w:type="pct"/>
            <w:vAlign w:val="center"/>
          </w:tcPr>
          <w:p>
            <w:pPr>
              <w:pStyle w:val="42"/>
            </w:pPr>
            <w:r>
              <w:rPr>
                <w:rFonts w:hint="eastAsia"/>
              </w:rPr>
              <w:t>--</w:t>
            </w:r>
          </w:p>
        </w:tc>
        <w:tc>
          <w:tcPr>
            <w:tcW w:w="1277" w:type="pct"/>
            <w:tcBorders>
              <w:left w:val="single" w:color="auto" w:sz="4" w:space="0"/>
            </w:tcBorders>
            <w:vAlign w:val="center"/>
          </w:tcPr>
          <w:p>
            <w:pPr>
              <w:pStyle w:val="42"/>
            </w:pPr>
            <w: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t>NH</w:t>
            </w:r>
            <w:r>
              <w:rPr>
                <w:vertAlign w:val="subscript"/>
              </w:rPr>
              <w:t>3</w:t>
            </w:r>
            <w:r>
              <w:t>-N</w:t>
            </w:r>
          </w:p>
        </w:tc>
        <w:tc>
          <w:tcPr>
            <w:tcW w:w="1663" w:type="pct"/>
            <w:vAlign w:val="center"/>
          </w:tcPr>
          <w:p>
            <w:pPr>
              <w:pStyle w:val="42"/>
            </w:pPr>
            <w:r>
              <w:rPr>
                <w:rFonts w:hint="eastAsia"/>
              </w:rPr>
              <w:t>50</w:t>
            </w:r>
          </w:p>
        </w:tc>
        <w:tc>
          <w:tcPr>
            <w:tcW w:w="1277" w:type="pct"/>
            <w:tcBorders>
              <w:left w:val="single" w:color="auto" w:sz="4" w:space="0"/>
            </w:tcBorders>
            <w:vAlign w:val="center"/>
          </w:tcPr>
          <w:p>
            <w:pPr>
              <w:pStyle w:val="42"/>
            </w:pPr>
            <w: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rPr>
                <w:rFonts w:hint="eastAsia"/>
              </w:rPr>
              <w:t>TN</w:t>
            </w:r>
          </w:p>
        </w:tc>
        <w:tc>
          <w:tcPr>
            <w:tcW w:w="1663" w:type="pct"/>
            <w:vAlign w:val="center"/>
          </w:tcPr>
          <w:p>
            <w:pPr>
              <w:pStyle w:val="42"/>
            </w:pPr>
            <w:r>
              <w:rPr>
                <w:rFonts w:hint="eastAsia"/>
              </w:rPr>
              <w:t>60</w:t>
            </w:r>
          </w:p>
        </w:tc>
        <w:tc>
          <w:tcPr>
            <w:tcW w:w="1277" w:type="pct"/>
            <w:tcBorders>
              <w:left w:val="single" w:color="auto" w:sz="4" w:space="0"/>
            </w:tcBorders>
            <w:vAlign w:val="center"/>
          </w:tcPr>
          <w:p>
            <w:pPr>
              <w:pStyle w:val="42"/>
            </w:pPr>
            <w:r>
              <w:rPr>
                <w:rFonts w:hint="eastAsia"/>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rPr>
                <w:rFonts w:hint="eastAsia"/>
              </w:rPr>
              <w:t>TP</w:t>
            </w:r>
          </w:p>
        </w:tc>
        <w:tc>
          <w:tcPr>
            <w:tcW w:w="1663" w:type="pct"/>
            <w:vAlign w:val="center"/>
          </w:tcPr>
          <w:p>
            <w:pPr>
              <w:pStyle w:val="42"/>
            </w:pPr>
            <w:r>
              <w:rPr>
                <w:rFonts w:hint="eastAsia"/>
              </w:rPr>
              <w:t>1.5</w:t>
            </w:r>
          </w:p>
        </w:tc>
        <w:tc>
          <w:tcPr>
            <w:tcW w:w="1277" w:type="pct"/>
            <w:tcBorders>
              <w:left w:val="single" w:color="auto" w:sz="4" w:space="0"/>
            </w:tcBorders>
            <w:vAlign w:val="center"/>
          </w:tcPr>
          <w:p>
            <w:pPr>
              <w:pStyle w:val="42"/>
            </w:pPr>
            <w:r>
              <w:rPr>
                <w:rFonts w:hint="eastAsia"/>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rPr>
                <w:rFonts w:hint="eastAsia"/>
              </w:rPr>
              <w:t>石油类</w:t>
            </w:r>
          </w:p>
        </w:tc>
        <w:tc>
          <w:tcPr>
            <w:tcW w:w="1663" w:type="pct"/>
            <w:vAlign w:val="center"/>
          </w:tcPr>
          <w:p>
            <w:pPr>
              <w:pStyle w:val="42"/>
            </w:pPr>
            <w:r>
              <w:rPr>
                <w:rFonts w:hint="eastAsia"/>
              </w:rPr>
              <w:t>3</w:t>
            </w:r>
          </w:p>
        </w:tc>
        <w:tc>
          <w:tcPr>
            <w:tcW w:w="1277" w:type="pct"/>
            <w:tcBorders>
              <w:left w:val="single" w:color="auto" w:sz="4" w:space="0"/>
            </w:tcBorders>
            <w:vAlign w:val="center"/>
          </w:tcPr>
          <w:p>
            <w:pPr>
              <w:pStyle w:val="42"/>
            </w:pPr>
            <w:r>
              <w:rPr>
                <w:rFonts w:hint="eastAsi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059" w:type="pct"/>
            <w:vAlign w:val="center"/>
          </w:tcPr>
          <w:p>
            <w:pPr>
              <w:pStyle w:val="42"/>
            </w:pPr>
            <w:r>
              <w:rPr>
                <w:rFonts w:hint="eastAsia"/>
              </w:rPr>
              <w:t>单位产品基准排水量（m</w:t>
            </w:r>
            <w:r>
              <w:rPr>
                <w:rFonts w:hint="eastAsia"/>
                <w:vertAlign w:val="superscript"/>
              </w:rPr>
              <w:t>3</w:t>
            </w:r>
            <w:r>
              <w:rPr>
                <w:rFonts w:hint="eastAsia"/>
              </w:rPr>
              <w:t>/t氨）</w:t>
            </w:r>
          </w:p>
        </w:tc>
        <w:tc>
          <w:tcPr>
            <w:tcW w:w="1663" w:type="pct"/>
            <w:vAlign w:val="center"/>
          </w:tcPr>
          <w:p>
            <w:pPr>
              <w:pStyle w:val="42"/>
            </w:pPr>
            <w:r>
              <w:rPr>
                <w:rFonts w:hint="eastAsia"/>
              </w:rPr>
              <w:t>10</w:t>
            </w:r>
          </w:p>
        </w:tc>
        <w:tc>
          <w:tcPr>
            <w:tcW w:w="1277" w:type="pct"/>
            <w:tcBorders>
              <w:left w:val="single" w:color="auto" w:sz="4" w:space="0"/>
            </w:tcBorders>
            <w:vAlign w:val="center"/>
          </w:tcPr>
          <w:p>
            <w:pPr>
              <w:pStyle w:val="42"/>
            </w:pPr>
            <w:r>
              <w:rPr>
                <w:rFonts w:hint="eastAsia"/>
              </w:rPr>
              <w:t>/</w:t>
            </w:r>
          </w:p>
        </w:tc>
      </w:tr>
    </w:tbl>
    <w:p>
      <w:pPr>
        <w:ind w:firstLine="480"/>
      </w:pPr>
      <w:r>
        <w:rPr>
          <w:rFonts w:hint="eastAsia"/>
        </w:rPr>
        <w:t>（3）噪声：根据《重庆市环境保护局关于修正城市区域环境噪声标准适用区域划分规定调整方案有关内容的通知》渝环发[2007]78号划定要求，拟建项目各厂界噪声执行《工业企业厂界环境噪声排放标准》（GB12348-2008）3类标准，见表1.5-7。</w:t>
      </w:r>
    </w:p>
    <w:p>
      <w:pPr>
        <w:pStyle w:val="42"/>
      </w:pPr>
      <w:r>
        <w:rPr>
          <w:rFonts w:hint="eastAsia"/>
        </w:rPr>
        <w:t>表1.5-7  噪声排放标准    Leq[dB (A)]</w:t>
      </w:r>
    </w:p>
    <w:tbl>
      <w:tblPr>
        <w:tblStyle w:val="3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40"/>
        <w:gridCol w:w="1168"/>
        <w:gridCol w:w="1019"/>
        <w:gridCol w:w="45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021" w:type="pct"/>
            <w:vAlign w:val="center"/>
          </w:tcPr>
          <w:p>
            <w:pPr>
              <w:pStyle w:val="42"/>
            </w:pPr>
            <w:r>
              <w:t>适用区域</w:t>
            </w:r>
          </w:p>
        </w:tc>
        <w:tc>
          <w:tcPr>
            <w:tcW w:w="685" w:type="pct"/>
            <w:vAlign w:val="center"/>
          </w:tcPr>
          <w:p>
            <w:pPr>
              <w:pStyle w:val="42"/>
            </w:pPr>
            <w:r>
              <w:t>昼间</w:t>
            </w:r>
          </w:p>
        </w:tc>
        <w:tc>
          <w:tcPr>
            <w:tcW w:w="598" w:type="pct"/>
            <w:vAlign w:val="center"/>
          </w:tcPr>
          <w:p>
            <w:pPr>
              <w:pStyle w:val="42"/>
            </w:pPr>
            <w:r>
              <w:t>夜间</w:t>
            </w:r>
          </w:p>
        </w:tc>
        <w:tc>
          <w:tcPr>
            <w:tcW w:w="2696" w:type="pct"/>
            <w:vAlign w:val="center"/>
          </w:tcPr>
          <w:p>
            <w:pPr>
              <w:pStyle w:val="42"/>
            </w:pPr>
            <w:r>
              <w:t>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 w:hRule="atLeast"/>
        </w:trPr>
        <w:tc>
          <w:tcPr>
            <w:tcW w:w="1021" w:type="pct"/>
            <w:vAlign w:val="center"/>
          </w:tcPr>
          <w:p>
            <w:pPr>
              <w:pStyle w:val="42"/>
            </w:pPr>
            <w:r>
              <w:rPr>
                <w:rFonts w:hint="eastAsia"/>
              </w:rPr>
              <w:t>各</w:t>
            </w:r>
            <w:r>
              <w:t>厂界</w:t>
            </w:r>
          </w:p>
        </w:tc>
        <w:tc>
          <w:tcPr>
            <w:tcW w:w="685" w:type="pct"/>
            <w:vAlign w:val="center"/>
          </w:tcPr>
          <w:p>
            <w:pPr>
              <w:pStyle w:val="42"/>
            </w:pPr>
            <w:r>
              <w:t>65</w:t>
            </w:r>
          </w:p>
        </w:tc>
        <w:tc>
          <w:tcPr>
            <w:tcW w:w="598" w:type="pct"/>
            <w:vAlign w:val="center"/>
          </w:tcPr>
          <w:p>
            <w:pPr>
              <w:pStyle w:val="42"/>
            </w:pPr>
            <w:r>
              <w:t>55</w:t>
            </w:r>
          </w:p>
        </w:tc>
        <w:tc>
          <w:tcPr>
            <w:tcW w:w="2696" w:type="pct"/>
            <w:vAlign w:val="center"/>
          </w:tcPr>
          <w:p>
            <w:pPr>
              <w:pStyle w:val="42"/>
            </w:pPr>
            <w:r>
              <w:t>《工业企业厂界环境噪声排放标准》3类标准</w:t>
            </w:r>
          </w:p>
        </w:tc>
      </w:tr>
    </w:tbl>
    <w:p>
      <w:pPr>
        <w:ind w:firstLine="480"/>
      </w:pPr>
      <w:r>
        <w:rPr>
          <w:rFonts w:hint="eastAsia"/>
        </w:rPr>
        <w:t>（4）固体废物：一般工业固体废物执行《一般工业固体废物贮存和填埋污染控制标准》（GB18599-2020），危险废物执行《危险废物贮存污染控制标准》（GB18597-2001）和《危险废物收集贮存运输技术规范》（HJ2025-2012）中的有关规定。</w:t>
      </w:r>
    </w:p>
    <w:p>
      <w:pPr>
        <w:ind w:firstLine="480"/>
      </w:pPr>
      <w:r>
        <w:rPr>
          <w:rFonts w:hint="eastAsia"/>
        </w:rPr>
        <w:t>（5）环境风险：根据《建设项目环境风险评价技术导则》（HJ169-2018），拟建项目涉及的化学品临界量详见下表1.5-8；毒性终点浓度详见下表1.5-9。</w:t>
      </w:r>
    </w:p>
    <w:p>
      <w:pPr>
        <w:pStyle w:val="41"/>
      </w:pPr>
      <w:r>
        <w:rPr>
          <w:rFonts w:hint="eastAsia"/>
        </w:rPr>
        <w:t>表1.5-8  突发环境事件风险物质及临界量</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94"/>
        <w:gridCol w:w="4118"/>
        <w:gridCol w:w="1699"/>
        <w:gridCol w:w="16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t>序号</w:t>
            </w:r>
          </w:p>
        </w:tc>
        <w:tc>
          <w:tcPr>
            <w:tcW w:w="2416" w:type="pct"/>
            <w:vAlign w:val="center"/>
          </w:tcPr>
          <w:p>
            <w:pPr>
              <w:pStyle w:val="42"/>
            </w:pPr>
            <w:r>
              <w:t>物质名称</w:t>
            </w:r>
          </w:p>
        </w:tc>
        <w:tc>
          <w:tcPr>
            <w:tcW w:w="997" w:type="pct"/>
            <w:vAlign w:val="center"/>
          </w:tcPr>
          <w:p>
            <w:pPr>
              <w:pStyle w:val="42"/>
            </w:pPr>
            <w:r>
              <w:t>CAS号</w:t>
            </w:r>
          </w:p>
        </w:tc>
        <w:tc>
          <w:tcPr>
            <w:tcW w:w="945" w:type="pct"/>
            <w:vAlign w:val="center"/>
          </w:tcPr>
          <w:p>
            <w:pPr>
              <w:pStyle w:val="42"/>
            </w:pPr>
            <w:r>
              <w:t>临界量（t）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t>1</w:t>
            </w:r>
          </w:p>
        </w:tc>
        <w:tc>
          <w:tcPr>
            <w:tcW w:w="2416" w:type="pct"/>
            <w:vAlign w:val="center"/>
          </w:tcPr>
          <w:p>
            <w:pPr>
              <w:pStyle w:val="42"/>
            </w:pPr>
            <w:r>
              <w:rPr>
                <w:rFonts w:hint="eastAsia"/>
              </w:rPr>
              <w:t>甲烷</w:t>
            </w:r>
          </w:p>
        </w:tc>
        <w:tc>
          <w:tcPr>
            <w:tcW w:w="997" w:type="pct"/>
            <w:vAlign w:val="center"/>
          </w:tcPr>
          <w:p>
            <w:pPr>
              <w:pStyle w:val="42"/>
            </w:pPr>
            <w:r>
              <w:t>74-82-8</w:t>
            </w:r>
          </w:p>
        </w:tc>
        <w:tc>
          <w:tcPr>
            <w:tcW w:w="945" w:type="pct"/>
            <w:vAlign w:val="center"/>
          </w:tcPr>
          <w:p>
            <w:pPr>
              <w:pStyle w:val="42"/>
            </w:pPr>
            <w:r>
              <w:rPr>
                <w:rFonts w:hint="eastAsia"/>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t>2</w:t>
            </w:r>
          </w:p>
        </w:tc>
        <w:tc>
          <w:tcPr>
            <w:tcW w:w="2416" w:type="pct"/>
            <w:vAlign w:val="center"/>
          </w:tcPr>
          <w:p>
            <w:pPr>
              <w:pStyle w:val="42"/>
            </w:pPr>
            <w:r>
              <w:rPr>
                <w:rFonts w:hint="eastAsia"/>
              </w:rPr>
              <w:t>氨气</w:t>
            </w:r>
          </w:p>
        </w:tc>
        <w:tc>
          <w:tcPr>
            <w:tcW w:w="997" w:type="pct"/>
            <w:vAlign w:val="center"/>
          </w:tcPr>
          <w:p>
            <w:pPr>
              <w:pStyle w:val="42"/>
            </w:pPr>
            <w:r>
              <w:t>7664-41-7</w:t>
            </w:r>
          </w:p>
        </w:tc>
        <w:tc>
          <w:tcPr>
            <w:tcW w:w="945" w:type="pct"/>
            <w:vAlign w:val="center"/>
          </w:tcPr>
          <w:p>
            <w:pPr>
              <w:pStyle w:val="42"/>
            </w:pPr>
            <w:r>
              <w:rPr>
                <w:rFonts w:hint="eastAsia"/>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t>3</w:t>
            </w:r>
          </w:p>
        </w:tc>
        <w:tc>
          <w:tcPr>
            <w:tcW w:w="2416" w:type="pct"/>
            <w:vAlign w:val="center"/>
          </w:tcPr>
          <w:p>
            <w:pPr>
              <w:pStyle w:val="42"/>
            </w:pPr>
            <w:r>
              <w:rPr>
                <w:rFonts w:hint="eastAsia"/>
              </w:rPr>
              <w:t>氨水（浓度</w:t>
            </w:r>
            <w:r>
              <w:rPr>
                <w:rFonts w:hint="eastAsia" w:ascii="宋体" w:hAnsi="宋体"/>
              </w:rPr>
              <w:t>≥</w:t>
            </w:r>
            <w:r>
              <w:rPr>
                <w:rFonts w:hint="eastAsia"/>
              </w:rPr>
              <w:t>20%）</w:t>
            </w:r>
          </w:p>
        </w:tc>
        <w:tc>
          <w:tcPr>
            <w:tcW w:w="997" w:type="pct"/>
            <w:vAlign w:val="center"/>
          </w:tcPr>
          <w:p>
            <w:pPr>
              <w:pStyle w:val="42"/>
            </w:pPr>
            <w:r>
              <w:t>1336-21-6</w:t>
            </w:r>
          </w:p>
        </w:tc>
        <w:tc>
          <w:tcPr>
            <w:tcW w:w="945" w:type="pct"/>
            <w:vAlign w:val="center"/>
          </w:tcPr>
          <w:p>
            <w:pPr>
              <w:pStyle w:val="42"/>
            </w:pPr>
            <w:r>
              <w:rPr>
                <w:rFonts w:hint="eastAsia"/>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rPr>
                <w:rFonts w:hint="eastAsia"/>
              </w:rPr>
              <w:t>4</w:t>
            </w:r>
          </w:p>
        </w:tc>
        <w:tc>
          <w:tcPr>
            <w:tcW w:w="2416" w:type="pct"/>
            <w:vAlign w:val="center"/>
          </w:tcPr>
          <w:p>
            <w:pPr>
              <w:pStyle w:val="42"/>
            </w:pPr>
            <w:r>
              <w:rPr>
                <w:rFonts w:hint="eastAsia"/>
              </w:rPr>
              <w:t>甲醇</w:t>
            </w:r>
          </w:p>
        </w:tc>
        <w:tc>
          <w:tcPr>
            <w:tcW w:w="997" w:type="pct"/>
            <w:vAlign w:val="center"/>
          </w:tcPr>
          <w:p>
            <w:pPr>
              <w:pStyle w:val="42"/>
            </w:pPr>
            <w:r>
              <w:t>67-56-1</w:t>
            </w:r>
          </w:p>
        </w:tc>
        <w:tc>
          <w:tcPr>
            <w:tcW w:w="945" w:type="pct"/>
            <w:vAlign w:val="center"/>
          </w:tcPr>
          <w:p>
            <w:pPr>
              <w:pStyle w:val="42"/>
            </w:pPr>
            <w:r>
              <w:rPr>
                <w:rFonts w:hint="eastAsia"/>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42" w:type="pct"/>
            <w:vAlign w:val="center"/>
          </w:tcPr>
          <w:p>
            <w:pPr>
              <w:pStyle w:val="42"/>
            </w:pPr>
            <w:r>
              <w:rPr>
                <w:rFonts w:hint="eastAsia"/>
              </w:rPr>
              <w:t>5</w:t>
            </w:r>
          </w:p>
        </w:tc>
        <w:tc>
          <w:tcPr>
            <w:tcW w:w="2416" w:type="pct"/>
            <w:vAlign w:val="center"/>
          </w:tcPr>
          <w:p>
            <w:pPr>
              <w:pStyle w:val="42"/>
            </w:pPr>
            <w:r>
              <w:rPr>
                <w:rFonts w:hint="eastAsia"/>
              </w:rPr>
              <w:t>一氧化碳</w:t>
            </w:r>
          </w:p>
        </w:tc>
        <w:tc>
          <w:tcPr>
            <w:tcW w:w="997" w:type="pct"/>
            <w:vAlign w:val="center"/>
          </w:tcPr>
          <w:p>
            <w:pPr>
              <w:pStyle w:val="42"/>
            </w:pPr>
            <w:r>
              <w:t>630-08-0</w:t>
            </w:r>
          </w:p>
        </w:tc>
        <w:tc>
          <w:tcPr>
            <w:tcW w:w="945" w:type="pct"/>
            <w:vAlign w:val="center"/>
          </w:tcPr>
          <w:p>
            <w:pPr>
              <w:pStyle w:val="42"/>
            </w:pPr>
            <w:r>
              <w:rPr>
                <w:rFonts w:hint="eastAsia"/>
              </w:rPr>
              <w:t>7.5</w:t>
            </w:r>
          </w:p>
        </w:tc>
      </w:tr>
    </w:tbl>
    <w:p>
      <w:pPr>
        <w:pStyle w:val="41"/>
      </w:pPr>
      <w:r>
        <w:rPr>
          <w:rFonts w:hint="eastAsia"/>
        </w:rPr>
        <w:t>表1.5-9 危险物质大气毒性终点浓度值</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7"/>
        <w:gridCol w:w="2125"/>
        <w:gridCol w:w="1560"/>
        <w:gridCol w:w="2125"/>
        <w:gridCol w:w="2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7" w:type="pct"/>
            <w:vAlign w:val="center"/>
          </w:tcPr>
          <w:p>
            <w:pPr>
              <w:pStyle w:val="42"/>
            </w:pPr>
            <w:r>
              <w:t>序号</w:t>
            </w:r>
          </w:p>
        </w:tc>
        <w:tc>
          <w:tcPr>
            <w:tcW w:w="1247" w:type="pct"/>
            <w:vAlign w:val="center"/>
          </w:tcPr>
          <w:p>
            <w:pPr>
              <w:pStyle w:val="42"/>
            </w:pPr>
            <w:r>
              <w:t>物质名称</w:t>
            </w:r>
          </w:p>
        </w:tc>
        <w:tc>
          <w:tcPr>
            <w:tcW w:w="915" w:type="pct"/>
            <w:vAlign w:val="center"/>
          </w:tcPr>
          <w:p>
            <w:pPr>
              <w:pStyle w:val="42"/>
            </w:pPr>
            <w:r>
              <w:t>CAS号</w:t>
            </w:r>
          </w:p>
        </w:tc>
        <w:tc>
          <w:tcPr>
            <w:tcW w:w="1247" w:type="pct"/>
            <w:vAlign w:val="center"/>
          </w:tcPr>
          <w:p>
            <w:pPr>
              <w:pStyle w:val="42"/>
            </w:pPr>
            <w:r>
              <w:t>毒性终点浓度-1/（mg/m</w:t>
            </w:r>
            <w:r>
              <w:rPr>
                <w:vertAlign w:val="superscript"/>
              </w:rPr>
              <w:t>3</w:t>
            </w:r>
            <w:r>
              <w:t>）</w:t>
            </w:r>
          </w:p>
        </w:tc>
        <w:tc>
          <w:tcPr>
            <w:tcW w:w="1194" w:type="pct"/>
            <w:vAlign w:val="center"/>
          </w:tcPr>
          <w:p>
            <w:pPr>
              <w:pStyle w:val="42"/>
            </w:pPr>
            <w:r>
              <w:t>毒性终点浓度-2/（mg/m</w:t>
            </w:r>
            <w:r>
              <w:rPr>
                <w:vertAlign w:val="superscript"/>
              </w:rPr>
              <w:t>3</w:t>
            </w:r>
            <w: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7" w:type="pct"/>
            <w:vAlign w:val="center"/>
          </w:tcPr>
          <w:p>
            <w:pPr>
              <w:pStyle w:val="42"/>
            </w:pPr>
            <w:r>
              <w:t>1</w:t>
            </w:r>
          </w:p>
        </w:tc>
        <w:tc>
          <w:tcPr>
            <w:tcW w:w="1247" w:type="pct"/>
            <w:vAlign w:val="center"/>
          </w:tcPr>
          <w:p>
            <w:pPr>
              <w:pStyle w:val="42"/>
            </w:pPr>
            <w:r>
              <w:t>甲醇</w:t>
            </w:r>
          </w:p>
        </w:tc>
        <w:tc>
          <w:tcPr>
            <w:tcW w:w="915" w:type="pct"/>
            <w:vAlign w:val="center"/>
          </w:tcPr>
          <w:p>
            <w:pPr>
              <w:pStyle w:val="42"/>
            </w:pPr>
            <w:r>
              <w:t>67-56-1</w:t>
            </w:r>
          </w:p>
        </w:tc>
        <w:tc>
          <w:tcPr>
            <w:tcW w:w="1247" w:type="pct"/>
            <w:vAlign w:val="center"/>
          </w:tcPr>
          <w:p>
            <w:pPr>
              <w:pStyle w:val="42"/>
            </w:pPr>
            <w:r>
              <w:t>9400</w:t>
            </w:r>
          </w:p>
        </w:tc>
        <w:tc>
          <w:tcPr>
            <w:tcW w:w="1194" w:type="pct"/>
            <w:vAlign w:val="center"/>
          </w:tcPr>
          <w:p>
            <w:pPr>
              <w:pStyle w:val="42"/>
            </w:pPr>
            <w:r>
              <w:t>2700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7" w:type="pct"/>
            <w:vAlign w:val="center"/>
          </w:tcPr>
          <w:p>
            <w:pPr>
              <w:pStyle w:val="42"/>
            </w:pPr>
            <w:r>
              <w:t>2</w:t>
            </w:r>
          </w:p>
        </w:tc>
        <w:tc>
          <w:tcPr>
            <w:tcW w:w="1247" w:type="pct"/>
            <w:vAlign w:val="center"/>
          </w:tcPr>
          <w:p>
            <w:pPr>
              <w:pStyle w:val="42"/>
            </w:pPr>
            <w:r>
              <w:rPr>
                <w:rFonts w:hint="eastAsia"/>
              </w:rPr>
              <w:t>氨气</w:t>
            </w:r>
          </w:p>
        </w:tc>
        <w:tc>
          <w:tcPr>
            <w:tcW w:w="915" w:type="pct"/>
            <w:vAlign w:val="center"/>
          </w:tcPr>
          <w:p>
            <w:pPr>
              <w:pStyle w:val="42"/>
            </w:pPr>
            <w:r>
              <w:t>7664-41-7</w:t>
            </w:r>
          </w:p>
        </w:tc>
        <w:tc>
          <w:tcPr>
            <w:tcW w:w="1247" w:type="pct"/>
            <w:vAlign w:val="center"/>
          </w:tcPr>
          <w:p>
            <w:pPr>
              <w:pStyle w:val="42"/>
            </w:pPr>
            <w:r>
              <w:rPr>
                <w:rFonts w:hint="eastAsia"/>
              </w:rPr>
              <w:t>770</w:t>
            </w:r>
          </w:p>
        </w:tc>
        <w:tc>
          <w:tcPr>
            <w:tcW w:w="1194" w:type="pct"/>
            <w:vAlign w:val="center"/>
          </w:tcPr>
          <w:p>
            <w:pPr>
              <w:pStyle w:val="42"/>
            </w:pPr>
            <w:r>
              <w:rPr>
                <w:rFonts w:hint="eastAsia"/>
              </w:rPr>
              <w:t>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7" w:type="pct"/>
            <w:vAlign w:val="center"/>
          </w:tcPr>
          <w:p>
            <w:pPr>
              <w:pStyle w:val="42"/>
            </w:pPr>
            <w:r>
              <w:t>3</w:t>
            </w:r>
          </w:p>
        </w:tc>
        <w:tc>
          <w:tcPr>
            <w:tcW w:w="1247" w:type="pct"/>
            <w:vAlign w:val="center"/>
          </w:tcPr>
          <w:p>
            <w:pPr>
              <w:pStyle w:val="42"/>
            </w:pPr>
            <w:r>
              <w:rPr>
                <w:rFonts w:hint="eastAsia"/>
              </w:rPr>
              <w:t>甲烷</w:t>
            </w:r>
          </w:p>
        </w:tc>
        <w:tc>
          <w:tcPr>
            <w:tcW w:w="915" w:type="pct"/>
            <w:vAlign w:val="center"/>
          </w:tcPr>
          <w:p>
            <w:pPr>
              <w:pStyle w:val="42"/>
            </w:pPr>
            <w:r>
              <w:t>74-82-8</w:t>
            </w:r>
          </w:p>
        </w:tc>
        <w:tc>
          <w:tcPr>
            <w:tcW w:w="1247" w:type="pct"/>
            <w:vAlign w:val="center"/>
          </w:tcPr>
          <w:p>
            <w:pPr>
              <w:pStyle w:val="42"/>
            </w:pPr>
            <w:r>
              <w:rPr>
                <w:rFonts w:hint="eastAsia"/>
              </w:rPr>
              <w:t>260000</w:t>
            </w:r>
          </w:p>
        </w:tc>
        <w:tc>
          <w:tcPr>
            <w:tcW w:w="1194" w:type="pct"/>
            <w:vAlign w:val="center"/>
          </w:tcPr>
          <w:p>
            <w:pPr>
              <w:pStyle w:val="42"/>
            </w:pPr>
            <w:r>
              <w:rPr>
                <w:rFonts w:hint="eastAsia"/>
              </w:rPr>
              <w:t>150000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7" w:type="pct"/>
            <w:vAlign w:val="center"/>
          </w:tcPr>
          <w:p>
            <w:pPr>
              <w:pStyle w:val="42"/>
            </w:pPr>
            <w:r>
              <w:rPr>
                <w:rFonts w:hint="eastAsia"/>
              </w:rPr>
              <w:t>4</w:t>
            </w:r>
          </w:p>
        </w:tc>
        <w:tc>
          <w:tcPr>
            <w:tcW w:w="1247" w:type="pct"/>
            <w:vAlign w:val="center"/>
          </w:tcPr>
          <w:p>
            <w:pPr>
              <w:pStyle w:val="42"/>
            </w:pPr>
            <w:r>
              <w:t>一氧化碳</w:t>
            </w:r>
          </w:p>
        </w:tc>
        <w:tc>
          <w:tcPr>
            <w:tcW w:w="915" w:type="pct"/>
            <w:vAlign w:val="center"/>
          </w:tcPr>
          <w:p>
            <w:pPr>
              <w:pStyle w:val="42"/>
            </w:pPr>
            <w:r>
              <w:t>630-08-0</w:t>
            </w:r>
          </w:p>
        </w:tc>
        <w:tc>
          <w:tcPr>
            <w:tcW w:w="1247" w:type="pct"/>
            <w:vAlign w:val="center"/>
          </w:tcPr>
          <w:p>
            <w:pPr>
              <w:pStyle w:val="42"/>
            </w:pPr>
            <w:r>
              <w:t>380</w:t>
            </w:r>
          </w:p>
        </w:tc>
        <w:tc>
          <w:tcPr>
            <w:tcW w:w="1194" w:type="pct"/>
            <w:vAlign w:val="center"/>
          </w:tcPr>
          <w:p>
            <w:pPr>
              <w:pStyle w:val="42"/>
            </w:pPr>
            <w:r>
              <w:t>95</w:t>
            </w:r>
          </w:p>
        </w:tc>
      </w:tr>
    </w:tbl>
    <w:p>
      <w:pPr>
        <w:pStyle w:val="3"/>
        <w:spacing w:before="156" w:after="156"/>
      </w:pPr>
      <w:bookmarkStart w:id="28" w:name="_Toc84844210"/>
      <w:r>
        <w:rPr>
          <w:rFonts w:hint="eastAsia"/>
        </w:rPr>
        <w:t>1.6 评价等级及评价范围</w:t>
      </w:r>
      <w:bookmarkEnd w:id="28"/>
    </w:p>
    <w:p>
      <w:pPr>
        <w:pStyle w:val="4"/>
        <w:spacing w:before="156" w:after="156"/>
      </w:pPr>
      <w:bookmarkStart w:id="29" w:name="_Toc84844211"/>
      <w:r>
        <w:rPr>
          <w:rFonts w:hint="eastAsia"/>
        </w:rPr>
        <w:t>1.6.1评价等级</w:t>
      </w:r>
      <w:bookmarkEnd w:id="29"/>
    </w:p>
    <w:p>
      <w:pPr>
        <w:ind w:firstLine="480"/>
      </w:pPr>
      <w:r>
        <w:rPr>
          <w:rFonts w:hint="eastAsia"/>
        </w:rPr>
        <w:t>（1）环境空气：根据初步工程分析，拟建项目评价因子为甲苯、氯化氢、甲醇、NMHC、TVOC和颗粒物等，根据《环境影响评价技术导则大气环境》（HJ2.2-2018）对大气环境影响评价工作级别进行判定。评价等级确定依据见表1.6.1-1。</w:t>
      </w:r>
    </w:p>
    <w:p>
      <w:pPr>
        <w:ind w:firstLine="480"/>
      </w:pPr>
      <w:r>
        <w:rPr>
          <w:rFonts w:hint="eastAsia"/>
        </w:rPr>
        <w:t>采用导则推荐的AERSCREEN模型，分别计算每一种污染物的最大地面浓度占标率P</w:t>
      </w:r>
      <w:r>
        <w:rPr>
          <w:rFonts w:hint="eastAsia"/>
          <w:vertAlign w:val="subscript"/>
        </w:rPr>
        <w:t>i</w:t>
      </w:r>
      <w:r>
        <w:rPr>
          <w:rFonts w:hint="eastAsia"/>
        </w:rPr>
        <w:t>（第i个污染物），及第i个污染物的地面浓度达标准限值10%时所对应的最远距离D10%。其中Pi定义为：</w:t>
      </w:r>
    </w:p>
    <w:p>
      <w:pPr>
        <w:ind w:firstLine="480"/>
      </w:pPr>
      <w:r>
        <w:t>P</w:t>
      </w:r>
      <w:r>
        <w:rPr>
          <w:vertAlign w:val="subscript"/>
        </w:rPr>
        <w:t>i</w:t>
      </w:r>
      <w:r>
        <w:t>=C</w:t>
      </w:r>
      <w:r>
        <w:rPr>
          <w:vertAlign w:val="subscript"/>
        </w:rPr>
        <w:t>i</w:t>
      </w:r>
      <w:r>
        <w:t>/C</w:t>
      </w:r>
      <w:r>
        <w:rPr>
          <w:vertAlign w:val="subscript"/>
        </w:rPr>
        <w:t>0i</w:t>
      </w:r>
      <w:r>
        <w:t>×100%</w:t>
      </w:r>
    </w:p>
    <w:p>
      <w:pPr>
        <w:ind w:firstLine="480"/>
      </w:pPr>
      <w:r>
        <w:rPr>
          <w:rFonts w:hint="eastAsia"/>
        </w:rPr>
        <w:t>式中：P</w:t>
      </w:r>
      <w:r>
        <w:rPr>
          <w:rFonts w:hint="eastAsia"/>
          <w:vertAlign w:val="subscript"/>
        </w:rPr>
        <w:t>i</w:t>
      </w:r>
      <w:r>
        <w:rPr>
          <w:rFonts w:hint="eastAsia"/>
        </w:rPr>
        <w:t xml:space="preserve"> -第i个污染物的最大地面浓度占标率，%；</w:t>
      </w:r>
    </w:p>
    <w:p>
      <w:pPr>
        <w:ind w:firstLine="1200" w:firstLineChars="500"/>
      </w:pPr>
      <w:r>
        <w:rPr>
          <w:rFonts w:hint="eastAsia"/>
        </w:rPr>
        <w:t>C</w:t>
      </w:r>
      <w:r>
        <w:rPr>
          <w:rFonts w:hint="eastAsia"/>
          <w:vertAlign w:val="subscript"/>
        </w:rPr>
        <w:t>i</w:t>
      </w:r>
      <w:r>
        <w:rPr>
          <w:rFonts w:hint="eastAsia"/>
        </w:rPr>
        <w:t xml:space="preserve"> -采用估算模式计算出的第个污染物的最大地面浓度，mg/m</w:t>
      </w:r>
      <w:r>
        <w:rPr>
          <w:rFonts w:hint="eastAsia"/>
          <w:vertAlign w:val="superscript"/>
        </w:rPr>
        <w:t>3</w:t>
      </w:r>
      <w:r>
        <w:rPr>
          <w:rFonts w:hint="eastAsia"/>
        </w:rPr>
        <w:t>；</w:t>
      </w:r>
    </w:p>
    <w:p>
      <w:pPr>
        <w:ind w:firstLine="1200" w:firstLineChars="500"/>
      </w:pPr>
      <w:r>
        <w:rPr>
          <w:rFonts w:hint="eastAsia"/>
        </w:rPr>
        <w:t>C</w:t>
      </w:r>
      <w:r>
        <w:rPr>
          <w:rFonts w:hint="eastAsia"/>
          <w:vertAlign w:val="subscript"/>
        </w:rPr>
        <w:t>0i</w:t>
      </w:r>
      <w:r>
        <w:rPr>
          <w:rFonts w:hint="eastAsia"/>
        </w:rPr>
        <w:t xml:space="preserve"> -第i个污染物的环境空气质量标准，mg/m</w:t>
      </w:r>
      <w:r>
        <w:rPr>
          <w:rFonts w:hint="eastAsia"/>
          <w:vertAlign w:val="superscript"/>
        </w:rPr>
        <w:t>3</w:t>
      </w:r>
      <w:r>
        <w:rPr>
          <w:rFonts w:hint="eastAsia"/>
        </w:rPr>
        <w:t>。</w:t>
      </w:r>
    </w:p>
    <w:p>
      <w:pPr>
        <w:pStyle w:val="41"/>
      </w:pPr>
      <w:r>
        <w:rPr>
          <w:rFonts w:hint="eastAsia"/>
        </w:rPr>
        <w:t>表1.6.1-1  大气环境影响评价等级判别表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2557"/>
        <w:gridCol w:w="5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1500" w:type="pct"/>
            <w:shd w:val="clear" w:color="auto" w:fill="auto"/>
            <w:vAlign w:val="center"/>
          </w:tcPr>
          <w:p>
            <w:pPr>
              <w:pStyle w:val="42"/>
            </w:pPr>
            <w:r>
              <w:t>评价工作等级</w:t>
            </w:r>
          </w:p>
        </w:tc>
        <w:tc>
          <w:tcPr>
            <w:tcW w:w="3500" w:type="pct"/>
            <w:shd w:val="clear" w:color="auto" w:fill="auto"/>
            <w:vAlign w:val="center"/>
          </w:tcPr>
          <w:p>
            <w:pPr>
              <w:pStyle w:val="42"/>
            </w:pPr>
            <w: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1500" w:type="pct"/>
            <w:shd w:val="clear" w:color="auto" w:fill="auto"/>
            <w:vAlign w:val="center"/>
          </w:tcPr>
          <w:p>
            <w:pPr>
              <w:pStyle w:val="42"/>
            </w:pPr>
            <w:r>
              <w:t>一级</w:t>
            </w:r>
          </w:p>
        </w:tc>
        <w:tc>
          <w:tcPr>
            <w:tcW w:w="3500" w:type="pct"/>
            <w:shd w:val="clear" w:color="auto" w:fill="auto"/>
            <w:vAlign w:val="center"/>
          </w:tcPr>
          <w:p>
            <w:pPr>
              <w:pStyle w:val="42"/>
            </w:pPr>
            <w: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1500" w:type="pct"/>
            <w:shd w:val="clear" w:color="auto" w:fill="auto"/>
            <w:vAlign w:val="center"/>
          </w:tcPr>
          <w:p>
            <w:pPr>
              <w:pStyle w:val="42"/>
            </w:pPr>
            <w:r>
              <w:t>二级</w:t>
            </w:r>
          </w:p>
        </w:tc>
        <w:tc>
          <w:tcPr>
            <w:tcW w:w="3500" w:type="pct"/>
            <w:shd w:val="clear" w:color="auto" w:fill="auto"/>
            <w:vAlign w:val="center"/>
          </w:tcPr>
          <w:p>
            <w:pPr>
              <w:pStyle w:val="42"/>
            </w:pPr>
            <w: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1500" w:type="pct"/>
            <w:shd w:val="clear" w:color="auto" w:fill="auto"/>
            <w:vAlign w:val="center"/>
          </w:tcPr>
          <w:p>
            <w:pPr>
              <w:pStyle w:val="42"/>
            </w:pPr>
            <w:r>
              <w:t>三级</w:t>
            </w:r>
          </w:p>
        </w:tc>
        <w:tc>
          <w:tcPr>
            <w:tcW w:w="3500" w:type="pct"/>
            <w:shd w:val="clear" w:color="auto" w:fill="auto"/>
            <w:vAlign w:val="center"/>
          </w:tcPr>
          <w:p>
            <w:pPr>
              <w:pStyle w:val="42"/>
            </w:pPr>
            <w:r>
              <w:t>Pmax＜1%</w:t>
            </w:r>
          </w:p>
        </w:tc>
      </w:tr>
    </w:tbl>
    <w:p>
      <w:pPr>
        <w:ind w:firstLine="480"/>
      </w:pPr>
      <w:r>
        <w:rPr>
          <w:rFonts w:hint="eastAsia"/>
        </w:rPr>
        <w:t>估算模型参数见表1.6.1-2。根据估算模式计算出的有组织排放废气（点源）和无组织排放废气（面源）主要污染因子最大落地浓度及占标率见表1.6.1-3~1.6.1-10：</w:t>
      </w:r>
    </w:p>
    <w:p>
      <w:pPr>
        <w:pStyle w:val="41"/>
      </w:pPr>
      <w:r>
        <w:rPr>
          <w:rFonts w:hint="eastAsia"/>
        </w:rPr>
        <w:t>表1.6.1-2  估算模型参数表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3214"/>
        <w:gridCol w:w="2422"/>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blHeader/>
          <w:jc w:val="center"/>
        </w:trPr>
        <w:tc>
          <w:tcPr>
            <w:tcW w:w="3307" w:type="pct"/>
            <w:gridSpan w:val="2"/>
            <w:shd w:val="clear" w:color="auto" w:fill="auto"/>
            <w:noWrap/>
            <w:vAlign w:val="center"/>
          </w:tcPr>
          <w:p>
            <w:pPr>
              <w:pStyle w:val="42"/>
              <w:spacing w:line="300" w:lineRule="exact"/>
            </w:pPr>
            <w:r>
              <w:t>参数</w:t>
            </w:r>
          </w:p>
        </w:tc>
        <w:tc>
          <w:tcPr>
            <w:tcW w:w="1693" w:type="pct"/>
            <w:shd w:val="clear" w:color="auto" w:fill="auto"/>
            <w:noWrap/>
            <w:vAlign w:val="center"/>
          </w:tcPr>
          <w:p>
            <w:pPr>
              <w:pStyle w:val="42"/>
              <w:spacing w:line="300" w:lineRule="exact"/>
            </w:pPr>
            <w: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restart"/>
            <w:shd w:val="clear" w:color="auto" w:fill="auto"/>
            <w:noWrap/>
            <w:vAlign w:val="center"/>
          </w:tcPr>
          <w:p>
            <w:pPr>
              <w:pStyle w:val="42"/>
              <w:spacing w:line="300" w:lineRule="exact"/>
            </w:pPr>
            <w:r>
              <w:t>城市/农村选项</w:t>
            </w:r>
          </w:p>
        </w:tc>
        <w:tc>
          <w:tcPr>
            <w:tcW w:w="1421" w:type="pct"/>
            <w:shd w:val="clear" w:color="auto" w:fill="auto"/>
            <w:noWrap/>
            <w:vAlign w:val="center"/>
          </w:tcPr>
          <w:p>
            <w:pPr>
              <w:pStyle w:val="42"/>
              <w:spacing w:line="300" w:lineRule="exact"/>
            </w:pPr>
            <w:r>
              <w:t>城市/农村</w:t>
            </w:r>
          </w:p>
        </w:tc>
        <w:tc>
          <w:tcPr>
            <w:tcW w:w="1693" w:type="pct"/>
            <w:shd w:val="clear" w:color="auto" w:fill="auto"/>
            <w:noWrap/>
            <w:vAlign w:val="center"/>
          </w:tcPr>
          <w:p>
            <w:pPr>
              <w:pStyle w:val="42"/>
              <w:spacing w:line="300" w:lineRule="exact"/>
            </w:pPr>
            <w:r>
              <w:rPr>
                <w:rFonts w:hint="eastAsia"/>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continue"/>
            <w:shd w:val="clear" w:color="auto" w:fill="auto"/>
            <w:vAlign w:val="center"/>
          </w:tcPr>
          <w:p>
            <w:pPr>
              <w:pStyle w:val="42"/>
              <w:spacing w:line="300" w:lineRule="exact"/>
            </w:pPr>
          </w:p>
        </w:tc>
        <w:tc>
          <w:tcPr>
            <w:tcW w:w="1421" w:type="pct"/>
            <w:shd w:val="clear" w:color="auto" w:fill="auto"/>
            <w:noWrap/>
            <w:vAlign w:val="center"/>
          </w:tcPr>
          <w:p>
            <w:pPr>
              <w:pStyle w:val="42"/>
              <w:spacing w:line="300" w:lineRule="exact"/>
            </w:pPr>
            <w:r>
              <w:t>人口数（城市选项时）</w:t>
            </w:r>
          </w:p>
        </w:tc>
        <w:tc>
          <w:tcPr>
            <w:tcW w:w="1693" w:type="pct"/>
            <w:shd w:val="clear" w:color="auto" w:fill="auto"/>
            <w:noWrap/>
            <w:vAlign w:val="center"/>
          </w:tcPr>
          <w:p>
            <w:pPr>
              <w:pStyle w:val="42"/>
              <w:spacing w:line="300" w:lineRule="exact"/>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3307" w:type="pct"/>
            <w:gridSpan w:val="2"/>
            <w:shd w:val="clear" w:color="auto" w:fill="auto"/>
            <w:vAlign w:val="center"/>
          </w:tcPr>
          <w:p>
            <w:pPr>
              <w:pStyle w:val="42"/>
              <w:spacing w:line="300" w:lineRule="exact"/>
            </w:pPr>
            <w:r>
              <w:t>最高环境温度/</w:t>
            </w:r>
            <w:r>
              <w:rPr>
                <w:rFonts w:hint="eastAsia" w:ascii="宋体" w:hAnsi="宋体"/>
              </w:rPr>
              <w:t>℃</w:t>
            </w:r>
          </w:p>
        </w:tc>
        <w:tc>
          <w:tcPr>
            <w:tcW w:w="1693" w:type="pct"/>
            <w:shd w:val="clear" w:color="auto" w:fill="auto"/>
            <w:noWrap/>
            <w:vAlign w:val="center"/>
          </w:tcPr>
          <w:p>
            <w:pPr>
              <w:pStyle w:val="42"/>
              <w:spacing w:line="300" w:lineRule="exact"/>
            </w:pPr>
            <w: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3307" w:type="pct"/>
            <w:gridSpan w:val="2"/>
            <w:shd w:val="clear" w:color="auto" w:fill="auto"/>
            <w:vAlign w:val="center"/>
          </w:tcPr>
          <w:p>
            <w:pPr>
              <w:pStyle w:val="42"/>
              <w:spacing w:line="300" w:lineRule="exact"/>
            </w:pPr>
            <w:r>
              <w:t>最低环境温度/</w:t>
            </w:r>
            <w:r>
              <w:rPr>
                <w:rFonts w:hint="eastAsia" w:ascii="宋体" w:hAnsi="宋体"/>
              </w:rPr>
              <w:t>℃</w:t>
            </w:r>
          </w:p>
        </w:tc>
        <w:tc>
          <w:tcPr>
            <w:tcW w:w="1693" w:type="pct"/>
            <w:shd w:val="clear" w:color="auto" w:fill="auto"/>
            <w:noWrap/>
            <w:vAlign w:val="center"/>
          </w:tcPr>
          <w:p>
            <w:pPr>
              <w:pStyle w:val="42"/>
              <w:spacing w:line="300" w:lineRule="exact"/>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3307" w:type="pct"/>
            <w:gridSpan w:val="2"/>
            <w:shd w:val="clear" w:color="auto" w:fill="auto"/>
            <w:vAlign w:val="center"/>
          </w:tcPr>
          <w:p>
            <w:pPr>
              <w:pStyle w:val="42"/>
              <w:spacing w:line="300" w:lineRule="exact"/>
            </w:pPr>
            <w:r>
              <w:t>土地利用类型</w:t>
            </w:r>
          </w:p>
        </w:tc>
        <w:tc>
          <w:tcPr>
            <w:tcW w:w="1693" w:type="pct"/>
            <w:shd w:val="clear" w:color="auto" w:fill="auto"/>
            <w:noWrap/>
            <w:vAlign w:val="center"/>
          </w:tcPr>
          <w:p>
            <w:pPr>
              <w:pStyle w:val="42"/>
              <w:spacing w:line="300" w:lineRule="exact"/>
            </w:pPr>
            <w:r>
              <w:rPr>
                <w:rFonts w:hint="eastAsia"/>
              </w:rPr>
              <w:t>城镇外围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3307" w:type="pct"/>
            <w:gridSpan w:val="2"/>
            <w:shd w:val="clear" w:color="auto" w:fill="auto"/>
            <w:vAlign w:val="center"/>
          </w:tcPr>
          <w:p>
            <w:pPr>
              <w:pStyle w:val="42"/>
              <w:spacing w:line="300" w:lineRule="exact"/>
            </w:pPr>
            <w:r>
              <w:t>区域温度条件</w:t>
            </w:r>
          </w:p>
        </w:tc>
        <w:tc>
          <w:tcPr>
            <w:tcW w:w="1693" w:type="pct"/>
            <w:shd w:val="clear" w:color="auto" w:fill="auto"/>
            <w:noWrap/>
            <w:vAlign w:val="center"/>
          </w:tcPr>
          <w:p>
            <w:pPr>
              <w:pStyle w:val="42"/>
              <w:spacing w:line="300" w:lineRule="exact"/>
            </w:pPr>
            <w:r>
              <w:rPr>
                <w:rFonts w:hint="eastAsia"/>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restart"/>
            <w:shd w:val="clear" w:color="auto" w:fill="auto"/>
            <w:vAlign w:val="center"/>
          </w:tcPr>
          <w:p>
            <w:pPr>
              <w:pStyle w:val="42"/>
              <w:spacing w:line="300" w:lineRule="exact"/>
            </w:pPr>
            <w:r>
              <w:t>是否考虑地形</w:t>
            </w:r>
          </w:p>
        </w:tc>
        <w:tc>
          <w:tcPr>
            <w:tcW w:w="1421" w:type="pct"/>
            <w:shd w:val="clear" w:color="auto" w:fill="auto"/>
            <w:noWrap/>
            <w:vAlign w:val="center"/>
          </w:tcPr>
          <w:p>
            <w:pPr>
              <w:pStyle w:val="42"/>
              <w:spacing w:line="300" w:lineRule="exact"/>
            </w:pPr>
            <w:r>
              <w:t>考虑地形</w:t>
            </w:r>
          </w:p>
        </w:tc>
        <w:tc>
          <w:tcPr>
            <w:tcW w:w="1693" w:type="pct"/>
            <w:shd w:val="clear" w:color="auto" w:fill="auto"/>
            <w:noWrap/>
            <w:vAlign w:val="center"/>
          </w:tcPr>
          <w:p>
            <w:pPr>
              <w:pStyle w:val="42"/>
              <w:spacing w:line="300" w:lineRule="exact"/>
            </w:pPr>
            <w:r>
              <w:t>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continue"/>
            <w:shd w:val="clear" w:color="auto" w:fill="auto"/>
            <w:vAlign w:val="center"/>
          </w:tcPr>
          <w:p>
            <w:pPr>
              <w:pStyle w:val="42"/>
              <w:spacing w:line="300" w:lineRule="exact"/>
            </w:pPr>
          </w:p>
        </w:tc>
        <w:tc>
          <w:tcPr>
            <w:tcW w:w="1421" w:type="pct"/>
            <w:shd w:val="clear" w:color="auto" w:fill="auto"/>
            <w:noWrap/>
            <w:vAlign w:val="center"/>
          </w:tcPr>
          <w:p>
            <w:pPr>
              <w:pStyle w:val="42"/>
              <w:spacing w:line="300" w:lineRule="exact"/>
            </w:pPr>
            <w:r>
              <w:t>地形数据分辨率/m</w:t>
            </w:r>
          </w:p>
        </w:tc>
        <w:tc>
          <w:tcPr>
            <w:tcW w:w="1693" w:type="pct"/>
            <w:shd w:val="clear" w:color="auto" w:fill="auto"/>
            <w:noWrap/>
            <w:vAlign w:val="center"/>
          </w:tcPr>
          <w:p>
            <w:pPr>
              <w:pStyle w:val="42"/>
              <w:spacing w:line="300" w:lineRule="exact"/>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restart"/>
            <w:shd w:val="clear" w:color="auto" w:fill="auto"/>
            <w:noWrap/>
            <w:vAlign w:val="center"/>
          </w:tcPr>
          <w:p>
            <w:pPr>
              <w:pStyle w:val="42"/>
              <w:spacing w:line="300" w:lineRule="exact"/>
            </w:pPr>
            <w:r>
              <w:t>是否考虑岸线熏烟</w:t>
            </w:r>
          </w:p>
        </w:tc>
        <w:tc>
          <w:tcPr>
            <w:tcW w:w="1421" w:type="pct"/>
            <w:shd w:val="clear" w:color="auto" w:fill="auto"/>
            <w:noWrap/>
            <w:vAlign w:val="center"/>
          </w:tcPr>
          <w:p>
            <w:pPr>
              <w:pStyle w:val="42"/>
              <w:spacing w:line="300" w:lineRule="exact"/>
            </w:pPr>
            <w:r>
              <w:t>考虑岸线熏烟</w:t>
            </w:r>
          </w:p>
        </w:tc>
        <w:tc>
          <w:tcPr>
            <w:tcW w:w="1693" w:type="pct"/>
            <w:shd w:val="clear" w:color="auto" w:fill="auto"/>
            <w:noWrap/>
            <w:vAlign w:val="center"/>
          </w:tcPr>
          <w:p>
            <w:pPr>
              <w:pStyle w:val="42"/>
              <w:spacing w:line="300" w:lineRule="exact"/>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continue"/>
            <w:shd w:val="clear" w:color="auto" w:fill="auto"/>
            <w:noWrap/>
            <w:vAlign w:val="center"/>
          </w:tcPr>
          <w:p>
            <w:pPr>
              <w:pStyle w:val="42"/>
              <w:spacing w:line="300" w:lineRule="exact"/>
            </w:pPr>
          </w:p>
        </w:tc>
        <w:tc>
          <w:tcPr>
            <w:tcW w:w="1421" w:type="pct"/>
            <w:shd w:val="clear" w:color="auto" w:fill="auto"/>
            <w:noWrap/>
          </w:tcPr>
          <w:p>
            <w:pPr>
              <w:pStyle w:val="42"/>
              <w:spacing w:line="300" w:lineRule="exact"/>
              <w:rPr>
                <w:snapToGrid w:val="0"/>
              </w:rPr>
            </w:pPr>
            <w:r>
              <w:rPr>
                <w:snapToGrid w:val="0"/>
              </w:rPr>
              <w:t>海岸线距离km</w:t>
            </w:r>
          </w:p>
        </w:tc>
        <w:tc>
          <w:tcPr>
            <w:tcW w:w="1693" w:type="pct"/>
            <w:shd w:val="clear" w:color="auto" w:fill="auto"/>
            <w:noWrap/>
          </w:tcPr>
          <w:p>
            <w:pPr>
              <w:pStyle w:val="42"/>
              <w:spacing w:line="3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jc w:val="center"/>
        </w:trPr>
        <w:tc>
          <w:tcPr>
            <w:tcW w:w="1886" w:type="pct"/>
            <w:vMerge w:val="continue"/>
            <w:shd w:val="clear" w:color="auto" w:fill="auto"/>
            <w:noWrap/>
            <w:vAlign w:val="center"/>
          </w:tcPr>
          <w:p>
            <w:pPr>
              <w:pStyle w:val="42"/>
              <w:spacing w:line="300" w:lineRule="exact"/>
            </w:pPr>
          </w:p>
        </w:tc>
        <w:tc>
          <w:tcPr>
            <w:tcW w:w="1421" w:type="pct"/>
            <w:shd w:val="clear" w:color="auto" w:fill="auto"/>
            <w:noWrap/>
          </w:tcPr>
          <w:p>
            <w:pPr>
              <w:pStyle w:val="42"/>
              <w:spacing w:line="300" w:lineRule="exact"/>
              <w:rPr>
                <w:snapToGrid w:val="0"/>
              </w:rPr>
            </w:pPr>
            <w:r>
              <w:rPr>
                <w:snapToGrid w:val="0"/>
              </w:rPr>
              <w:t>海岸线方向°</w:t>
            </w:r>
          </w:p>
        </w:tc>
        <w:tc>
          <w:tcPr>
            <w:tcW w:w="1693" w:type="pct"/>
            <w:shd w:val="clear" w:color="auto" w:fill="auto"/>
            <w:noWrap/>
          </w:tcPr>
          <w:p>
            <w:pPr>
              <w:pStyle w:val="42"/>
              <w:spacing w:line="300" w:lineRule="exact"/>
              <w:rPr>
                <w:sz w:val="18"/>
                <w:szCs w:val="18"/>
              </w:rPr>
            </w:pPr>
            <w:r>
              <w:rPr>
                <w:sz w:val="18"/>
                <w:szCs w:val="18"/>
              </w:rPr>
              <w:t>/</w:t>
            </w:r>
          </w:p>
        </w:tc>
      </w:tr>
    </w:tbl>
    <w:p>
      <w:pPr>
        <w:pStyle w:val="41"/>
      </w:pPr>
      <w:r>
        <w:rPr>
          <w:rFonts w:hint="eastAsia"/>
        </w:rPr>
        <w:t>表5.2-6  拟建项目点源参数表</w:t>
      </w:r>
    </w:p>
    <w:tbl>
      <w:tblPr>
        <w:tblStyle w:val="33"/>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17"/>
        <w:gridCol w:w="585"/>
        <w:gridCol w:w="647"/>
        <w:gridCol w:w="647"/>
        <w:gridCol w:w="641"/>
        <w:gridCol w:w="868"/>
        <w:gridCol w:w="868"/>
        <w:gridCol w:w="863"/>
        <w:gridCol w:w="863"/>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Merge w:val="restart"/>
            <w:vAlign w:val="center"/>
          </w:tcPr>
          <w:p>
            <w:pPr>
              <w:pStyle w:val="42"/>
              <w:spacing w:line="300" w:lineRule="exact"/>
            </w:pPr>
            <w:r>
              <w:t>污染源编号</w:t>
            </w:r>
          </w:p>
          <w:p>
            <w:pPr>
              <w:pStyle w:val="42"/>
              <w:spacing w:line="300" w:lineRule="exact"/>
            </w:pPr>
            <w:r>
              <w:t>及名称</w:t>
            </w:r>
          </w:p>
        </w:tc>
        <w:tc>
          <w:tcPr>
            <w:tcW w:w="737" w:type="pct"/>
            <w:gridSpan w:val="2"/>
            <w:vAlign w:val="center"/>
          </w:tcPr>
          <w:p>
            <w:pPr>
              <w:pStyle w:val="42"/>
              <w:spacing w:line="300" w:lineRule="exact"/>
            </w:pPr>
            <w:r>
              <w:t>排气筒底部中心坐标（m）</w:t>
            </w:r>
          </w:p>
        </w:tc>
        <w:tc>
          <w:tcPr>
            <w:tcW w:w="387" w:type="pct"/>
            <w:vMerge w:val="restart"/>
            <w:vAlign w:val="center"/>
          </w:tcPr>
          <w:p>
            <w:pPr>
              <w:pStyle w:val="42"/>
              <w:spacing w:line="300" w:lineRule="exact"/>
            </w:pPr>
            <w:r>
              <w:t>排气筒底部海拔高度Z（m）</w:t>
            </w:r>
          </w:p>
        </w:tc>
        <w:tc>
          <w:tcPr>
            <w:tcW w:w="383" w:type="pct"/>
            <w:vMerge w:val="restart"/>
            <w:vAlign w:val="center"/>
          </w:tcPr>
          <w:p>
            <w:pPr>
              <w:pStyle w:val="42"/>
              <w:spacing w:line="300" w:lineRule="exact"/>
            </w:pPr>
            <w:r>
              <w:t>排气筒高度（m）</w:t>
            </w:r>
          </w:p>
        </w:tc>
        <w:tc>
          <w:tcPr>
            <w:tcW w:w="519" w:type="pct"/>
            <w:vMerge w:val="restart"/>
            <w:vAlign w:val="center"/>
          </w:tcPr>
          <w:p>
            <w:pPr>
              <w:pStyle w:val="42"/>
              <w:spacing w:line="300" w:lineRule="exact"/>
            </w:pPr>
            <w:r>
              <w:t>排气筒出口内径（m）</w:t>
            </w:r>
          </w:p>
        </w:tc>
        <w:tc>
          <w:tcPr>
            <w:tcW w:w="519" w:type="pct"/>
            <w:vMerge w:val="restart"/>
            <w:vAlign w:val="center"/>
          </w:tcPr>
          <w:p>
            <w:pPr>
              <w:pStyle w:val="42"/>
              <w:spacing w:line="300" w:lineRule="exact"/>
            </w:pPr>
            <w:r>
              <w:t>烟气流速（m/s）</w:t>
            </w:r>
          </w:p>
        </w:tc>
        <w:tc>
          <w:tcPr>
            <w:tcW w:w="516" w:type="pct"/>
            <w:vMerge w:val="restart"/>
            <w:vAlign w:val="center"/>
          </w:tcPr>
          <w:p>
            <w:pPr>
              <w:pStyle w:val="42"/>
              <w:spacing w:line="300" w:lineRule="exact"/>
            </w:pPr>
            <w:r>
              <w:t>烟气</w:t>
            </w:r>
          </w:p>
          <w:p>
            <w:pPr>
              <w:pStyle w:val="42"/>
              <w:spacing w:line="300" w:lineRule="exact"/>
            </w:pPr>
            <w:r>
              <w:t>温度（</w:t>
            </w:r>
            <w:r>
              <w:rPr>
                <w:rFonts w:hint="eastAsia"/>
              </w:rPr>
              <w:t>℃</w:t>
            </w:r>
            <w:r>
              <w:t>）</w:t>
            </w:r>
          </w:p>
        </w:tc>
        <w:tc>
          <w:tcPr>
            <w:tcW w:w="516" w:type="pct"/>
            <w:vMerge w:val="restart"/>
            <w:vAlign w:val="center"/>
          </w:tcPr>
          <w:p>
            <w:pPr>
              <w:pStyle w:val="42"/>
              <w:spacing w:line="300" w:lineRule="exact"/>
            </w:pPr>
            <w:r>
              <w:t>年排放小时数（h）</w:t>
            </w:r>
          </w:p>
        </w:tc>
        <w:tc>
          <w:tcPr>
            <w:tcW w:w="516" w:type="pct"/>
            <w:vMerge w:val="restart"/>
            <w:vAlign w:val="center"/>
          </w:tcPr>
          <w:p>
            <w:pPr>
              <w:pStyle w:val="42"/>
              <w:spacing w:line="300" w:lineRule="exact"/>
            </w:pPr>
            <w:r>
              <w:t>排放</w:t>
            </w:r>
          </w:p>
          <w:p>
            <w:pPr>
              <w:pStyle w:val="42"/>
              <w:spacing w:line="300" w:lineRule="exact"/>
            </w:pPr>
            <w: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Merge w:val="continue"/>
            <w:vAlign w:val="center"/>
          </w:tcPr>
          <w:p>
            <w:pPr>
              <w:pStyle w:val="42"/>
              <w:spacing w:line="300" w:lineRule="exact"/>
            </w:pPr>
          </w:p>
        </w:tc>
        <w:tc>
          <w:tcPr>
            <w:tcW w:w="350" w:type="pct"/>
            <w:vAlign w:val="center"/>
          </w:tcPr>
          <w:p>
            <w:pPr>
              <w:pStyle w:val="42"/>
              <w:spacing w:line="300" w:lineRule="exact"/>
            </w:pPr>
            <w:r>
              <w:t>X</w:t>
            </w:r>
          </w:p>
        </w:tc>
        <w:tc>
          <w:tcPr>
            <w:tcW w:w="387" w:type="pct"/>
            <w:vAlign w:val="center"/>
          </w:tcPr>
          <w:p>
            <w:pPr>
              <w:pStyle w:val="42"/>
              <w:spacing w:line="300" w:lineRule="exact"/>
            </w:pPr>
            <w:r>
              <w:t>Y</w:t>
            </w:r>
          </w:p>
        </w:tc>
        <w:tc>
          <w:tcPr>
            <w:tcW w:w="387" w:type="pct"/>
            <w:vMerge w:val="continue"/>
            <w:vAlign w:val="center"/>
          </w:tcPr>
          <w:p>
            <w:pPr>
              <w:pStyle w:val="42"/>
              <w:spacing w:line="300" w:lineRule="exact"/>
            </w:pPr>
          </w:p>
        </w:tc>
        <w:tc>
          <w:tcPr>
            <w:tcW w:w="383" w:type="pct"/>
            <w:vMerge w:val="continue"/>
            <w:vAlign w:val="center"/>
          </w:tcPr>
          <w:p>
            <w:pPr>
              <w:pStyle w:val="42"/>
              <w:spacing w:line="300" w:lineRule="exact"/>
            </w:pPr>
          </w:p>
        </w:tc>
        <w:tc>
          <w:tcPr>
            <w:tcW w:w="519" w:type="pct"/>
            <w:vMerge w:val="continue"/>
            <w:vAlign w:val="center"/>
          </w:tcPr>
          <w:p>
            <w:pPr>
              <w:pStyle w:val="42"/>
              <w:spacing w:line="300" w:lineRule="exact"/>
            </w:pPr>
          </w:p>
        </w:tc>
        <w:tc>
          <w:tcPr>
            <w:tcW w:w="519" w:type="pct"/>
            <w:vMerge w:val="continue"/>
            <w:vAlign w:val="center"/>
          </w:tcPr>
          <w:p>
            <w:pPr>
              <w:pStyle w:val="42"/>
              <w:spacing w:line="300" w:lineRule="exact"/>
            </w:pPr>
          </w:p>
        </w:tc>
        <w:tc>
          <w:tcPr>
            <w:tcW w:w="516" w:type="pct"/>
            <w:vMerge w:val="continue"/>
            <w:vAlign w:val="center"/>
          </w:tcPr>
          <w:p>
            <w:pPr>
              <w:pStyle w:val="42"/>
              <w:spacing w:line="300" w:lineRule="exact"/>
            </w:pPr>
          </w:p>
        </w:tc>
        <w:tc>
          <w:tcPr>
            <w:tcW w:w="516" w:type="pct"/>
            <w:vMerge w:val="continue"/>
            <w:vAlign w:val="center"/>
          </w:tcPr>
          <w:p>
            <w:pPr>
              <w:pStyle w:val="42"/>
              <w:spacing w:line="300" w:lineRule="exact"/>
            </w:pPr>
          </w:p>
        </w:tc>
        <w:tc>
          <w:tcPr>
            <w:tcW w:w="516"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Align w:val="center"/>
          </w:tcPr>
          <w:p>
            <w:pPr>
              <w:pStyle w:val="42"/>
              <w:spacing w:line="300" w:lineRule="exact"/>
            </w:pPr>
            <w:r>
              <w:rPr>
                <w:rFonts w:hint="eastAsia"/>
              </w:rPr>
              <w:t>一段转化炉烟气排放筒</w:t>
            </w:r>
          </w:p>
        </w:tc>
        <w:tc>
          <w:tcPr>
            <w:tcW w:w="350" w:type="pct"/>
            <w:vAlign w:val="center"/>
          </w:tcPr>
          <w:p>
            <w:pPr>
              <w:pStyle w:val="42"/>
              <w:spacing w:line="300" w:lineRule="exact"/>
            </w:pPr>
            <w:r>
              <w:t>0</w:t>
            </w:r>
          </w:p>
        </w:tc>
        <w:tc>
          <w:tcPr>
            <w:tcW w:w="387" w:type="pct"/>
            <w:vAlign w:val="center"/>
          </w:tcPr>
          <w:p>
            <w:pPr>
              <w:pStyle w:val="42"/>
              <w:spacing w:line="300" w:lineRule="exact"/>
            </w:pPr>
            <w:r>
              <w:t>0</w:t>
            </w:r>
          </w:p>
        </w:tc>
        <w:tc>
          <w:tcPr>
            <w:tcW w:w="387" w:type="pct"/>
            <w:vAlign w:val="center"/>
          </w:tcPr>
          <w:p>
            <w:pPr>
              <w:pStyle w:val="42"/>
              <w:spacing w:line="300" w:lineRule="exact"/>
            </w:pPr>
            <w:r>
              <w:rPr>
                <w:rFonts w:hint="eastAsia"/>
              </w:rPr>
              <w:t>265</w:t>
            </w:r>
          </w:p>
        </w:tc>
        <w:tc>
          <w:tcPr>
            <w:tcW w:w="383" w:type="pct"/>
            <w:vAlign w:val="center"/>
          </w:tcPr>
          <w:p>
            <w:pPr>
              <w:pStyle w:val="42"/>
              <w:spacing w:line="300" w:lineRule="exact"/>
            </w:pPr>
            <w:r>
              <w:rPr>
                <w:rFonts w:hint="eastAsia"/>
              </w:rPr>
              <w:t>60</w:t>
            </w:r>
          </w:p>
        </w:tc>
        <w:tc>
          <w:tcPr>
            <w:tcW w:w="519" w:type="pct"/>
            <w:vAlign w:val="center"/>
          </w:tcPr>
          <w:p>
            <w:pPr>
              <w:pStyle w:val="42"/>
              <w:spacing w:line="300" w:lineRule="exact"/>
            </w:pPr>
            <w:r>
              <w:rPr>
                <w:rFonts w:hint="eastAsia"/>
              </w:rPr>
              <w:t>2.6</w:t>
            </w:r>
          </w:p>
        </w:tc>
        <w:tc>
          <w:tcPr>
            <w:tcW w:w="519" w:type="pct"/>
            <w:vAlign w:val="center"/>
          </w:tcPr>
          <w:p>
            <w:pPr>
              <w:pStyle w:val="42"/>
              <w:spacing w:line="300" w:lineRule="exact"/>
            </w:pPr>
            <w:r>
              <w:rPr>
                <w:rFonts w:hint="eastAsia"/>
              </w:rPr>
              <w:t>4.5</w:t>
            </w:r>
          </w:p>
        </w:tc>
        <w:tc>
          <w:tcPr>
            <w:tcW w:w="516" w:type="pct"/>
            <w:vAlign w:val="center"/>
          </w:tcPr>
          <w:p>
            <w:pPr>
              <w:pStyle w:val="42"/>
              <w:spacing w:line="300" w:lineRule="exact"/>
            </w:pPr>
            <w:r>
              <w:rPr>
                <w:rFonts w:hint="eastAsia"/>
              </w:rPr>
              <w:t>130</w:t>
            </w:r>
          </w:p>
        </w:tc>
        <w:tc>
          <w:tcPr>
            <w:tcW w:w="516" w:type="pct"/>
            <w:vAlign w:val="center"/>
          </w:tcPr>
          <w:p>
            <w:pPr>
              <w:pStyle w:val="42"/>
              <w:spacing w:line="300" w:lineRule="exact"/>
            </w:pPr>
            <w:r>
              <w:rPr>
                <w:rFonts w:hint="eastAsia"/>
              </w:rPr>
              <w:t>8000</w:t>
            </w:r>
          </w:p>
        </w:tc>
        <w:tc>
          <w:tcPr>
            <w:tcW w:w="516" w:type="pct"/>
            <w:vAlign w:val="center"/>
          </w:tcPr>
          <w:p>
            <w:pPr>
              <w:pStyle w:val="42"/>
              <w:spacing w:line="300" w:lineRule="exact"/>
            </w:pPr>
            <w:r>
              <w:t>正常</w:t>
            </w:r>
          </w:p>
          <w:p>
            <w:pPr>
              <w:pStyle w:val="42"/>
              <w:spacing w:line="300" w:lineRule="exact"/>
            </w:pPr>
            <w:r>
              <w:t>排放</w:t>
            </w:r>
          </w:p>
        </w:tc>
      </w:tr>
    </w:tbl>
    <w:p>
      <w:pPr>
        <w:pStyle w:val="41"/>
      </w:pPr>
      <w:r>
        <w:t>表</w:t>
      </w:r>
      <w:r>
        <w:rPr>
          <w:rFonts w:hint="eastAsia"/>
        </w:rPr>
        <w:t>5.2-7</w:t>
      </w:r>
      <w:r>
        <w:t xml:space="preserve"> 拟建项目面源参数表（矩形）</w:t>
      </w:r>
    </w:p>
    <w:tbl>
      <w:tblPr>
        <w:tblStyle w:val="33"/>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8"/>
        <w:gridCol w:w="858"/>
        <w:gridCol w:w="717"/>
        <w:gridCol w:w="717"/>
        <w:gridCol w:w="717"/>
        <w:gridCol w:w="870"/>
        <w:gridCol w:w="870"/>
        <w:gridCol w:w="865"/>
        <w:gridCol w:w="86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Merge w:val="restart"/>
            <w:vAlign w:val="center"/>
          </w:tcPr>
          <w:p>
            <w:pPr>
              <w:pStyle w:val="42"/>
            </w:pPr>
            <w:r>
              <w:t>污染源编号及名称</w:t>
            </w:r>
          </w:p>
        </w:tc>
        <w:tc>
          <w:tcPr>
            <w:tcW w:w="942" w:type="pct"/>
            <w:gridSpan w:val="2"/>
            <w:vAlign w:val="center"/>
          </w:tcPr>
          <w:p>
            <w:pPr>
              <w:pStyle w:val="42"/>
            </w:pPr>
            <w:r>
              <w:t>面源中心坐标（m）</w:t>
            </w:r>
          </w:p>
        </w:tc>
        <w:tc>
          <w:tcPr>
            <w:tcW w:w="429" w:type="pct"/>
            <w:vMerge w:val="restart"/>
            <w:vAlign w:val="center"/>
          </w:tcPr>
          <w:p>
            <w:pPr>
              <w:pStyle w:val="42"/>
            </w:pPr>
            <w:r>
              <w:t>面源海拔高度Z（m）</w:t>
            </w:r>
          </w:p>
        </w:tc>
        <w:tc>
          <w:tcPr>
            <w:tcW w:w="429" w:type="pct"/>
            <w:vMerge w:val="restart"/>
            <w:vAlign w:val="center"/>
          </w:tcPr>
          <w:p>
            <w:pPr>
              <w:pStyle w:val="42"/>
            </w:pPr>
            <w:r>
              <w:t>面源X向宽度（m）</w:t>
            </w:r>
          </w:p>
        </w:tc>
        <w:tc>
          <w:tcPr>
            <w:tcW w:w="520" w:type="pct"/>
            <w:vMerge w:val="restart"/>
            <w:vAlign w:val="center"/>
          </w:tcPr>
          <w:p>
            <w:pPr>
              <w:pStyle w:val="42"/>
            </w:pPr>
            <w:r>
              <w:t>面源Y向长度（m）</w:t>
            </w:r>
          </w:p>
        </w:tc>
        <w:tc>
          <w:tcPr>
            <w:tcW w:w="520" w:type="pct"/>
            <w:vMerge w:val="restart"/>
            <w:vAlign w:val="center"/>
          </w:tcPr>
          <w:p>
            <w:pPr>
              <w:pStyle w:val="42"/>
            </w:pPr>
            <w:r>
              <w:t>与正北向夹角（°）</w:t>
            </w:r>
          </w:p>
        </w:tc>
        <w:tc>
          <w:tcPr>
            <w:tcW w:w="517" w:type="pct"/>
            <w:vMerge w:val="restart"/>
            <w:vAlign w:val="center"/>
          </w:tcPr>
          <w:p>
            <w:pPr>
              <w:pStyle w:val="42"/>
            </w:pPr>
            <w:r>
              <w:t>面源有效排放高度（m）</w:t>
            </w:r>
          </w:p>
        </w:tc>
        <w:tc>
          <w:tcPr>
            <w:tcW w:w="517" w:type="pct"/>
            <w:vMerge w:val="restart"/>
            <w:vAlign w:val="center"/>
          </w:tcPr>
          <w:p>
            <w:pPr>
              <w:pStyle w:val="42"/>
            </w:pPr>
            <w:r>
              <w:t>年排放小时数（h）</w:t>
            </w:r>
          </w:p>
        </w:tc>
        <w:tc>
          <w:tcPr>
            <w:tcW w:w="517" w:type="pct"/>
            <w:vMerge w:val="restart"/>
            <w:vAlign w:val="center"/>
          </w:tcPr>
          <w:p>
            <w:pPr>
              <w:pStyle w:val="42"/>
            </w:pPr>
            <w:r>
              <w:t>排放</w:t>
            </w:r>
          </w:p>
          <w:p>
            <w:pPr>
              <w:pStyle w:val="42"/>
            </w:pPr>
            <w: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Merge w:val="continue"/>
            <w:vAlign w:val="center"/>
          </w:tcPr>
          <w:p>
            <w:pPr>
              <w:pStyle w:val="42"/>
            </w:pPr>
          </w:p>
        </w:tc>
        <w:tc>
          <w:tcPr>
            <w:tcW w:w="513" w:type="pct"/>
            <w:vAlign w:val="center"/>
          </w:tcPr>
          <w:p>
            <w:pPr>
              <w:pStyle w:val="42"/>
            </w:pPr>
            <w:r>
              <w:t>X</w:t>
            </w:r>
          </w:p>
        </w:tc>
        <w:tc>
          <w:tcPr>
            <w:tcW w:w="429" w:type="pct"/>
            <w:vAlign w:val="center"/>
          </w:tcPr>
          <w:p>
            <w:pPr>
              <w:pStyle w:val="42"/>
            </w:pPr>
            <w:r>
              <w:t>Y</w:t>
            </w:r>
          </w:p>
        </w:tc>
        <w:tc>
          <w:tcPr>
            <w:tcW w:w="429" w:type="pct"/>
            <w:vMerge w:val="continue"/>
            <w:vAlign w:val="center"/>
          </w:tcPr>
          <w:p>
            <w:pPr>
              <w:pStyle w:val="42"/>
            </w:pPr>
          </w:p>
        </w:tc>
        <w:tc>
          <w:tcPr>
            <w:tcW w:w="429" w:type="pct"/>
            <w:vMerge w:val="continue"/>
            <w:vAlign w:val="center"/>
          </w:tcPr>
          <w:p>
            <w:pPr>
              <w:pStyle w:val="42"/>
            </w:pPr>
          </w:p>
        </w:tc>
        <w:tc>
          <w:tcPr>
            <w:tcW w:w="520" w:type="pct"/>
            <w:vMerge w:val="continue"/>
            <w:vAlign w:val="center"/>
          </w:tcPr>
          <w:p>
            <w:pPr>
              <w:pStyle w:val="42"/>
            </w:pPr>
          </w:p>
        </w:tc>
        <w:tc>
          <w:tcPr>
            <w:tcW w:w="520" w:type="pct"/>
            <w:vMerge w:val="continue"/>
            <w:vAlign w:val="center"/>
          </w:tcPr>
          <w:p>
            <w:pPr>
              <w:pStyle w:val="42"/>
            </w:pPr>
          </w:p>
        </w:tc>
        <w:tc>
          <w:tcPr>
            <w:tcW w:w="517" w:type="pct"/>
            <w:vMerge w:val="continue"/>
            <w:vAlign w:val="center"/>
          </w:tcPr>
          <w:p>
            <w:pPr>
              <w:pStyle w:val="42"/>
            </w:pPr>
          </w:p>
        </w:tc>
        <w:tc>
          <w:tcPr>
            <w:tcW w:w="517" w:type="pct"/>
            <w:vMerge w:val="continue"/>
            <w:vAlign w:val="center"/>
          </w:tcPr>
          <w:p>
            <w:pPr>
              <w:pStyle w:val="42"/>
            </w:pPr>
          </w:p>
        </w:tc>
        <w:tc>
          <w:tcPr>
            <w:tcW w:w="517"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Align w:val="center"/>
          </w:tcPr>
          <w:p>
            <w:pPr>
              <w:pStyle w:val="42"/>
            </w:pPr>
            <w:r>
              <w:rPr>
                <w:rFonts w:hint="eastAsia"/>
              </w:rPr>
              <w:t>装置区无组织排放废气</w:t>
            </w:r>
          </w:p>
        </w:tc>
        <w:tc>
          <w:tcPr>
            <w:tcW w:w="513" w:type="pct"/>
            <w:vAlign w:val="center"/>
          </w:tcPr>
          <w:p>
            <w:pPr>
              <w:pStyle w:val="42"/>
            </w:pPr>
            <w:r>
              <w:rPr>
                <w:rFonts w:hint="eastAsia"/>
              </w:rPr>
              <w:t>-29</w:t>
            </w:r>
          </w:p>
        </w:tc>
        <w:tc>
          <w:tcPr>
            <w:tcW w:w="429" w:type="pct"/>
            <w:vAlign w:val="center"/>
          </w:tcPr>
          <w:p>
            <w:pPr>
              <w:pStyle w:val="42"/>
            </w:pPr>
            <w:r>
              <w:rPr>
                <w:rFonts w:hint="eastAsia"/>
              </w:rPr>
              <w:t>-1</w:t>
            </w:r>
          </w:p>
        </w:tc>
        <w:tc>
          <w:tcPr>
            <w:tcW w:w="429" w:type="pct"/>
            <w:vAlign w:val="center"/>
          </w:tcPr>
          <w:p>
            <w:pPr>
              <w:pStyle w:val="42"/>
            </w:pPr>
            <w:r>
              <w:rPr>
                <w:rFonts w:hint="eastAsia"/>
              </w:rPr>
              <w:t>266</w:t>
            </w:r>
          </w:p>
        </w:tc>
        <w:tc>
          <w:tcPr>
            <w:tcW w:w="429" w:type="pct"/>
            <w:vAlign w:val="center"/>
          </w:tcPr>
          <w:p>
            <w:pPr>
              <w:pStyle w:val="42"/>
            </w:pPr>
            <w:r>
              <w:rPr>
                <w:rFonts w:hint="eastAsia"/>
              </w:rPr>
              <w:t>195</w:t>
            </w:r>
          </w:p>
        </w:tc>
        <w:tc>
          <w:tcPr>
            <w:tcW w:w="520" w:type="pct"/>
            <w:vAlign w:val="center"/>
          </w:tcPr>
          <w:p>
            <w:pPr>
              <w:pStyle w:val="42"/>
            </w:pPr>
            <w:r>
              <w:rPr>
                <w:rFonts w:hint="eastAsia"/>
              </w:rPr>
              <w:t>103</w:t>
            </w:r>
          </w:p>
        </w:tc>
        <w:tc>
          <w:tcPr>
            <w:tcW w:w="520" w:type="pct"/>
            <w:vAlign w:val="center"/>
          </w:tcPr>
          <w:p>
            <w:pPr>
              <w:pStyle w:val="42"/>
            </w:pPr>
            <w:r>
              <w:t>0</w:t>
            </w:r>
          </w:p>
        </w:tc>
        <w:tc>
          <w:tcPr>
            <w:tcW w:w="517" w:type="pct"/>
            <w:vAlign w:val="center"/>
          </w:tcPr>
          <w:p>
            <w:pPr>
              <w:pStyle w:val="42"/>
            </w:pPr>
            <w:r>
              <w:rPr>
                <w:rFonts w:hint="eastAsia"/>
              </w:rPr>
              <w:t>30</w:t>
            </w:r>
          </w:p>
        </w:tc>
        <w:tc>
          <w:tcPr>
            <w:tcW w:w="517" w:type="pct"/>
            <w:vAlign w:val="center"/>
          </w:tcPr>
          <w:p>
            <w:pPr>
              <w:pStyle w:val="42"/>
            </w:pPr>
            <w:r>
              <w:rPr>
                <w:rFonts w:hint="eastAsia"/>
              </w:rPr>
              <w:t>8000</w:t>
            </w:r>
          </w:p>
        </w:tc>
        <w:tc>
          <w:tcPr>
            <w:tcW w:w="517" w:type="pct"/>
            <w:vAlign w:val="center"/>
          </w:tcPr>
          <w:p>
            <w:pPr>
              <w:pStyle w:val="42"/>
            </w:pPr>
            <w:r>
              <w:t>正常</w:t>
            </w:r>
          </w:p>
          <w:p>
            <w:pPr>
              <w:pStyle w:val="42"/>
            </w:pPr>
            <w:r>
              <w:t>排放</w:t>
            </w:r>
          </w:p>
        </w:tc>
      </w:tr>
    </w:tbl>
    <w:p>
      <w:pPr>
        <w:pStyle w:val="41"/>
      </w:pPr>
      <w:r>
        <w:rPr>
          <w:rFonts w:hint="eastAsia"/>
        </w:rPr>
        <w:t>表5.2-8  拟建项目正常工况下废气排放影响预测源强统计表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82"/>
        <w:gridCol w:w="1243"/>
        <w:gridCol w:w="1137"/>
        <w:gridCol w:w="1154"/>
        <w:gridCol w:w="1320"/>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5" w:type="pct"/>
            <w:vMerge w:val="restart"/>
            <w:vAlign w:val="center"/>
          </w:tcPr>
          <w:p>
            <w:pPr>
              <w:pStyle w:val="42"/>
            </w:pPr>
            <w:r>
              <w:t>污染源编号及名称</w:t>
            </w:r>
          </w:p>
        </w:tc>
        <w:tc>
          <w:tcPr>
            <w:tcW w:w="3695" w:type="pct"/>
            <w:gridSpan w:val="5"/>
          </w:tcPr>
          <w:p>
            <w:pPr>
              <w:pStyle w:val="42"/>
            </w:pPr>
            <w: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5" w:type="pct"/>
            <w:vMerge w:val="continue"/>
            <w:vAlign w:val="center"/>
          </w:tcPr>
          <w:p>
            <w:pPr>
              <w:pStyle w:val="42"/>
            </w:pPr>
          </w:p>
        </w:tc>
        <w:tc>
          <w:tcPr>
            <w:tcW w:w="743" w:type="pct"/>
            <w:vAlign w:val="center"/>
          </w:tcPr>
          <w:p>
            <w:pPr>
              <w:pStyle w:val="42"/>
            </w:pPr>
            <w:r>
              <w:rPr>
                <w:rFonts w:hint="eastAsia"/>
              </w:rPr>
              <w:t>SO</w:t>
            </w:r>
            <w:r>
              <w:rPr>
                <w:rFonts w:hint="eastAsia"/>
                <w:vertAlign w:val="subscript"/>
              </w:rPr>
              <w:t>2</w:t>
            </w:r>
          </w:p>
        </w:tc>
        <w:tc>
          <w:tcPr>
            <w:tcW w:w="680" w:type="pct"/>
            <w:vAlign w:val="center"/>
          </w:tcPr>
          <w:p>
            <w:pPr>
              <w:pStyle w:val="42"/>
            </w:pPr>
            <w:r>
              <w:rPr>
                <w:rFonts w:hint="eastAsia"/>
              </w:rPr>
              <w:t>NOx</w:t>
            </w:r>
          </w:p>
        </w:tc>
        <w:tc>
          <w:tcPr>
            <w:tcW w:w="690" w:type="pct"/>
            <w:vAlign w:val="center"/>
          </w:tcPr>
          <w:p>
            <w:pPr>
              <w:pStyle w:val="42"/>
            </w:pPr>
            <w:r>
              <w:rPr>
                <w:rFonts w:hint="eastAsia"/>
              </w:rPr>
              <w:t>PM</w:t>
            </w:r>
            <w:r>
              <w:rPr>
                <w:rFonts w:hint="eastAsia"/>
                <w:vertAlign w:val="subscript"/>
              </w:rPr>
              <w:t>10</w:t>
            </w:r>
          </w:p>
        </w:tc>
        <w:tc>
          <w:tcPr>
            <w:tcW w:w="789" w:type="pct"/>
            <w:vAlign w:val="center"/>
          </w:tcPr>
          <w:p>
            <w:pPr>
              <w:pStyle w:val="42"/>
            </w:pPr>
            <w:r>
              <w:rPr>
                <w:rFonts w:hint="eastAsia"/>
              </w:rPr>
              <w:t>NH</w:t>
            </w:r>
            <w:r>
              <w:rPr>
                <w:rFonts w:hint="eastAsia"/>
                <w:vertAlign w:val="subscript"/>
              </w:rPr>
              <w:t>3</w:t>
            </w:r>
          </w:p>
        </w:tc>
        <w:tc>
          <w:tcPr>
            <w:tcW w:w="793" w:type="pct"/>
            <w:vAlign w:val="center"/>
          </w:tcPr>
          <w:p>
            <w:pPr>
              <w:pStyle w:val="42"/>
            </w:pPr>
            <w:r>
              <w:rPr>
                <w:rFonts w:hint="eastAsi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5" w:type="pct"/>
            <w:vAlign w:val="center"/>
          </w:tcPr>
          <w:p>
            <w:pPr>
              <w:pStyle w:val="42"/>
            </w:pPr>
            <w:r>
              <w:rPr>
                <w:rFonts w:hint="eastAsia"/>
              </w:rPr>
              <w:t>一段转化炉烟气排放筒</w:t>
            </w:r>
          </w:p>
        </w:tc>
        <w:tc>
          <w:tcPr>
            <w:tcW w:w="743" w:type="pct"/>
            <w:vAlign w:val="center"/>
          </w:tcPr>
          <w:p>
            <w:pPr>
              <w:pStyle w:val="42"/>
            </w:pPr>
            <w:r>
              <w:rPr>
                <w:rFonts w:hint="eastAsia"/>
              </w:rPr>
              <w:t>0.86</w:t>
            </w:r>
          </w:p>
        </w:tc>
        <w:tc>
          <w:tcPr>
            <w:tcW w:w="680" w:type="pct"/>
            <w:vAlign w:val="center"/>
          </w:tcPr>
          <w:p>
            <w:pPr>
              <w:pStyle w:val="42"/>
            </w:pPr>
            <w:r>
              <w:rPr>
                <w:rFonts w:hint="eastAsia"/>
              </w:rPr>
              <w:t>12.95</w:t>
            </w:r>
          </w:p>
        </w:tc>
        <w:tc>
          <w:tcPr>
            <w:tcW w:w="690" w:type="pct"/>
            <w:vAlign w:val="center"/>
          </w:tcPr>
          <w:p>
            <w:pPr>
              <w:pStyle w:val="42"/>
            </w:pPr>
            <w:r>
              <w:rPr>
                <w:rFonts w:hint="eastAsia"/>
              </w:rPr>
              <w:t>1.726</w:t>
            </w:r>
          </w:p>
        </w:tc>
        <w:tc>
          <w:tcPr>
            <w:tcW w:w="789" w:type="pct"/>
            <w:vAlign w:val="center"/>
          </w:tcPr>
          <w:p>
            <w:pPr>
              <w:pStyle w:val="42"/>
            </w:pPr>
            <w:r>
              <w:rPr>
                <w:rFonts w:hint="eastAsia"/>
              </w:rPr>
              <w:t>0.05</w:t>
            </w:r>
          </w:p>
        </w:tc>
        <w:tc>
          <w:tcPr>
            <w:tcW w:w="793" w:type="pct"/>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5" w:type="pct"/>
            <w:vAlign w:val="center"/>
          </w:tcPr>
          <w:p>
            <w:pPr>
              <w:pStyle w:val="42"/>
            </w:pPr>
            <w:r>
              <w:rPr>
                <w:rFonts w:hint="eastAsia"/>
              </w:rPr>
              <w:t>装置区</w:t>
            </w:r>
            <w:r>
              <w:t>无组织排放</w:t>
            </w:r>
            <w:r>
              <w:rPr>
                <w:rFonts w:hint="eastAsia"/>
              </w:rPr>
              <w:t>废气</w:t>
            </w:r>
          </w:p>
        </w:tc>
        <w:tc>
          <w:tcPr>
            <w:tcW w:w="743" w:type="pct"/>
            <w:vAlign w:val="center"/>
          </w:tcPr>
          <w:p>
            <w:pPr>
              <w:pStyle w:val="42"/>
            </w:pPr>
            <w:r>
              <w:rPr>
                <w:rFonts w:hint="eastAsia"/>
              </w:rPr>
              <w:t>/</w:t>
            </w:r>
          </w:p>
        </w:tc>
        <w:tc>
          <w:tcPr>
            <w:tcW w:w="680" w:type="pct"/>
            <w:vAlign w:val="center"/>
          </w:tcPr>
          <w:p>
            <w:pPr>
              <w:pStyle w:val="42"/>
            </w:pPr>
            <w:r>
              <w:rPr>
                <w:rFonts w:hint="eastAsia"/>
              </w:rPr>
              <w:t>/</w:t>
            </w:r>
          </w:p>
        </w:tc>
        <w:tc>
          <w:tcPr>
            <w:tcW w:w="690" w:type="pct"/>
            <w:vAlign w:val="center"/>
          </w:tcPr>
          <w:p>
            <w:pPr>
              <w:pStyle w:val="42"/>
            </w:pPr>
            <w:r>
              <w:rPr>
                <w:rFonts w:hint="eastAsia"/>
              </w:rPr>
              <w:t>/</w:t>
            </w:r>
          </w:p>
        </w:tc>
        <w:tc>
          <w:tcPr>
            <w:tcW w:w="789" w:type="pct"/>
            <w:vAlign w:val="center"/>
          </w:tcPr>
          <w:p>
            <w:pPr>
              <w:pStyle w:val="42"/>
            </w:pPr>
            <w:r>
              <w:rPr>
                <w:rFonts w:hint="eastAsia"/>
              </w:rPr>
              <w:t>0.25</w:t>
            </w:r>
          </w:p>
        </w:tc>
        <w:tc>
          <w:tcPr>
            <w:tcW w:w="793" w:type="pct"/>
          </w:tcPr>
          <w:p>
            <w:pPr>
              <w:pStyle w:val="42"/>
            </w:pPr>
            <w:r>
              <w:rPr>
                <w:rFonts w:hint="eastAsia"/>
              </w:rPr>
              <w:t>0.0006</w:t>
            </w:r>
          </w:p>
        </w:tc>
      </w:tr>
    </w:tbl>
    <w:p>
      <w:pPr>
        <w:pStyle w:val="41"/>
      </w:pPr>
      <w:r>
        <w:rPr>
          <w:rFonts w:hint="eastAsia"/>
        </w:rPr>
        <w:t>表1.6.1-6  拟建项目废气排放影响估算预测结果</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381"/>
        <w:gridCol w:w="1029"/>
        <w:gridCol w:w="1103"/>
        <w:gridCol w:w="1029"/>
        <w:gridCol w:w="1029"/>
        <w:gridCol w:w="1029"/>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restart"/>
            <w:vAlign w:val="center"/>
          </w:tcPr>
          <w:p>
            <w:pPr>
              <w:pStyle w:val="42"/>
              <w:adjustRightInd w:val="0"/>
              <w:textAlignment w:val="baseline"/>
              <w:rPr>
                <w:sz w:val="18"/>
                <w:szCs w:val="18"/>
              </w:rPr>
            </w:pPr>
            <w:r>
              <w:rPr>
                <w:rFonts w:hint="eastAsia"/>
                <w:sz w:val="18"/>
                <w:szCs w:val="18"/>
              </w:rPr>
              <w:t>污染源编号及名称</w:t>
            </w:r>
          </w:p>
        </w:tc>
        <w:tc>
          <w:tcPr>
            <w:tcW w:w="1381" w:type="dxa"/>
            <w:vMerge w:val="restart"/>
            <w:vAlign w:val="center"/>
          </w:tcPr>
          <w:p>
            <w:pPr>
              <w:pStyle w:val="42"/>
              <w:adjustRightInd w:val="0"/>
              <w:textAlignment w:val="baseline"/>
              <w:rPr>
                <w:sz w:val="18"/>
                <w:szCs w:val="18"/>
              </w:rPr>
            </w:pPr>
            <w:r>
              <w:rPr>
                <w:rFonts w:hint="eastAsia"/>
                <w:sz w:val="18"/>
                <w:szCs w:val="18"/>
              </w:rPr>
              <w:t>预测内容</w:t>
            </w:r>
          </w:p>
        </w:tc>
        <w:tc>
          <w:tcPr>
            <w:tcW w:w="6340" w:type="dxa"/>
            <w:gridSpan w:val="6"/>
            <w:vAlign w:val="center"/>
          </w:tcPr>
          <w:p>
            <w:pPr>
              <w:pStyle w:val="42"/>
              <w:adjustRightInd w:val="0"/>
              <w:textAlignment w:val="baseline"/>
              <w:rPr>
                <w:sz w:val="18"/>
                <w:szCs w:val="18"/>
              </w:rPr>
            </w:pPr>
            <w:r>
              <w:rPr>
                <w:rFonts w:hint="eastAsia"/>
                <w:sz w:val="18"/>
                <w:szCs w:val="18"/>
              </w:rPr>
              <w:t>估算模式预测结果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vAlign w:val="center"/>
          </w:tcPr>
          <w:p>
            <w:pPr>
              <w:pStyle w:val="42"/>
              <w:adjustRightInd w:val="0"/>
              <w:textAlignment w:val="baseline"/>
              <w:rPr>
                <w:sz w:val="18"/>
                <w:szCs w:val="18"/>
              </w:rPr>
            </w:pPr>
          </w:p>
        </w:tc>
        <w:tc>
          <w:tcPr>
            <w:tcW w:w="1381" w:type="dxa"/>
            <w:vMerge w:val="continue"/>
            <w:vAlign w:val="center"/>
          </w:tcPr>
          <w:p>
            <w:pPr>
              <w:pStyle w:val="42"/>
              <w:adjustRightInd w:val="0"/>
              <w:textAlignment w:val="baseline"/>
              <w:rPr>
                <w:sz w:val="18"/>
                <w:szCs w:val="18"/>
              </w:rPr>
            </w:pPr>
          </w:p>
        </w:tc>
        <w:tc>
          <w:tcPr>
            <w:tcW w:w="1029" w:type="dxa"/>
            <w:vAlign w:val="center"/>
          </w:tcPr>
          <w:p>
            <w:pPr>
              <w:pStyle w:val="42"/>
              <w:adjustRightInd w:val="0"/>
              <w:textAlignment w:val="baseline"/>
              <w:rPr>
                <w:sz w:val="18"/>
                <w:szCs w:val="18"/>
              </w:rPr>
            </w:pPr>
            <w:r>
              <w:rPr>
                <w:rFonts w:hint="eastAsia"/>
                <w:sz w:val="18"/>
                <w:szCs w:val="18"/>
              </w:rPr>
              <w:t>SO</w:t>
            </w:r>
            <w:r>
              <w:rPr>
                <w:rFonts w:hint="eastAsia"/>
                <w:sz w:val="18"/>
                <w:szCs w:val="18"/>
                <w:vertAlign w:val="subscript"/>
              </w:rPr>
              <w:t>2</w:t>
            </w:r>
          </w:p>
        </w:tc>
        <w:tc>
          <w:tcPr>
            <w:tcW w:w="1103" w:type="dxa"/>
            <w:vAlign w:val="center"/>
          </w:tcPr>
          <w:p>
            <w:pPr>
              <w:pStyle w:val="42"/>
              <w:adjustRightInd w:val="0"/>
              <w:textAlignment w:val="baseline"/>
              <w:rPr>
                <w:sz w:val="18"/>
                <w:szCs w:val="18"/>
              </w:rPr>
            </w:pPr>
            <w:r>
              <w:rPr>
                <w:rFonts w:hint="eastAsia"/>
                <w:sz w:val="18"/>
                <w:szCs w:val="18"/>
              </w:rPr>
              <w:t>NOx</w:t>
            </w:r>
          </w:p>
        </w:tc>
        <w:tc>
          <w:tcPr>
            <w:tcW w:w="1029" w:type="dxa"/>
            <w:vAlign w:val="center"/>
          </w:tcPr>
          <w:p>
            <w:pPr>
              <w:pStyle w:val="42"/>
              <w:adjustRightInd w:val="0"/>
              <w:textAlignment w:val="baseline"/>
              <w:rPr>
                <w:sz w:val="18"/>
                <w:szCs w:val="18"/>
              </w:rPr>
            </w:pPr>
            <w:r>
              <w:rPr>
                <w:rFonts w:hint="eastAsia"/>
                <w:sz w:val="18"/>
                <w:szCs w:val="18"/>
              </w:rPr>
              <w:t>PM</w:t>
            </w:r>
            <w:r>
              <w:rPr>
                <w:rFonts w:hint="eastAsia"/>
                <w:sz w:val="18"/>
                <w:szCs w:val="18"/>
                <w:vertAlign w:val="subscript"/>
              </w:rPr>
              <w:t>10</w:t>
            </w:r>
          </w:p>
        </w:tc>
        <w:tc>
          <w:tcPr>
            <w:tcW w:w="1029" w:type="dxa"/>
            <w:vAlign w:val="center"/>
          </w:tcPr>
          <w:p>
            <w:pPr>
              <w:pStyle w:val="42"/>
              <w:adjustRightInd w:val="0"/>
              <w:textAlignment w:val="baseline"/>
              <w:rPr>
                <w:sz w:val="18"/>
                <w:szCs w:val="18"/>
              </w:rPr>
            </w:pPr>
            <w:r>
              <w:rPr>
                <w:rFonts w:hint="eastAsia"/>
                <w:sz w:val="18"/>
                <w:szCs w:val="18"/>
              </w:rPr>
              <w:t>PM</w:t>
            </w:r>
            <w:r>
              <w:rPr>
                <w:rFonts w:hint="eastAsia"/>
                <w:sz w:val="18"/>
                <w:szCs w:val="18"/>
                <w:vertAlign w:val="subscript"/>
              </w:rPr>
              <w:t>2.5</w:t>
            </w:r>
          </w:p>
        </w:tc>
        <w:tc>
          <w:tcPr>
            <w:tcW w:w="1029" w:type="dxa"/>
            <w:vAlign w:val="center"/>
          </w:tcPr>
          <w:p>
            <w:pPr>
              <w:pStyle w:val="42"/>
              <w:adjustRightInd w:val="0"/>
              <w:textAlignment w:val="baseline"/>
              <w:rPr>
                <w:sz w:val="18"/>
                <w:szCs w:val="18"/>
              </w:rPr>
            </w:pPr>
            <w:r>
              <w:rPr>
                <w:rFonts w:hint="eastAsia"/>
                <w:sz w:val="18"/>
                <w:szCs w:val="18"/>
              </w:rPr>
              <w:t>NH</w:t>
            </w:r>
            <w:r>
              <w:rPr>
                <w:rFonts w:hint="eastAsia"/>
                <w:sz w:val="18"/>
                <w:szCs w:val="18"/>
                <w:vertAlign w:val="subscript"/>
              </w:rPr>
              <w:t>3</w:t>
            </w:r>
          </w:p>
        </w:tc>
        <w:tc>
          <w:tcPr>
            <w:tcW w:w="1121" w:type="dxa"/>
            <w:vAlign w:val="center"/>
          </w:tcPr>
          <w:p>
            <w:pPr>
              <w:pStyle w:val="42"/>
              <w:adjustRightInd w:val="0"/>
              <w:textAlignment w:val="baseline"/>
              <w:rPr>
                <w:sz w:val="18"/>
                <w:szCs w:val="18"/>
              </w:rPr>
            </w:pPr>
            <w:r>
              <w:rPr>
                <w:rFonts w:hint="eastAsia"/>
                <w:sz w:val="18"/>
                <w:szCs w:val="18"/>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restart"/>
            <w:vAlign w:val="center"/>
          </w:tcPr>
          <w:p>
            <w:pPr>
              <w:pStyle w:val="42"/>
              <w:adjustRightInd w:val="0"/>
              <w:textAlignment w:val="baseline"/>
              <w:rPr>
                <w:sz w:val="18"/>
                <w:szCs w:val="18"/>
              </w:rPr>
            </w:pPr>
            <w:r>
              <w:rPr>
                <w:rFonts w:hint="eastAsia"/>
                <w:sz w:val="18"/>
                <w:szCs w:val="18"/>
              </w:rPr>
              <w:t>一段转化炉排气筒</w:t>
            </w:r>
          </w:p>
        </w:tc>
        <w:tc>
          <w:tcPr>
            <w:tcW w:w="1381" w:type="dxa"/>
            <w:vAlign w:val="center"/>
          </w:tcPr>
          <w:p>
            <w:pPr>
              <w:pStyle w:val="42"/>
              <w:adjustRightInd w:val="0"/>
              <w:textAlignment w:val="baseline"/>
              <w:rPr>
                <w:sz w:val="18"/>
                <w:szCs w:val="18"/>
              </w:rPr>
            </w:pPr>
            <w:r>
              <w:rPr>
                <w:rFonts w:hint="eastAsia"/>
                <w:sz w:val="18"/>
                <w:szCs w:val="18"/>
              </w:rPr>
              <w:t>最大地面浓度（mg/m</w:t>
            </w:r>
            <w:r>
              <w:rPr>
                <w:rFonts w:hint="eastAsia"/>
                <w:sz w:val="18"/>
                <w:szCs w:val="18"/>
                <w:vertAlign w:val="superscript"/>
              </w:rPr>
              <w:t>3</w:t>
            </w:r>
            <w:r>
              <w:rPr>
                <w:rFonts w:hint="eastAsia"/>
                <w:sz w:val="18"/>
                <w:szCs w:val="18"/>
              </w:rPr>
              <w:t>）</w:t>
            </w:r>
          </w:p>
        </w:tc>
        <w:tc>
          <w:tcPr>
            <w:tcW w:w="1029" w:type="dxa"/>
            <w:vAlign w:val="center"/>
          </w:tcPr>
          <w:p>
            <w:pPr>
              <w:pStyle w:val="42"/>
              <w:adjustRightInd w:val="0"/>
              <w:textAlignment w:val="baseline"/>
              <w:rPr>
                <w:rFonts w:ascii="宋体" w:hAnsi="宋体" w:cs="宋体"/>
                <w:sz w:val="18"/>
                <w:szCs w:val="18"/>
              </w:rPr>
            </w:pPr>
            <w:r>
              <w:rPr>
                <w:rFonts w:hint="eastAsia"/>
                <w:sz w:val="18"/>
                <w:szCs w:val="18"/>
              </w:rPr>
              <w:t>1.41E-03</w:t>
            </w:r>
          </w:p>
        </w:tc>
        <w:tc>
          <w:tcPr>
            <w:tcW w:w="1103" w:type="dxa"/>
            <w:vAlign w:val="center"/>
          </w:tcPr>
          <w:p>
            <w:pPr>
              <w:pStyle w:val="42"/>
              <w:adjustRightInd w:val="0"/>
              <w:textAlignment w:val="baseline"/>
              <w:rPr>
                <w:rFonts w:ascii="宋体" w:hAnsi="宋体" w:cs="宋体"/>
                <w:sz w:val="18"/>
                <w:szCs w:val="18"/>
              </w:rPr>
            </w:pPr>
            <w:r>
              <w:rPr>
                <w:rFonts w:hint="eastAsia"/>
                <w:sz w:val="18"/>
                <w:szCs w:val="18"/>
              </w:rPr>
              <w:t>2.12E-02</w:t>
            </w:r>
          </w:p>
        </w:tc>
        <w:tc>
          <w:tcPr>
            <w:tcW w:w="1029" w:type="dxa"/>
            <w:vAlign w:val="center"/>
          </w:tcPr>
          <w:p>
            <w:pPr>
              <w:pStyle w:val="42"/>
              <w:adjustRightInd w:val="0"/>
              <w:textAlignment w:val="baseline"/>
              <w:rPr>
                <w:rFonts w:ascii="宋体" w:hAnsi="宋体" w:cs="宋体"/>
                <w:sz w:val="18"/>
                <w:szCs w:val="18"/>
              </w:rPr>
            </w:pPr>
            <w:r>
              <w:rPr>
                <w:rFonts w:hint="eastAsia"/>
                <w:sz w:val="18"/>
                <w:szCs w:val="18"/>
              </w:rPr>
              <w:t>2.83E-03</w:t>
            </w:r>
          </w:p>
        </w:tc>
        <w:tc>
          <w:tcPr>
            <w:tcW w:w="1029" w:type="dxa"/>
            <w:vAlign w:val="center"/>
          </w:tcPr>
          <w:p>
            <w:pPr>
              <w:pStyle w:val="42"/>
              <w:adjustRightInd w:val="0"/>
              <w:textAlignment w:val="baseline"/>
              <w:rPr>
                <w:rFonts w:ascii="宋体" w:hAnsi="宋体" w:cs="宋体"/>
                <w:sz w:val="18"/>
                <w:szCs w:val="18"/>
              </w:rPr>
            </w:pPr>
            <w:r>
              <w:rPr>
                <w:rFonts w:hint="eastAsia"/>
                <w:sz w:val="18"/>
                <w:szCs w:val="18"/>
              </w:rPr>
              <w:t>1.41E-03</w:t>
            </w:r>
          </w:p>
        </w:tc>
        <w:tc>
          <w:tcPr>
            <w:tcW w:w="1029" w:type="dxa"/>
            <w:vAlign w:val="center"/>
          </w:tcPr>
          <w:p>
            <w:pPr>
              <w:pStyle w:val="42"/>
              <w:adjustRightInd w:val="0"/>
              <w:textAlignment w:val="baseline"/>
              <w:rPr>
                <w:rFonts w:ascii="宋体" w:hAnsi="宋体" w:cs="宋体"/>
                <w:sz w:val="18"/>
                <w:szCs w:val="18"/>
              </w:rPr>
            </w:pPr>
            <w:r>
              <w:rPr>
                <w:rFonts w:hint="eastAsia"/>
                <w:sz w:val="18"/>
                <w:szCs w:val="18"/>
              </w:rPr>
              <w:t>8.20E-05</w:t>
            </w:r>
          </w:p>
        </w:tc>
        <w:tc>
          <w:tcPr>
            <w:tcW w:w="1121" w:type="dxa"/>
            <w:vAlign w:val="center"/>
          </w:tcPr>
          <w:p>
            <w:pPr>
              <w:pStyle w:val="42"/>
              <w:adjustRightInd w:val="0"/>
              <w:textAlignment w:val="baseline"/>
              <w:rPr>
                <w:rFonts w:ascii="宋体" w:hAnsi="宋体" w:cs="宋体"/>
                <w:sz w:val="18"/>
                <w:szCs w:val="18"/>
              </w:rPr>
            </w:pPr>
            <w:r>
              <w:rPr>
                <w:rFonts w:hint="eastAsia"/>
                <w:sz w:val="18"/>
                <w:szCs w:val="18"/>
              </w:rPr>
              <w:t>0.00E+00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vAlign w:val="center"/>
          </w:tcPr>
          <w:p>
            <w:pPr>
              <w:pStyle w:val="42"/>
              <w:adjustRightInd w:val="0"/>
              <w:textAlignment w:val="baseline"/>
              <w:rPr>
                <w:sz w:val="18"/>
                <w:szCs w:val="18"/>
              </w:rPr>
            </w:pPr>
          </w:p>
        </w:tc>
        <w:tc>
          <w:tcPr>
            <w:tcW w:w="1381" w:type="dxa"/>
            <w:vAlign w:val="center"/>
          </w:tcPr>
          <w:p>
            <w:pPr>
              <w:pStyle w:val="42"/>
              <w:adjustRightInd w:val="0"/>
              <w:textAlignment w:val="baseline"/>
              <w:rPr>
                <w:sz w:val="18"/>
                <w:szCs w:val="18"/>
              </w:rPr>
            </w:pPr>
            <w:r>
              <w:rPr>
                <w:rFonts w:hint="eastAsia"/>
                <w:sz w:val="18"/>
                <w:szCs w:val="18"/>
              </w:rPr>
              <w:t>占标率（%）</w:t>
            </w:r>
          </w:p>
        </w:tc>
        <w:tc>
          <w:tcPr>
            <w:tcW w:w="1029" w:type="dxa"/>
            <w:vAlign w:val="center"/>
          </w:tcPr>
          <w:p>
            <w:pPr>
              <w:pStyle w:val="42"/>
              <w:adjustRightInd w:val="0"/>
              <w:textAlignment w:val="baseline"/>
              <w:rPr>
                <w:sz w:val="18"/>
                <w:szCs w:val="18"/>
              </w:rPr>
            </w:pPr>
            <w:r>
              <w:rPr>
                <w:rFonts w:hint="eastAsia"/>
                <w:sz w:val="18"/>
                <w:szCs w:val="18"/>
              </w:rPr>
              <w:t>0.28</w:t>
            </w:r>
          </w:p>
        </w:tc>
        <w:tc>
          <w:tcPr>
            <w:tcW w:w="1103" w:type="dxa"/>
            <w:vAlign w:val="center"/>
          </w:tcPr>
          <w:p>
            <w:pPr>
              <w:pStyle w:val="42"/>
              <w:adjustRightInd w:val="0"/>
              <w:textAlignment w:val="baseline"/>
              <w:rPr>
                <w:sz w:val="18"/>
                <w:szCs w:val="18"/>
              </w:rPr>
            </w:pPr>
            <w:r>
              <w:rPr>
                <w:rFonts w:hint="eastAsia"/>
                <w:sz w:val="18"/>
                <w:szCs w:val="18"/>
              </w:rPr>
              <w:t>8.49</w:t>
            </w:r>
          </w:p>
        </w:tc>
        <w:tc>
          <w:tcPr>
            <w:tcW w:w="1029" w:type="dxa"/>
            <w:vAlign w:val="center"/>
          </w:tcPr>
          <w:p>
            <w:pPr>
              <w:pStyle w:val="42"/>
              <w:adjustRightInd w:val="0"/>
              <w:textAlignment w:val="baseline"/>
              <w:rPr>
                <w:sz w:val="18"/>
                <w:szCs w:val="18"/>
              </w:rPr>
            </w:pPr>
            <w:r>
              <w:rPr>
                <w:rFonts w:hint="eastAsia"/>
                <w:sz w:val="18"/>
                <w:szCs w:val="18"/>
              </w:rPr>
              <w:t>0.63</w:t>
            </w:r>
          </w:p>
        </w:tc>
        <w:tc>
          <w:tcPr>
            <w:tcW w:w="1029" w:type="dxa"/>
            <w:vAlign w:val="center"/>
          </w:tcPr>
          <w:p>
            <w:pPr>
              <w:pStyle w:val="42"/>
              <w:adjustRightInd w:val="0"/>
              <w:textAlignment w:val="baseline"/>
              <w:rPr>
                <w:sz w:val="18"/>
                <w:szCs w:val="18"/>
              </w:rPr>
            </w:pPr>
            <w:r>
              <w:rPr>
                <w:rFonts w:hint="eastAsia"/>
                <w:sz w:val="18"/>
                <w:szCs w:val="18"/>
              </w:rPr>
              <w:t>0.63</w:t>
            </w:r>
          </w:p>
        </w:tc>
        <w:tc>
          <w:tcPr>
            <w:tcW w:w="1029" w:type="dxa"/>
            <w:vAlign w:val="center"/>
          </w:tcPr>
          <w:p>
            <w:pPr>
              <w:pStyle w:val="42"/>
              <w:adjustRightInd w:val="0"/>
              <w:textAlignment w:val="baseline"/>
              <w:rPr>
                <w:sz w:val="18"/>
                <w:szCs w:val="18"/>
              </w:rPr>
            </w:pPr>
            <w:r>
              <w:rPr>
                <w:rFonts w:hint="eastAsia"/>
                <w:sz w:val="18"/>
                <w:szCs w:val="18"/>
              </w:rPr>
              <w:t>0.04</w:t>
            </w:r>
          </w:p>
        </w:tc>
        <w:tc>
          <w:tcPr>
            <w:tcW w:w="1121" w:type="dxa"/>
            <w:vAlign w:val="center"/>
          </w:tcPr>
          <w:p>
            <w:pPr>
              <w:pStyle w:val="42"/>
              <w:adjustRightInd w:val="0"/>
              <w:textAlignment w:val="baseline"/>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vAlign w:val="center"/>
          </w:tcPr>
          <w:p>
            <w:pPr>
              <w:pStyle w:val="42"/>
              <w:adjustRightInd w:val="0"/>
              <w:textAlignment w:val="baseline"/>
              <w:rPr>
                <w:sz w:val="18"/>
                <w:szCs w:val="18"/>
              </w:rPr>
            </w:pPr>
          </w:p>
        </w:tc>
        <w:tc>
          <w:tcPr>
            <w:tcW w:w="1381" w:type="dxa"/>
            <w:vAlign w:val="center"/>
          </w:tcPr>
          <w:p>
            <w:pPr>
              <w:pStyle w:val="42"/>
              <w:adjustRightInd w:val="0"/>
              <w:textAlignment w:val="baseline"/>
              <w:rPr>
                <w:sz w:val="18"/>
                <w:szCs w:val="18"/>
              </w:rPr>
            </w:pPr>
            <w:r>
              <w:rPr>
                <w:rFonts w:hint="eastAsia"/>
                <w:sz w:val="18"/>
                <w:szCs w:val="18"/>
              </w:rPr>
              <w:t>D</w:t>
            </w:r>
            <w:r>
              <w:rPr>
                <w:rFonts w:hint="eastAsia"/>
                <w:sz w:val="18"/>
                <w:szCs w:val="18"/>
                <w:vertAlign w:val="subscript"/>
              </w:rPr>
              <w:t>10%</w:t>
            </w:r>
            <w:r>
              <w:rPr>
                <w:rFonts w:hint="eastAsia"/>
                <w:sz w:val="18"/>
                <w:szCs w:val="18"/>
              </w:rPr>
              <w:t>（m）</w:t>
            </w:r>
          </w:p>
        </w:tc>
        <w:tc>
          <w:tcPr>
            <w:tcW w:w="1029" w:type="dxa"/>
            <w:vAlign w:val="center"/>
          </w:tcPr>
          <w:p>
            <w:pPr>
              <w:pStyle w:val="42"/>
              <w:adjustRightInd w:val="0"/>
              <w:textAlignment w:val="baseline"/>
              <w:rPr>
                <w:sz w:val="18"/>
                <w:szCs w:val="18"/>
              </w:rPr>
            </w:pPr>
            <w:r>
              <w:rPr>
                <w:rFonts w:hint="eastAsia"/>
                <w:sz w:val="18"/>
                <w:szCs w:val="18"/>
              </w:rPr>
              <w:t>0</w:t>
            </w:r>
          </w:p>
        </w:tc>
        <w:tc>
          <w:tcPr>
            <w:tcW w:w="1103" w:type="dxa"/>
            <w:vAlign w:val="center"/>
          </w:tcPr>
          <w:p>
            <w:pPr>
              <w:pStyle w:val="42"/>
              <w:adjustRightInd w:val="0"/>
              <w:textAlignment w:val="baseline"/>
              <w:rPr>
                <w:sz w:val="18"/>
                <w:szCs w:val="18"/>
              </w:rPr>
            </w:pPr>
            <w:r>
              <w:rPr>
                <w:rFonts w:hint="eastAsia"/>
                <w:sz w:val="18"/>
                <w:szCs w:val="18"/>
              </w:rPr>
              <w:t>0</w:t>
            </w:r>
          </w:p>
        </w:tc>
        <w:tc>
          <w:tcPr>
            <w:tcW w:w="1029" w:type="dxa"/>
            <w:vAlign w:val="center"/>
          </w:tcPr>
          <w:p>
            <w:pPr>
              <w:pStyle w:val="42"/>
              <w:adjustRightInd w:val="0"/>
              <w:textAlignment w:val="baseline"/>
              <w:rPr>
                <w:sz w:val="18"/>
                <w:szCs w:val="18"/>
              </w:rPr>
            </w:pPr>
            <w:r>
              <w:rPr>
                <w:rFonts w:hint="eastAsia"/>
                <w:sz w:val="18"/>
                <w:szCs w:val="18"/>
              </w:rPr>
              <w:t>0</w:t>
            </w:r>
          </w:p>
        </w:tc>
        <w:tc>
          <w:tcPr>
            <w:tcW w:w="1029" w:type="dxa"/>
            <w:vAlign w:val="center"/>
          </w:tcPr>
          <w:p>
            <w:pPr>
              <w:pStyle w:val="42"/>
              <w:adjustRightInd w:val="0"/>
              <w:textAlignment w:val="baseline"/>
              <w:rPr>
                <w:sz w:val="18"/>
                <w:szCs w:val="18"/>
              </w:rPr>
            </w:pPr>
            <w:r>
              <w:rPr>
                <w:rFonts w:hint="eastAsia"/>
                <w:sz w:val="18"/>
                <w:szCs w:val="18"/>
              </w:rPr>
              <w:t>0</w:t>
            </w:r>
          </w:p>
        </w:tc>
        <w:tc>
          <w:tcPr>
            <w:tcW w:w="1029" w:type="dxa"/>
            <w:vAlign w:val="center"/>
          </w:tcPr>
          <w:p>
            <w:pPr>
              <w:pStyle w:val="42"/>
              <w:adjustRightInd w:val="0"/>
              <w:textAlignment w:val="baseline"/>
              <w:rPr>
                <w:sz w:val="18"/>
                <w:szCs w:val="18"/>
              </w:rPr>
            </w:pPr>
            <w:r>
              <w:rPr>
                <w:rFonts w:hint="eastAsia"/>
                <w:sz w:val="18"/>
                <w:szCs w:val="18"/>
              </w:rPr>
              <w:t>0</w:t>
            </w:r>
          </w:p>
        </w:tc>
        <w:tc>
          <w:tcPr>
            <w:tcW w:w="1121" w:type="dxa"/>
            <w:vAlign w:val="center"/>
          </w:tcPr>
          <w:p>
            <w:pPr>
              <w:pStyle w:val="42"/>
              <w:adjustRightInd w:val="0"/>
              <w:textAlignment w:val="baseline"/>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restart"/>
            <w:vAlign w:val="center"/>
          </w:tcPr>
          <w:p>
            <w:pPr>
              <w:pStyle w:val="42"/>
              <w:adjustRightInd w:val="0"/>
              <w:textAlignment w:val="baseline"/>
              <w:rPr>
                <w:sz w:val="18"/>
                <w:szCs w:val="18"/>
              </w:rPr>
            </w:pPr>
            <w:r>
              <w:rPr>
                <w:rFonts w:hint="eastAsia"/>
                <w:sz w:val="18"/>
                <w:szCs w:val="18"/>
              </w:rPr>
              <w:t>装置区无组织排放废气</w:t>
            </w:r>
          </w:p>
        </w:tc>
        <w:tc>
          <w:tcPr>
            <w:tcW w:w="1381" w:type="dxa"/>
            <w:vAlign w:val="center"/>
          </w:tcPr>
          <w:p>
            <w:pPr>
              <w:pStyle w:val="42"/>
              <w:adjustRightInd w:val="0"/>
              <w:textAlignment w:val="baseline"/>
              <w:rPr>
                <w:sz w:val="18"/>
                <w:szCs w:val="18"/>
              </w:rPr>
            </w:pPr>
            <w:r>
              <w:rPr>
                <w:rFonts w:hint="eastAsia"/>
                <w:sz w:val="18"/>
                <w:szCs w:val="18"/>
              </w:rPr>
              <w:t>最大地面浓度（mg/m</w:t>
            </w:r>
            <w:r>
              <w:rPr>
                <w:rFonts w:hint="eastAsia"/>
                <w:sz w:val="18"/>
                <w:szCs w:val="18"/>
                <w:vertAlign w:val="superscript"/>
              </w:rPr>
              <w:t>3</w:t>
            </w: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103"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rFonts w:ascii="宋体" w:hAnsi="宋体" w:cs="宋体"/>
                <w:sz w:val="18"/>
                <w:szCs w:val="18"/>
              </w:rPr>
            </w:pPr>
            <w:r>
              <w:rPr>
                <w:rFonts w:hint="eastAsia"/>
                <w:sz w:val="18"/>
                <w:szCs w:val="18"/>
              </w:rPr>
              <w:t>1.34E-02</w:t>
            </w:r>
          </w:p>
        </w:tc>
        <w:tc>
          <w:tcPr>
            <w:tcW w:w="1121" w:type="dxa"/>
            <w:vAlign w:val="center"/>
          </w:tcPr>
          <w:p>
            <w:pPr>
              <w:pStyle w:val="42"/>
              <w:adjustRightInd w:val="0"/>
              <w:textAlignment w:val="baseline"/>
              <w:rPr>
                <w:rFonts w:ascii="宋体" w:hAnsi="宋体" w:cs="宋体"/>
                <w:sz w:val="18"/>
                <w:szCs w:val="18"/>
              </w:rPr>
            </w:pPr>
            <w:r>
              <w:rPr>
                <w:rFonts w:hint="eastAsia"/>
                <w:sz w:val="18"/>
                <w:szCs w:val="18"/>
              </w:rPr>
              <w:t>3.22E-05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vAlign w:val="center"/>
          </w:tcPr>
          <w:p>
            <w:pPr>
              <w:pStyle w:val="42"/>
              <w:adjustRightInd w:val="0"/>
              <w:textAlignment w:val="baseline"/>
              <w:rPr>
                <w:sz w:val="18"/>
                <w:szCs w:val="18"/>
              </w:rPr>
            </w:pPr>
          </w:p>
        </w:tc>
        <w:tc>
          <w:tcPr>
            <w:tcW w:w="1381" w:type="dxa"/>
            <w:vAlign w:val="center"/>
          </w:tcPr>
          <w:p>
            <w:pPr>
              <w:pStyle w:val="42"/>
              <w:adjustRightInd w:val="0"/>
              <w:textAlignment w:val="baseline"/>
              <w:rPr>
                <w:sz w:val="18"/>
                <w:szCs w:val="18"/>
              </w:rPr>
            </w:pPr>
            <w:r>
              <w:rPr>
                <w:rFonts w:hint="eastAsia"/>
                <w:sz w:val="18"/>
                <w:szCs w:val="18"/>
              </w:rPr>
              <w:t>占标率（%）</w:t>
            </w:r>
          </w:p>
        </w:tc>
        <w:tc>
          <w:tcPr>
            <w:tcW w:w="1029" w:type="dxa"/>
            <w:vAlign w:val="center"/>
          </w:tcPr>
          <w:p>
            <w:pPr>
              <w:pStyle w:val="42"/>
              <w:adjustRightInd w:val="0"/>
              <w:textAlignment w:val="baseline"/>
              <w:rPr>
                <w:sz w:val="18"/>
                <w:szCs w:val="18"/>
              </w:rPr>
            </w:pPr>
            <w:r>
              <w:rPr>
                <w:rFonts w:hint="eastAsia"/>
                <w:sz w:val="18"/>
                <w:szCs w:val="18"/>
              </w:rPr>
              <w:t>/</w:t>
            </w:r>
          </w:p>
        </w:tc>
        <w:tc>
          <w:tcPr>
            <w:tcW w:w="1103"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6.71</w:t>
            </w:r>
          </w:p>
        </w:tc>
        <w:tc>
          <w:tcPr>
            <w:tcW w:w="1121" w:type="dxa"/>
            <w:vAlign w:val="center"/>
          </w:tcPr>
          <w:p>
            <w:pPr>
              <w:pStyle w:val="42"/>
              <w:adjustRightInd w:val="0"/>
              <w:textAlignment w:val="baseline"/>
              <w:rPr>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vAlign w:val="center"/>
          </w:tcPr>
          <w:p>
            <w:pPr>
              <w:pStyle w:val="42"/>
              <w:adjustRightInd w:val="0"/>
              <w:textAlignment w:val="baseline"/>
              <w:rPr>
                <w:sz w:val="18"/>
                <w:szCs w:val="18"/>
              </w:rPr>
            </w:pPr>
          </w:p>
        </w:tc>
        <w:tc>
          <w:tcPr>
            <w:tcW w:w="1381" w:type="dxa"/>
            <w:vAlign w:val="center"/>
          </w:tcPr>
          <w:p>
            <w:pPr>
              <w:pStyle w:val="42"/>
              <w:adjustRightInd w:val="0"/>
              <w:textAlignment w:val="baseline"/>
              <w:rPr>
                <w:sz w:val="18"/>
                <w:szCs w:val="18"/>
              </w:rPr>
            </w:pPr>
            <w:r>
              <w:rPr>
                <w:rFonts w:hint="eastAsia"/>
                <w:sz w:val="18"/>
                <w:szCs w:val="18"/>
              </w:rPr>
              <w:t>D</w:t>
            </w:r>
            <w:r>
              <w:rPr>
                <w:rFonts w:hint="eastAsia"/>
                <w:sz w:val="18"/>
                <w:szCs w:val="18"/>
                <w:vertAlign w:val="subscript"/>
              </w:rPr>
              <w:t>10%</w:t>
            </w:r>
            <w:r>
              <w:rPr>
                <w:rFonts w:hint="eastAsia"/>
                <w:sz w:val="18"/>
                <w:szCs w:val="18"/>
              </w:rPr>
              <w:t>（m）</w:t>
            </w:r>
          </w:p>
        </w:tc>
        <w:tc>
          <w:tcPr>
            <w:tcW w:w="1029" w:type="dxa"/>
            <w:vAlign w:val="center"/>
          </w:tcPr>
          <w:p>
            <w:pPr>
              <w:pStyle w:val="42"/>
              <w:adjustRightInd w:val="0"/>
              <w:textAlignment w:val="baseline"/>
              <w:rPr>
                <w:sz w:val="18"/>
                <w:szCs w:val="18"/>
              </w:rPr>
            </w:pPr>
            <w:r>
              <w:rPr>
                <w:rFonts w:hint="eastAsia"/>
                <w:sz w:val="18"/>
                <w:szCs w:val="18"/>
              </w:rPr>
              <w:t>/</w:t>
            </w:r>
          </w:p>
        </w:tc>
        <w:tc>
          <w:tcPr>
            <w:tcW w:w="1103"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w:t>
            </w:r>
          </w:p>
        </w:tc>
        <w:tc>
          <w:tcPr>
            <w:tcW w:w="1029" w:type="dxa"/>
            <w:vAlign w:val="center"/>
          </w:tcPr>
          <w:p>
            <w:pPr>
              <w:pStyle w:val="42"/>
              <w:adjustRightInd w:val="0"/>
              <w:textAlignment w:val="baseline"/>
              <w:rPr>
                <w:sz w:val="18"/>
                <w:szCs w:val="18"/>
              </w:rPr>
            </w:pPr>
            <w:r>
              <w:rPr>
                <w:rFonts w:hint="eastAsia"/>
                <w:sz w:val="18"/>
                <w:szCs w:val="18"/>
              </w:rPr>
              <w:t>0</w:t>
            </w:r>
          </w:p>
        </w:tc>
        <w:tc>
          <w:tcPr>
            <w:tcW w:w="1121" w:type="dxa"/>
            <w:vAlign w:val="center"/>
          </w:tcPr>
          <w:p>
            <w:pPr>
              <w:pStyle w:val="42"/>
              <w:adjustRightInd w:val="0"/>
              <w:textAlignment w:val="baseline"/>
              <w:rPr>
                <w:sz w:val="18"/>
                <w:szCs w:val="18"/>
              </w:rPr>
            </w:pPr>
            <w:r>
              <w:rPr>
                <w:rFonts w:hint="eastAsia"/>
                <w:sz w:val="18"/>
                <w:szCs w:val="18"/>
              </w:rPr>
              <w:t>0</w:t>
            </w:r>
          </w:p>
        </w:tc>
      </w:tr>
    </w:tbl>
    <w:p>
      <w:pPr>
        <w:ind w:firstLine="480"/>
      </w:pPr>
      <w:r>
        <w:rPr>
          <w:rFonts w:hint="eastAsia"/>
        </w:rPr>
        <w:t>由表1.6.1-6可知，拟建项目排放的废气污染物最大占标率Pmax</w:t>
      </w:r>
      <w:r>
        <w:t xml:space="preserve"> </w:t>
      </w:r>
      <w:r>
        <w:rPr>
          <w:rFonts w:hint="eastAsia"/>
        </w:rPr>
        <w:t>8.49%小于10%，根据《环境影响评价技术导则大气环境》（HJ2.2-2018），确定拟建项目环境空气评价等级为二级。</w:t>
      </w:r>
    </w:p>
    <w:p>
      <w:pPr>
        <w:ind w:firstLine="480"/>
      </w:pPr>
      <w:r>
        <w:rPr>
          <w:rFonts w:hint="eastAsia"/>
        </w:rPr>
        <w:t>但是，根据《环境影响评价技术导则大气环境》（HJ2.2-2018）5.3.3.2对</w:t>
      </w:r>
      <w:r>
        <w:t>电力、钢铁、水泥、石化、</w:t>
      </w:r>
      <w:r>
        <w:rPr>
          <w:b/>
        </w:rPr>
        <w:t>化工</w:t>
      </w:r>
      <w:r>
        <w:t>、平板玻璃、有色等高耗能行业的多源项目或以使用高污染燃料为主的多源项目，并且编制环境影响报告书的项目评价等级提高一级。</w:t>
      </w:r>
    </w:p>
    <w:p>
      <w:pPr>
        <w:ind w:firstLine="480"/>
      </w:pPr>
      <w:r>
        <w:rPr>
          <w:rFonts w:hint="eastAsia"/>
        </w:rPr>
        <w:t>综合以上分析，拟建项目大气环境评价等级为一级。</w:t>
      </w:r>
    </w:p>
    <w:p>
      <w:pPr>
        <w:ind w:firstLine="480"/>
      </w:pPr>
      <w:r>
        <w:rPr>
          <w:rFonts w:hint="eastAsia"/>
        </w:rPr>
        <w:t>（2）地表水：拟建项目废水主要包括生活污水和地坪清洗水等，日最大排放量约为14.06m</w:t>
      </w:r>
      <w:r>
        <w:rPr>
          <w:rFonts w:hint="eastAsia"/>
          <w:vertAlign w:val="superscript"/>
        </w:rPr>
        <w:t>3</w:t>
      </w:r>
      <w:r>
        <w:rPr>
          <w:rFonts w:hint="eastAsia"/>
        </w:rPr>
        <w:t>/d（4681.98m</w:t>
      </w:r>
      <w:r>
        <w:rPr>
          <w:rFonts w:hint="eastAsia"/>
          <w:vertAlign w:val="superscript"/>
        </w:rPr>
        <w:t>3</w:t>
      </w:r>
      <w:r>
        <w:rPr>
          <w:rFonts w:hint="eastAsia"/>
        </w:rPr>
        <w:t>/a），废水经厂区污水处理站预处理达《合成氨工业水污染物排放标准》（GB13458-2013）表2新建企业水污染物排放浓度限制（间接排放）后排入园区污水处理厂进一步处理，处理达标后排放，最终受纳水体为长江。</w:t>
      </w:r>
    </w:p>
    <w:p>
      <w:pPr>
        <w:ind w:firstLine="480"/>
      </w:pPr>
      <w:r>
        <w:rPr>
          <w:rFonts w:hint="eastAsia"/>
        </w:rPr>
        <w:t>根据《环境影响评价技术导则 地表水环境》（HJ2.3-2018）建设项目地表水环境影响评价等级按照影响类型、排放方式、排放量或影响情况、受纳水体环境质量现状、水环境保护目标等综合确定。水污染影响性建设项目根据排放方式和废水排放量评价等级，具体评价等级划分见表1.6.1-7。</w:t>
      </w:r>
    </w:p>
    <w:p>
      <w:pPr>
        <w:pStyle w:val="41"/>
      </w:pPr>
      <w:r>
        <w:rPr>
          <w:rFonts w:hint="eastAsia"/>
        </w:rPr>
        <w:t>表1.6.1-7  水污染影响型建设项目评价等级判定</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2707"/>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Merge w:val="restart"/>
            <w:vAlign w:val="center"/>
          </w:tcPr>
          <w:p>
            <w:pPr>
              <w:pStyle w:val="42"/>
              <w:adjustRightInd w:val="0"/>
              <w:textAlignment w:val="baseline"/>
            </w:pPr>
            <w:r>
              <w:t>评价等级</w:t>
            </w:r>
          </w:p>
        </w:tc>
        <w:tc>
          <w:tcPr>
            <w:tcW w:w="5970" w:type="dxa"/>
            <w:gridSpan w:val="2"/>
            <w:vAlign w:val="center"/>
          </w:tcPr>
          <w:p>
            <w:pPr>
              <w:pStyle w:val="42"/>
              <w:adjustRightInd w:val="0"/>
              <w:textAlignment w:val="baseline"/>
            </w:pPr>
            <w: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Merge w:val="continue"/>
            <w:vAlign w:val="center"/>
          </w:tcPr>
          <w:p>
            <w:pPr>
              <w:pStyle w:val="42"/>
              <w:adjustRightInd w:val="0"/>
              <w:textAlignment w:val="baseline"/>
            </w:pPr>
          </w:p>
        </w:tc>
        <w:tc>
          <w:tcPr>
            <w:tcW w:w="2707" w:type="dxa"/>
            <w:vAlign w:val="center"/>
          </w:tcPr>
          <w:p>
            <w:pPr>
              <w:pStyle w:val="42"/>
              <w:adjustRightInd w:val="0"/>
              <w:textAlignment w:val="baseline"/>
            </w:pPr>
            <w:r>
              <w:t>排放方式</w:t>
            </w:r>
          </w:p>
        </w:tc>
        <w:tc>
          <w:tcPr>
            <w:tcW w:w="3263" w:type="dxa"/>
            <w:vAlign w:val="center"/>
          </w:tcPr>
          <w:p>
            <w:pPr>
              <w:pStyle w:val="42"/>
              <w:adjustRightInd w:val="0"/>
              <w:textAlignment w:val="baseline"/>
            </w:pPr>
            <w:r>
              <w:t>废水排放量Q/（m</w:t>
            </w:r>
            <w:r>
              <w:rPr>
                <w:vertAlign w:val="superscript"/>
              </w:rPr>
              <w:t>3</w:t>
            </w:r>
            <w: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Align w:val="center"/>
          </w:tcPr>
          <w:p>
            <w:pPr>
              <w:pStyle w:val="42"/>
              <w:adjustRightInd w:val="0"/>
              <w:textAlignment w:val="baseline"/>
            </w:pPr>
            <w:r>
              <w:t>一级</w:t>
            </w:r>
          </w:p>
        </w:tc>
        <w:tc>
          <w:tcPr>
            <w:tcW w:w="2707" w:type="dxa"/>
            <w:vAlign w:val="center"/>
          </w:tcPr>
          <w:p>
            <w:pPr>
              <w:pStyle w:val="42"/>
              <w:adjustRightInd w:val="0"/>
              <w:textAlignment w:val="baseline"/>
            </w:pPr>
            <w:r>
              <w:t>直接排放</w:t>
            </w:r>
          </w:p>
        </w:tc>
        <w:tc>
          <w:tcPr>
            <w:tcW w:w="3263" w:type="dxa"/>
            <w:vAlign w:val="center"/>
          </w:tcPr>
          <w:p>
            <w:pPr>
              <w:pStyle w:val="42"/>
              <w:adjustRightInd w:val="0"/>
              <w:textAlignment w:val="baseline"/>
            </w:pPr>
            <w:r>
              <w:t>Q≥20000或W≥60000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Align w:val="center"/>
          </w:tcPr>
          <w:p>
            <w:pPr>
              <w:pStyle w:val="42"/>
              <w:adjustRightInd w:val="0"/>
              <w:textAlignment w:val="baseline"/>
            </w:pPr>
            <w:r>
              <w:t>二级</w:t>
            </w:r>
          </w:p>
        </w:tc>
        <w:tc>
          <w:tcPr>
            <w:tcW w:w="2707" w:type="dxa"/>
            <w:vAlign w:val="center"/>
          </w:tcPr>
          <w:p>
            <w:pPr>
              <w:pStyle w:val="42"/>
              <w:adjustRightInd w:val="0"/>
              <w:textAlignment w:val="baseline"/>
            </w:pPr>
            <w:r>
              <w:t>直接排放</w:t>
            </w:r>
          </w:p>
        </w:tc>
        <w:tc>
          <w:tcPr>
            <w:tcW w:w="3263" w:type="dxa"/>
            <w:vAlign w:val="center"/>
          </w:tcPr>
          <w:p>
            <w:pPr>
              <w:pStyle w:val="42"/>
              <w:adjustRightInd w:val="0"/>
              <w:textAlignment w:val="baseline"/>
            </w:pPr>
            <w: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Align w:val="center"/>
          </w:tcPr>
          <w:p>
            <w:pPr>
              <w:pStyle w:val="42"/>
              <w:adjustRightInd w:val="0"/>
              <w:textAlignment w:val="baseline"/>
            </w:pPr>
            <w:r>
              <w:t>三级A</w:t>
            </w:r>
          </w:p>
        </w:tc>
        <w:tc>
          <w:tcPr>
            <w:tcW w:w="2707" w:type="dxa"/>
            <w:vAlign w:val="center"/>
          </w:tcPr>
          <w:p>
            <w:pPr>
              <w:pStyle w:val="42"/>
              <w:adjustRightInd w:val="0"/>
              <w:textAlignment w:val="baseline"/>
            </w:pPr>
            <w:r>
              <w:t>直接排放</w:t>
            </w:r>
          </w:p>
        </w:tc>
        <w:tc>
          <w:tcPr>
            <w:tcW w:w="3263" w:type="dxa"/>
            <w:vAlign w:val="center"/>
          </w:tcPr>
          <w:p>
            <w:pPr>
              <w:pStyle w:val="42"/>
              <w:adjustRightInd w:val="0"/>
              <w:textAlignment w:val="baseline"/>
            </w:pPr>
            <w: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2" w:type="dxa"/>
            <w:vAlign w:val="center"/>
          </w:tcPr>
          <w:p>
            <w:pPr>
              <w:pStyle w:val="42"/>
              <w:adjustRightInd w:val="0"/>
              <w:textAlignment w:val="baseline"/>
            </w:pPr>
            <w:r>
              <w:t>三级B</w:t>
            </w:r>
          </w:p>
        </w:tc>
        <w:tc>
          <w:tcPr>
            <w:tcW w:w="2707" w:type="dxa"/>
            <w:vAlign w:val="center"/>
          </w:tcPr>
          <w:p>
            <w:pPr>
              <w:pStyle w:val="42"/>
              <w:adjustRightInd w:val="0"/>
              <w:textAlignment w:val="baseline"/>
            </w:pPr>
            <w:r>
              <w:t>间接排放</w:t>
            </w:r>
          </w:p>
        </w:tc>
        <w:tc>
          <w:tcPr>
            <w:tcW w:w="3263" w:type="dxa"/>
            <w:vAlign w:val="center"/>
          </w:tcPr>
          <w:p>
            <w:pPr>
              <w:pStyle w:val="42"/>
              <w:adjustRightInd w:val="0"/>
              <w:textAlignment w:val="baseline"/>
            </w:pPr>
            <w:r>
              <w:t>---</w:t>
            </w:r>
          </w:p>
        </w:tc>
      </w:tr>
    </w:tbl>
    <w:p>
      <w:pPr>
        <w:ind w:firstLine="480"/>
      </w:pPr>
      <w:r>
        <w:rPr>
          <w:rFonts w:hint="eastAsia"/>
        </w:rPr>
        <w:t>拟建项目废水排放方式为间接排放，根据《环境影响评价技术导则 地表水环境》（HJ2.3-2018），地表水环境影响评价工作等级为三级B。</w:t>
      </w:r>
    </w:p>
    <w:p>
      <w:pPr>
        <w:ind w:firstLine="480"/>
      </w:pPr>
      <w:r>
        <w:rPr>
          <w:rFonts w:hint="eastAsia"/>
        </w:rPr>
        <w:t>（3）地下水：根据《环境影响评价技术导则 地下水环境》(HJ 610-2016) 附录A，拟建项目所属地下水环境影响评价项目类别为I类。</w:t>
      </w:r>
    </w:p>
    <w:p>
      <w:pPr>
        <w:ind w:firstLine="480"/>
      </w:pPr>
      <w:r>
        <w:rPr>
          <w:rFonts w:hint="eastAsia"/>
        </w:rPr>
        <w:t>建设项目的地下水环境敏感程度可分为敏感、较敏感、不敏感三级，分级原则见表1.6.1-8。</w:t>
      </w:r>
    </w:p>
    <w:p>
      <w:pPr>
        <w:pStyle w:val="41"/>
      </w:pPr>
      <w:r>
        <w:rPr>
          <w:rFonts w:hint="eastAsia"/>
        </w:rPr>
        <w:t>表1.6.1-8  地下水环境敏感程度分级表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2"/>
            </w:pPr>
            <w:r>
              <w:t>敏感程度</w:t>
            </w:r>
          </w:p>
        </w:tc>
        <w:tc>
          <w:tcPr>
            <w:tcW w:w="7421" w:type="dxa"/>
            <w:vAlign w:val="center"/>
          </w:tcPr>
          <w:p>
            <w:pPr>
              <w:pStyle w:val="42"/>
            </w:pPr>
            <w: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2"/>
            </w:pPr>
            <w:r>
              <w:t>敏感</w:t>
            </w:r>
          </w:p>
        </w:tc>
        <w:tc>
          <w:tcPr>
            <w:tcW w:w="7421" w:type="dxa"/>
            <w:vAlign w:val="center"/>
          </w:tcPr>
          <w:p>
            <w:pPr>
              <w:pStyle w:val="42"/>
            </w:pPr>
            <w: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2"/>
            </w:pPr>
            <w:r>
              <w:t>较敏感</w:t>
            </w:r>
          </w:p>
        </w:tc>
        <w:tc>
          <w:tcPr>
            <w:tcW w:w="7421" w:type="dxa"/>
            <w:vAlign w:val="center"/>
          </w:tcPr>
          <w:p>
            <w:pPr>
              <w:pStyle w:val="42"/>
            </w:pPr>
            <w: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42"/>
            </w:pPr>
            <w:r>
              <w:t>不敏感</w:t>
            </w:r>
          </w:p>
        </w:tc>
        <w:tc>
          <w:tcPr>
            <w:tcW w:w="7421" w:type="dxa"/>
            <w:vAlign w:val="center"/>
          </w:tcPr>
          <w:p>
            <w:pPr>
              <w:pStyle w:val="42"/>
            </w:pPr>
            <w: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pPr>
              <w:pStyle w:val="42"/>
            </w:pPr>
            <w:r>
              <w:t>注：a“环境敏感区”是指《建设项目环境影响评价分类管理名录》中所界定的涉及地下水的环境敏感区。</w:t>
            </w:r>
          </w:p>
        </w:tc>
      </w:tr>
    </w:tbl>
    <w:p>
      <w:pPr>
        <w:ind w:firstLine="480"/>
      </w:pPr>
      <w:r>
        <w:rPr>
          <w:rFonts w:hint="eastAsia"/>
        </w:rPr>
        <w:t>拟建项目所在地不属于集中式饮用水源地（包括已建成的在用、备用、应急水源地，在建和规划的水源地）准保护区以及准保护区以外的补给径流区，也不属于国家和地方政府设定的与地下水环境相关的其它保护区（如热水、矿泉水、温泉等特殊地下水资源保护区）、未划定准保护区的集中水式饮用水水源，其保护区以外的补给径流区、分散式居民饮用水水源区，特殊地下水资源保护区以外的分布区，因此，拟建项目的地下水环境敏感程度为不敏感。</w:t>
      </w:r>
    </w:p>
    <w:p>
      <w:pPr>
        <w:ind w:firstLine="480"/>
      </w:pPr>
      <w:r>
        <w:rPr>
          <w:rFonts w:hint="eastAsia"/>
        </w:rPr>
        <w:t>建设项目地下水环境影响评价工作等级划分见表1.6.1-9。</w:t>
      </w:r>
    </w:p>
    <w:p>
      <w:pPr>
        <w:pStyle w:val="41"/>
      </w:pPr>
      <w:r>
        <w:rPr>
          <w:rFonts w:hint="eastAsia"/>
        </w:rPr>
        <w:t>表1.6.1-9  评价工作等级分级表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Borders>
              <w:tl2br w:val="single" w:color="auto" w:sz="4" w:space="0"/>
            </w:tcBorders>
          </w:tcPr>
          <w:p>
            <w:pPr>
              <w:pStyle w:val="42"/>
            </w:pPr>
            <w:r>
              <w:rPr>
                <w:rFonts w:hint="eastAsia"/>
              </w:rPr>
              <w:t xml:space="preserve">          </w:t>
            </w:r>
            <w:r>
              <w:t>项目类别</w:t>
            </w:r>
          </w:p>
          <w:p>
            <w:pPr>
              <w:pStyle w:val="42"/>
              <w:jc w:val="both"/>
            </w:pPr>
            <w:r>
              <w:t>环境敏感程度</w:t>
            </w:r>
          </w:p>
        </w:tc>
        <w:tc>
          <w:tcPr>
            <w:tcW w:w="2131" w:type="dxa"/>
            <w:vAlign w:val="center"/>
          </w:tcPr>
          <w:p>
            <w:pPr>
              <w:pStyle w:val="42"/>
            </w:pPr>
            <w:r>
              <w:rPr>
                <w:rFonts w:hint="eastAsia"/>
              </w:rPr>
              <w:t>Ⅰ</w:t>
            </w:r>
            <w:r>
              <w:t>类项目</w:t>
            </w:r>
          </w:p>
        </w:tc>
        <w:tc>
          <w:tcPr>
            <w:tcW w:w="2130" w:type="dxa"/>
            <w:vAlign w:val="center"/>
          </w:tcPr>
          <w:p>
            <w:pPr>
              <w:pStyle w:val="42"/>
            </w:pPr>
            <w:r>
              <w:rPr>
                <w:rFonts w:hint="eastAsia"/>
              </w:rPr>
              <w:t>Ⅱ</w:t>
            </w:r>
            <w:r>
              <w:t>类项目</w:t>
            </w:r>
          </w:p>
        </w:tc>
        <w:tc>
          <w:tcPr>
            <w:tcW w:w="2130" w:type="dxa"/>
            <w:vAlign w:val="center"/>
          </w:tcPr>
          <w:p>
            <w:pPr>
              <w:pStyle w:val="42"/>
            </w:pPr>
            <w:r>
              <w:rPr>
                <w:rFonts w:hint="eastAsia"/>
              </w:rPr>
              <w:t>Ⅲ</w:t>
            </w:r>
            <w: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Pr>
          <w:p>
            <w:pPr>
              <w:pStyle w:val="42"/>
            </w:pPr>
            <w:r>
              <w:t>敏感</w:t>
            </w:r>
          </w:p>
        </w:tc>
        <w:tc>
          <w:tcPr>
            <w:tcW w:w="2131" w:type="dxa"/>
            <w:vAlign w:val="center"/>
          </w:tcPr>
          <w:p>
            <w:pPr>
              <w:pStyle w:val="42"/>
            </w:pPr>
            <w:r>
              <w:t>一</w:t>
            </w:r>
          </w:p>
        </w:tc>
        <w:tc>
          <w:tcPr>
            <w:tcW w:w="2130" w:type="dxa"/>
            <w:vAlign w:val="center"/>
          </w:tcPr>
          <w:p>
            <w:pPr>
              <w:pStyle w:val="42"/>
            </w:pPr>
            <w:r>
              <w:t>一</w:t>
            </w:r>
          </w:p>
        </w:tc>
        <w:tc>
          <w:tcPr>
            <w:tcW w:w="2130" w:type="dxa"/>
            <w:vAlign w:val="center"/>
          </w:tcPr>
          <w:p>
            <w:pPr>
              <w:pStyle w:val="42"/>
            </w:pPr>
            <w: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Pr>
          <w:p>
            <w:pPr>
              <w:pStyle w:val="42"/>
            </w:pPr>
            <w:r>
              <w:t>较敏感</w:t>
            </w:r>
          </w:p>
        </w:tc>
        <w:tc>
          <w:tcPr>
            <w:tcW w:w="2131" w:type="dxa"/>
            <w:vAlign w:val="center"/>
          </w:tcPr>
          <w:p>
            <w:pPr>
              <w:pStyle w:val="42"/>
            </w:pPr>
            <w:r>
              <w:t>一</w:t>
            </w:r>
          </w:p>
        </w:tc>
        <w:tc>
          <w:tcPr>
            <w:tcW w:w="2130" w:type="dxa"/>
            <w:vAlign w:val="center"/>
          </w:tcPr>
          <w:p>
            <w:pPr>
              <w:pStyle w:val="42"/>
            </w:pPr>
            <w:r>
              <w:t>二</w:t>
            </w:r>
          </w:p>
        </w:tc>
        <w:tc>
          <w:tcPr>
            <w:tcW w:w="2130" w:type="dxa"/>
            <w:vAlign w:val="center"/>
          </w:tcPr>
          <w:p>
            <w:pPr>
              <w:pStyle w:val="42"/>
            </w:pPr>
            <w: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Pr>
          <w:p>
            <w:pPr>
              <w:pStyle w:val="42"/>
            </w:pPr>
            <w:r>
              <w:t>不敏感</w:t>
            </w:r>
          </w:p>
        </w:tc>
        <w:tc>
          <w:tcPr>
            <w:tcW w:w="2131" w:type="dxa"/>
            <w:vAlign w:val="center"/>
          </w:tcPr>
          <w:p>
            <w:pPr>
              <w:pStyle w:val="42"/>
            </w:pPr>
            <w:r>
              <w:t>二</w:t>
            </w:r>
          </w:p>
        </w:tc>
        <w:tc>
          <w:tcPr>
            <w:tcW w:w="2130" w:type="dxa"/>
            <w:vAlign w:val="center"/>
          </w:tcPr>
          <w:p>
            <w:pPr>
              <w:pStyle w:val="42"/>
            </w:pPr>
            <w:r>
              <w:t>三</w:t>
            </w:r>
          </w:p>
        </w:tc>
        <w:tc>
          <w:tcPr>
            <w:tcW w:w="2130" w:type="dxa"/>
            <w:vAlign w:val="center"/>
          </w:tcPr>
          <w:p>
            <w:pPr>
              <w:pStyle w:val="42"/>
            </w:pPr>
            <w:r>
              <w:t>三</w:t>
            </w:r>
          </w:p>
        </w:tc>
      </w:tr>
    </w:tbl>
    <w:p>
      <w:pPr>
        <w:ind w:firstLine="480"/>
      </w:pPr>
      <w:r>
        <w:rPr>
          <w:rFonts w:hint="eastAsia"/>
        </w:rPr>
        <w:t>根据建设项目地下水环境影响评价工作等级划分表，拟建项目所属地下水环境影响评价项目类别为I类，地下水环境敏感程度为不敏感，因此，拟建项目地下水环境影响评价等级为二级。</w:t>
      </w:r>
    </w:p>
    <w:p>
      <w:pPr>
        <w:ind w:firstLine="480"/>
      </w:pPr>
      <w:r>
        <w:rPr>
          <w:rFonts w:hint="eastAsia"/>
        </w:rPr>
        <w:t>根据长寿经济技术开发区晏家组团进行规划环评时的地质调查资料：调查区未见明显断层破碎带，岩层产状凌乱，调查范围内断层透水性较弱，可视为隔水断层。整体来讲，调查区地质构造相对简单。</w:t>
      </w:r>
    </w:p>
    <w:p>
      <w:pPr>
        <w:ind w:firstLine="480"/>
      </w:pPr>
      <w:r>
        <w:rPr>
          <w:rFonts w:hint="eastAsia"/>
        </w:rPr>
        <w:t>规划区地下水类型有三种：松散岩类孔隙水、基岩裂隙水、碳酸岩类岩溶水，其中碳酸岩类岩溶水主要分布于调查区西北边缘的三叠系中统雷口坡组和下统嘉陵江组灰岩、白云岩地层中，此类地下水距地面标高较高且距离远，同时又处于规划区地下水上游，受规划区影响微小。松散岩类孔隙水、基岩裂隙水分布较广。松散岩类孔隙水主要赋存于第四系未胶结或半胶结的松散沉积物中，在丘陵平缓地带粉质粘土基本无水，呈岩土界面的浸润状或散滴状渗出；在人类活动较多地方（晏家街道居民区、凤城街道居民区）及坡脚地带，人工堆填和泥砂岩碎石土、冲积砂土较多，透水性强，地下水埋藏深度不均匀主要接收大气降水及地表水的渗漏补给，水位、水量随季节和地势变化。基岩裂隙水可分为风化网状裂隙水和构造裂隙水两个亚类。风化网状裂隙水广泛分布于侏罗系地层中，富水性中等。由于调查区构造相对不发育，基岩裂隙在岩层中所能占有的赋存空间有限，因此基岩富水性相对较差，水量贫乏。</w:t>
      </w:r>
    </w:p>
    <w:p>
      <w:pPr>
        <w:ind w:firstLine="480"/>
      </w:pPr>
      <w:r>
        <w:rPr>
          <w:rFonts w:hint="eastAsia"/>
        </w:rPr>
        <w:t>考虑到拟建项目所在区域地下水贫乏，不敏感，且生产、生活用水均不采用地下水资源，而拟建项目生产装置区、污水处理设施、危险废物暂存间等均按照要求进行防腐防渗处理，且满足相关要求，故拟建项目的建设运行基本不会对地下水环境造成扰动。</w:t>
      </w:r>
    </w:p>
    <w:p>
      <w:pPr>
        <w:ind w:firstLine="480"/>
      </w:pPr>
      <w:r>
        <w:rPr>
          <w:rFonts w:hint="eastAsia"/>
        </w:rPr>
        <w:t>（4）声环境</w:t>
      </w:r>
    </w:p>
    <w:p>
      <w:pPr>
        <w:ind w:firstLine="480"/>
      </w:pPr>
      <w:r>
        <w:rPr>
          <w:rFonts w:hint="eastAsia"/>
        </w:rPr>
        <w:t>拟建项目位于重庆长寿经济技术开发区，根据《重庆市环境保护局关于印发重庆市开发园区环境噪声标准适用区域划分规定的通知》（渝环发[2005]45号）的规定，重庆长寿经济技术开发区属于《声环境质量标准》（GB3096-2008）规定的3类区域，且拟建项目评价范围内环境敏感点噪声增量小于3dB（A），且受影响的人口影响不大，根据《环境影响评价技术导则  声环境》（HJ2.4-2009）关于评价工作等级的划分原则，确定声环境影响评价工作等级为三级。</w:t>
      </w:r>
    </w:p>
    <w:p>
      <w:pPr>
        <w:ind w:firstLine="480"/>
      </w:pPr>
      <w:r>
        <w:rPr>
          <w:rFonts w:hint="eastAsia"/>
        </w:rPr>
        <w:t>（5）土壤</w:t>
      </w:r>
    </w:p>
    <w:p>
      <w:pPr>
        <w:ind w:firstLine="480"/>
      </w:pPr>
      <w:r>
        <w:rPr>
          <w:rFonts w:hint="eastAsia"/>
        </w:rPr>
        <w:t>拟建项目属于化学原料和化学制品制造项目，根据项目建设内容及其对土壤环境可能产生的影响，判定拟建项目土壤影响类型为污染影响型。</w:t>
      </w:r>
    </w:p>
    <w:p>
      <w:pPr>
        <w:ind w:firstLine="480"/>
      </w:pPr>
      <w:r>
        <w:rPr>
          <w:rFonts w:hint="eastAsia"/>
        </w:rPr>
        <w:t>根据行业特征、工业特点或规模大小等将建设项目类别分为I类、II类、III类、IV类，分类详见《环境影响评价技术导则—土壤环境（试行）》（HJ964-2018）附录A（以下简称附录A）。其中I类、II类及III类建设项目的土壤环境影响评价应执行导则要求，IV类建设项目可不开展土壤环境影响评价；自身为敏感目标的建设项目，可根据需要仅对土壤环境现状进行调查。</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项目类别</w:t>
      </w:r>
    </w:p>
    <w:p>
      <w:pPr>
        <w:ind w:firstLine="480"/>
      </w:pPr>
      <w:r>
        <w:rPr>
          <w:rFonts w:hint="eastAsia"/>
        </w:rPr>
        <w:t>依据附录A，拟建项目属于化学原料和化学制品制造项目，为I类项目，项目类别详见表1.6.1-10。</w:t>
      </w:r>
    </w:p>
    <w:p>
      <w:pPr>
        <w:pStyle w:val="41"/>
      </w:pPr>
      <w:r>
        <w:rPr>
          <w:rFonts w:hint="eastAsia"/>
        </w:rPr>
        <w:t>表 1.6.1-10   拟建项目土壤环境影响评价项目类别</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5"/>
        <w:gridCol w:w="860"/>
        <w:gridCol w:w="3918"/>
        <w:gridCol w:w="1270"/>
        <w:gridCol w:w="912"/>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55" w:type="dxa"/>
            <w:gridSpan w:val="2"/>
            <w:tcBorders>
              <w:tl2br w:val="single" w:color="auto" w:sz="4" w:space="0"/>
            </w:tcBorders>
            <w:vAlign w:val="center"/>
          </w:tcPr>
          <w:p>
            <w:pPr>
              <w:pStyle w:val="42"/>
            </w:pPr>
            <w:r>
              <w:rPr>
                <w:rFonts w:hint="eastAsia"/>
              </w:rPr>
              <w:t xml:space="preserve">     </w:t>
            </w:r>
            <w:r>
              <w:t>项目类别</w:t>
            </w:r>
          </w:p>
          <w:p>
            <w:pPr>
              <w:pStyle w:val="42"/>
              <w:jc w:val="both"/>
            </w:pPr>
            <w:r>
              <w:t>行业类别</w:t>
            </w:r>
          </w:p>
        </w:tc>
        <w:tc>
          <w:tcPr>
            <w:tcW w:w="3918" w:type="dxa"/>
            <w:vAlign w:val="center"/>
          </w:tcPr>
          <w:p>
            <w:pPr>
              <w:pStyle w:val="42"/>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t>类</w:t>
            </w:r>
          </w:p>
        </w:tc>
        <w:tc>
          <w:tcPr>
            <w:tcW w:w="1270" w:type="dxa"/>
            <w:vAlign w:val="center"/>
          </w:tcPr>
          <w:p>
            <w:pPr>
              <w:pStyle w:val="42"/>
            </w:pPr>
            <w:r>
              <w:fldChar w:fldCharType="begin"/>
            </w:r>
            <w:r>
              <w:instrText xml:space="preserve"> = 2 \* ROMAN </w:instrText>
            </w:r>
            <w:r>
              <w:fldChar w:fldCharType="separate"/>
            </w:r>
            <w:r>
              <w:t>II</w:t>
            </w:r>
            <w:r>
              <w:fldChar w:fldCharType="end"/>
            </w:r>
            <w:r>
              <w:t xml:space="preserve"> 类</w:t>
            </w:r>
          </w:p>
        </w:tc>
        <w:tc>
          <w:tcPr>
            <w:tcW w:w="912" w:type="dxa"/>
            <w:vAlign w:val="center"/>
          </w:tcPr>
          <w:p>
            <w:pPr>
              <w:pStyle w:val="42"/>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t xml:space="preserve"> 类</w:t>
            </w:r>
          </w:p>
        </w:tc>
        <w:tc>
          <w:tcPr>
            <w:tcW w:w="807" w:type="dxa"/>
            <w:vAlign w:val="center"/>
          </w:tcPr>
          <w:p>
            <w:pPr>
              <w:pStyle w:val="42"/>
            </w:pPr>
            <w:r>
              <w:fldChar w:fldCharType="begin"/>
            </w:r>
            <w:r>
              <w:instrText xml:space="preserve"> </w:instrText>
            </w:r>
            <w:r>
              <w:rPr>
                <w:rFonts w:hint="eastAsia"/>
              </w:rPr>
              <w:instrText xml:space="preserve">= 4 \* ROMAN</w:instrText>
            </w:r>
            <w:r>
              <w:instrText xml:space="preserve"> </w:instrText>
            </w:r>
            <w:r>
              <w:fldChar w:fldCharType="separate"/>
            </w:r>
            <w:r>
              <w:t>IV</w:t>
            </w:r>
            <w:r>
              <w:fldChar w:fldCharType="end"/>
            </w:r>
            <w:r>
              <w:t xml:space="preserve"> 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5" w:type="dxa"/>
            <w:vAlign w:val="center"/>
          </w:tcPr>
          <w:p>
            <w:pPr>
              <w:pStyle w:val="42"/>
            </w:pPr>
            <w:r>
              <w:rPr>
                <w:rFonts w:hint="eastAsia"/>
              </w:rPr>
              <w:t>制造业</w:t>
            </w:r>
          </w:p>
        </w:tc>
        <w:tc>
          <w:tcPr>
            <w:tcW w:w="860" w:type="dxa"/>
            <w:vAlign w:val="center"/>
          </w:tcPr>
          <w:p>
            <w:pPr>
              <w:pStyle w:val="42"/>
            </w:pPr>
            <w:r>
              <w:rPr>
                <w:rFonts w:hint="eastAsia"/>
              </w:rPr>
              <w:t>石油化工</w:t>
            </w:r>
          </w:p>
        </w:tc>
        <w:tc>
          <w:tcPr>
            <w:tcW w:w="3918" w:type="dxa"/>
            <w:vAlign w:val="center"/>
          </w:tcPr>
          <w:p>
            <w:pPr>
              <w:pStyle w:val="42"/>
            </w:pPr>
            <w:r>
              <w:t>石油加工、炼焦；化学原料和化学制品制造；农药制造；涂料、染料、颜料、油墨及其类似产品制造；合成材料制造；炸药、火工及焰火产品制造；水处理剂等制造；化学药品制造；生物、生化制品制造</w:t>
            </w:r>
          </w:p>
        </w:tc>
        <w:tc>
          <w:tcPr>
            <w:tcW w:w="1270" w:type="dxa"/>
            <w:vAlign w:val="center"/>
          </w:tcPr>
          <w:p>
            <w:pPr>
              <w:pStyle w:val="42"/>
            </w:pPr>
            <w:r>
              <w:t>半导体材料、日用化学品制造；化学肥料制造</w:t>
            </w:r>
          </w:p>
        </w:tc>
        <w:tc>
          <w:tcPr>
            <w:tcW w:w="912" w:type="dxa"/>
            <w:vAlign w:val="center"/>
          </w:tcPr>
          <w:p>
            <w:pPr>
              <w:pStyle w:val="42"/>
            </w:pPr>
            <w:r>
              <w:t>其他</w:t>
            </w:r>
          </w:p>
        </w:tc>
        <w:tc>
          <w:tcPr>
            <w:tcW w:w="807" w:type="dxa"/>
            <w:vAlign w:val="center"/>
          </w:tcPr>
          <w:p>
            <w:pPr>
              <w:pStyle w:val="42"/>
            </w:pPr>
          </w:p>
        </w:tc>
      </w:tr>
    </w:tbl>
    <w:p>
      <w:pPr>
        <w:ind w:firstLine="480"/>
      </w:pPr>
      <w:r>
        <w:rPr>
          <w:rFonts w:hint="eastAsia"/>
        </w:rPr>
        <w:t>②项目占地规模</w:t>
      </w:r>
    </w:p>
    <w:p>
      <w:pPr>
        <w:ind w:firstLine="480"/>
      </w:pPr>
      <w:r>
        <w:rPr>
          <w:rFonts w:hint="eastAsia"/>
        </w:rPr>
        <w:t>拟建项目占地面积49725m</w:t>
      </w:r>
      <w:r>
        <w:rPr>
          <w:rFonts w:hint="eastAsia"/>
          <w:vertAlign w:val="superscript"/>
        </w:rPr>
        <w:t>2</w:t>
      </w:r>
      <w:r>
        <w:rPr>
          <w:rFonts w:hint="eastAsia"/>
        </w:rPr>
        <w:t>（约4.9725hm</w:t>
      </w:r>
      <w:r>
        <w:rPr>
          <w:rFonts w:hint="eastAsia"/>
          <w:vertAlign w:val="superscript"/>
        </w:rPr>
        <w:t>2</w:t>
      </w:r>
      <w:r>
        <w:rPr>
          <w:rFonts w:hint="eastAsia"/>
        </w:rPr>
        <w:t>），占地规模属于小型（≤5hm</w:t>
      </w:r>
      <w:r>
        <w:rPr>
          <w:rFonts w:hint="eastAsia"/>
          <w:vertAlign w:val="superscript"/>
        </w:rPr>
        <w:t>2</w:t>
      </w:r>
      <w:r>
        <w:rPr>
          <w:rFonts w:hint="eastAsia"/>
        </w:rPr>
        <w:t>）。</w:t>
      </w:r>
    </w:p>
    <w:p>
      <w:pPr>
        <w:ind w:firstLine="480"/>
      </w:pPr>
      <w:r>
        <w:rPr>
          <w:rFonts w:hint="eastAsia"/>
        </w:rPr>
        <w:t>③项目所在地周边土壤环境敏感程度</w:t>
      </w:r>
    </w:p>
    <w:p>
      <w:pPr>
        <w:ind w:firstLine="480"/>
      </w:pPr>
      <w:r>
        <w:rPr>
          <w:rFonts w:hint="eastAsia"/>
        </w:rPr>
        <w:t>建设项目所在地周边的土壤环境敏感程度可分为敏感、较敏感、不敏感，判定依据见下表1.6.1-11。</w:t>
      </w:r>
    </w:p>
    <w:p>
      <w:pPr>
        <w:pStyle w:val="41"/>
      </w:pPr>
      <w:r>
        <w:rPr>
          <w:rFonts w:hint="eastAsia"/>
        </w:rPr>
        <w:t>表 1.6.1-11  污染影响型敏感程度分级表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8"/>
        <w:gridCol w:w="5085"/>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98" w:type="dxa"/>
            <w:vAlign w:val="center"/>
          </w:tcPr>
          <w:p>
            <w:pPr>
              <w:pStyle w:val="42"/>
            </w:pPr>
            <w:r>
              <w:t>敏感程度</w:t>
            </w:r>
          </w:p>
        </w:tc>
        <w:tc>
          <w:tcPr>
            <w:tcW w:w="5085" w:type="dxa"/>
            <w:vAlign w:val="center"/>
          </w:tcPr>
          <w:p>
            <w:pPr>
              <w:pStyle w:val="42"/>
            </w:pPr>
            <w:r>
              <w:t>判别依据</w:t>
            </w:r>
          </w:p>
        </w:tc>
        <w:tc>
          <w:tcPr>
            <w:tcW w:w="2079" w:type="dxa"/>
            <w:vAlign w:val="center"/>
          </w:tcPr>
          <w:p>
            <w:pPr>
              <w:pStyle w:val="42"/>
            </w:pPr>
            <w:r>
              <w:rPr>
                <w:rFonts w:hint="eastAsia"/>
              </w:rPr>
              <w:t>拟建</w:t>
            </w:r>
            <w: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98" w:type="dxa"/>
            <w:vAlign w:val="center"/>
          </w:tcPr>
          <w:p>
            <w:pPr>
              <w:pStyle w:val="42"/>
            </w:pPr>
            <w:r>
              <w:t>敏感</w:t>
            </w:r>
          </w:p>
        </w:tc>
        <w:tc>
          <w:tcPr>
            <w:tcW w:w="5085" w:type="dxa"/>
            <w:vAlign w:val="center"/>
          </w:tcPr>
          <w:p>
            <w:pPr>
              <w:pStyle w:val="42"/>
            </w:pPr>
            <w:r>
              <w:t>建设项目周边存在耕地、园地、牧草地、饮用水水源地或居民区、学校、医院、疗养院、养老院等土壤环境敏感目标的</w:t>
            </w:r>
          </w:p>
        </w:tc>
        <w:tc>
          <w:tcPr>
            <w:tcW w:w="2079" w:type="dxa"/>
            <w:vMerge w:val="restart"/>
            <w:vAlign w:val="center"/>
          </w:tcPr>
          <w:p>
            <w:pPr>
              <w:pStyle w:val="42"/>
            </w:pPr>
            <w:r>
              <w:rPr>
                <w:rFonts w:hint="eastAsia"/>
              </w:rPr>
              <w:t>拟建</w:t>
            </w:r>
            <w:r>
              <w:t>项目位于</w:t>
            </w:r>
            <w:r>
              <w:rPr>
                <w:rFonts w:hint="eastAsia"/>
              </w:rPr>
              <w:t>长寿经济技术开发区内，占地范围内属于工业用地，周边多为工业企业，</w:t>
            </w:r>
            <w:r>
              <w:t>土壤环境敏感程度</w:t>
            </w:r>
            <w:r>
              <w:rPr>
                <w:rFonts w:hint="eastAsia"/>
              </w:rPr>
              <w:t>判定为“不敏感”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98" w:type="dxa"/>
            <w:vAlign w:val="center"/>
          </w:tcPr>
          <w:p>
            <w:pPr>
              <w:pStyle w:val="42"/>
            </w:pPr>
            <w:r>
              <w:t>较敏感</w:t>
            </w:r>
          </w:p>
        </w:tc>
        <w:tc>
          <w:tcPr>
            <w:tcW w:w="5085" w:type="dxa"/>
            <w:vAlign w:val="center"/>
          </w:tcPr>
          <w:p>
            <w:pPr>
              <w:pStyle w:val="42"/>
            </w:pPr>
            <w:r>
              <w:t>建设项目周边存在其他土壤环境敏感目标的</w:t>
            </w:r>
          </w:p>
        </w:tc>
        <w:tc>
          <w:tcPr>
            <w:tcW w:w="2079"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98" w:type="dxa"/>
            <w:vAlign w:val="center"/>
          </w:tcPr>
          <w:p>
            <w:pPr>
              <w:pStyle w:val="42"/>
            </w:pPr>
            <w:r>
              <w:t>不敏感（√）</w:t>
            </w:r>
          </w:p>
        </w:tc>
        <w:tc>
          <w:tcPr>
            <w:tcW w:w="5085" w:type="dxa"/>
            <w:vAlign w:val="center"/>
          </w:tcPr>
          <w:p>
            <w:pPr>
              <w:pStyle w:val="42"/>
            </w:pPr>
            <w:r>
              <w:t>其他情况</w:t>
            </w:r>
          </w:p>
        </w:tc>
        <w:tc>
          <w:tcPr>
            <w:tcW w:w="2079" w:type="dxa"/>
            <w:vMerge w:val="continue"/>
            <w:vAlign w:val="center"/>
          </w:tcPr>
          <w:p>
            <w:pPr>
              <w:pStyle w:val="42"/>
            </w:pPr>
          </w:p>
        </w:tc>
      </w:tr>
    </w:tbl>
    <w:p>
      <w:pPr>
        <w:ind w:firstLine="480"/>
      </w:pPr>
      <w:r>
        <w:rPr>
          <w:rFonts w:hint="eastAsia"/>
        </w:rPr>
        <w:t>④评价等级</w:t>
      </w:r>
    </w:p>
    <w:p>
      <w:pPr>
        <w:ind w:firstLine="480"/>
      </w:pPr>
      <w:r>
        <w:rPr>
          <w:rFonts w:hint="eastAsia"/>
        </w:rPr>
        <w:t>根据上述识别结果，拟建项目为污染影响型建设项目，行业分类为化学原料和化学制品制造，为I类项目；厂区占地规模属于小型；土壤环境敏感程度为不敏感，综合判定评价等级为“二级”。</w:t>
      </w:r>
    </w:p>
    <w:p>
      <w:pPr>
        <w:ind w:firstLine="480"/>
      </w:pPr>
      <w:r>
        <w:rPr>
          <w:rFonts w:hint="eastAsia"/>
        </w:rPr>
        <w:t>判定依据详见表1.6.1-12。</w:t>
      </w:r>
    </w:p>
    <w:p>
      <w:pPr>
        <w:pStyle w:val="41"/>
      </w:pPr>
      <w:r>
        <w:rPr>
          <w:rFonts w:hint="eastAsia"/>
        </w:rPr>
        <w:t>表 1.6.1-12  拟建项目土壤评价工作等级表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92"/>
        <w:gridCol w:w="696"/>
        <w:gridCol w:w="696"/>
        <w:gridCol w:w="696"/>
        <w:gridCol w:w="697"/>
        <w:gridCol w:w="697"/>
        <w:gridCol w:w="697"/>
        <w:gridCol w:w="697"/>
        <w:gridCol w:w="697"/>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Merge w:val="restart"/>
            <w:tcBorders>
              <w:tl2br w:val="single" w:color="auto" w:sz="4" w:space="0"/>
            </w:tcBorders>
            <w:vAlign w:val="center"/>
          </w:tcPr>
          <w:p>
            <w:pPr>
              <w:pStyle w:val="42"/>
            </w:pPr>
            <w:r>
              <w:rPr>
                <w:rFonts w:hint="eastAsia"/>
                <w:w w:val="101"/>
              </w:rPr>
              <w:t xml:space="preserve">       </w:t>
            </w:r>
            <w:r>
              <w:rPr>
                <w:w w:val="101"/>
              </w:rPr>
              <w:t>评</w:t>
            </w:r>
            <w:r>
              <w:rPr>
                <w:spacing w:val="-5"/>
                <w:w w:val="101"/>
              </w:rPr>
              <w:t>价</w:t>
            </w:r>
            <w:r>
              <w:rPr>
                <w:w w:val="101"/>
              </w:rPr>
              <w:t>工</w:t>
            </w:r>
            <w:r>
              <w:rPr>
                <w:spacing w:val="-5"/>
                <w:w w:val="101"/>
              </w:rPr>
              <w:t>作</w:t>
            </w:r>
            <w:r>
              <w:rPr>
                <w:w w:val="101"/>
              </w:rPr>
              <w:t>等级</w:t>
            </w:r>
          </w:p>
          <w:p>
            <w:pPr>
              <w:pStyle w:val="42"/>
              <w:jc w:val="both"/>
            </w:pPr>
            <w:r>
              <w:rPr>
                <w:w w:val="101"/>
              </w:rPr>
              <w:t>敏</w:t>
            </w:r>
            <w:r>
              <w:rPr>
                <w:spacing w:val="-5"/>
                <w:w w:val="101"/>
              </w:rPr>
              <w:t>感</w:t>
            </w:r>
            <w:r>
              <w:rPr>
                <w:w w:val="101"/>
              </w:rPr>
              <w:t>程度</w:t>
            </w:r>
          </w:p>
        </w:tc>
        <w:tc>
          <w:tcPr>
            <w:tcW w:w="6270" w:type="dxa"/>
            <w:gridSpan w:val="9"/>
            <w:vAlign w:val="center"/>
          </w:tcPr>
          <w:p>
            <w:pPr>
              <w:pStyle w:val="42"/>
            </w:pPr>
            <w:r>
              <w:rPr>
                <w:rFonts w:hint="eastAsia"/>
                <w:w w:val="101"/>
              </w:rPr>
              <w:t>类别及</w:t>
            </w:r>
            <w:r>
              <w:rPr>
                <w:w w:val="10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Merge w:val="continue"/>
            <w:tcBorders>
              <w:tl2br w:val="single" w:color="auto" w:sz="4" w:space="0"/>
            </w:tcBorders>
            <w:vAlign w:val="center"/>
          </w:tcPr>
          <w:p>
            <w:pPr>
              <w:pStyle w:val="42"/>
              <w:rPr>
                <w:w w:val="101"/>
              </w:rPr>
            </w:pPr>
          </w:p>
        </w:tc>
        <w:tc>
          <w:tcPr>
            <w:tcW w:w="2088" w:type="dxa"/>
            <w:gridSpan w:val="3"/>
            <w:vAlign w:val="center"/>
          </w:tcPr>
          <w:p>
            <w:pPr>
              <w:pStyle w:val="42"/>
            </w:pPr>
            <w:r>
              <w:rPr>
                <w:rFonts w:hint="eastAsia" w:ascii="宋体" w:hAnsi="宋体"/>
                <w:w w:val="101"/>
              </w:rPr>
              <w:t>Ⅰ</w:t>
            </w:r>
            <w:r>
              <w:rPr>
                <w:w w:val="101"/>
              </w:rPr>
              <w:t>类</w:t>
            </w:r>
          </w:p>
        </w:tc>
        <w:tc>
          <w:tcPr>
            <w:tcW w:w="2091" w:type="dxa"/>
            <w:gridSpan w:val="3"/>
            <w:vAlign w:val="center"/>
          </w:tcPr>
          <w:p>
            <w:pPr>
              <w:pStyle w:val="42"/>
            </w:pPr>
            <w:r>
              <w:rPr>
                <w:rFonts w:hint="eastAsia" w:ascii="宋体" w:hAnsi="宋体"/>
                <w:w w:val="101"/>
              </w:rPr>
              <w:t>Ⅱ</w:t>
            </w:r>
            <w:r>
              <w:rPr>
                <w:w w:val="101"/>
              </w:rPr>
              <w:t>类</w:t>
            </w:r>
          </w:p>
        </w:tc>
        <w:tc>
          <w:tcPr>
            <w:tcW w:w="2091" w:type="dxa"/>
            <w:gridSpan w:val="3"/>
            <w:vAlign w:val="center"/>
          </w:tcPr>
          <w:p>
            <w:pPr>
              <w:pStyle w:val="42"/>
            </w:pPr>
            <w:r>
              <w:rPr>
                <w:rFonts w:hint="eastAsia" w:ascii="宋体" w:hAnsi="宋体"/>
                <w:w w:val="101"/>
              </w:rPr>
              <w:t>Ⅲ</w:t>
            </w:r>
            <w:r>
              <w:rPr>
                <w:w w:val="10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Merge w:val="continue"/>
            <w:tcBorders>
              <w:tl2br w:val="single" w:color="auto" w:sz="4" w:space="0"/>
            </w:tcBorders>
            <w:vAlign w:val="center"/>
          </w:tcPr>
          <w:p>
            <w:pPr>
              <w:pStyle w:val="42"/>
            </w:pPr>
          </w:p>
        </w:tc>
        <w:tc>
          <w:tcPr>
            <w:tcW w:w="696" w:type="dxa"/>
            <w:vAlign w:val="center"/>
          </w:tcPr>
          <w:p>
            <w:pPr>
              <w:pStyle w:val="42"/>
            </w:pPr>
            <w:r>
              <w:rPr>
                <w:w w:val="101"/>
              </w:rPr>
              <w:t>大</w:t>
            </w:r>
          </w:p>
        </w:tc>
        <w:tc>
          <w:tcPr>
            <w:tcW w:w="696" w:type="dxa"/>
            <w:vAlign w:val="center"/>
          </w:tcPr>
          <w:p>
            <w:pPr>
              <w:pStyle w:val="42"/>
            </w:pPr>
            <w:r>
              <w:rPr>
                <w:w w:val="101"/>
              </w:rPr>
              <w:t>中</w:t>
            </w:r>
          </w:p>
        </w:tc>
        <w:tc>
          <w:tcPr>
            <w:tcW w:w="696" w:type="dxa"/>
            <w:vAlign w:val="center"/>
          </w:tcPr>
          <w:p>
            <w:pPr>
              <w:pStyle w:val="42"/>
            </w:pPr>
            <w:r>
              <w:rPr>
                <w:w w:val="101"/>
              </w:rPr>
              <w:t>小</w:t>
            </w:r>
          </w:p>
        </w:tc>
        <w:tc>
          <w:tcPr>
            <w:tcW w:w="697" w:type="dxa"/>
            <w:vAlign w:val="center"/>
          </w:tcPr>
          <w:p>
            <w:pPr>
              <w:pStyle w:val="42"/>
            </w:pPr>
            <w:r>
              <w:rPr>
                <w:w w:val="101"/>
              </w:rPr>
              <w:t>大</w:t>
            </w:r>
          </w:p>
        </w:tc>
        <w:tc>
          <w:tcPr>
            <w:tcW w:w="697" w:type="dxa"/>
            <w:vAlign w:val="center"/>
          </w:tcPr>
          <w:p>
            <w:pPr>
              <w:pStyle w:val="42"/>
            </w:pPr>
            <w:r>
              <w:rPr>
                <w:w w:val="101"/>
              </w:rPr>
              <w:t>中</w:t>
            </w:r>
          </w:p>
        </w:tc>
        <w:tc>
          <w:tcPr>
            <w:tcW w:w="697" w:type="dxa"/>
            <w:vAlign w:val="center"/>
          </w:tcPr>
          <w:p>
            <w:pPr>
              <w:pStyle w:val="42"/>
            </w:pPr>
            <w:r>
              <w:rPr>
                <w:w w:val="101"/>
              </w:rPr>
              <w:t>小</w:t>
            </w:r>
          </w:p>
        </w:tc>
        <w:tc>
          <w:tcPr>
            <w:tcW w:w="697" w:type="dxa"/>
            <w:vAlign w:val="center"/>
          </w:tcPr>
          <w:p>
            <w:pPr>
              <w:pStyle w:val="42"/>
            </w:pPr>
            <w:r>
              <w:rPr>
                <w:w w:val="101"/>
              </w:rPr>
              <w:t>大</w:t>
            </w:r>
          </w:p>
        </w:tc>
        <w:tc>
          <w:tcPr>
            <w:tcW w:w="697" w:type="dxa"/>
            <w:vAlign w:val="center"/>
          </w:tcPr>
          <w:p>
            <w:pPr>
              <w:pStyle w:val="42"/>
            </w:pPr>
            <w:r>
              <w:rPr>
                <w:w w:val="101"/>
              </w:rPr>
              <w:t>中</w:t>
            </w:r>
          </w:p>
        </w:tc>
        <w:tc>
          <w:tcPr>
            <w:tcW w:w="697" w:type="dxa"/>
            <w:vAlign w:val="center"/>
          </w:tcPr>
          <w:p>
            <w:pPr>
              <w:pStyle w:val="42"/>
            </w:pPr>
            <w:r>
              <w:rPr>
                <w:w w:val="10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Align w:val="center"/>
          </w:tcPr>
          <w:p>
            <w:pPr>
              <w:pStyle w:val="42"/>
            </w:pPr>
            <w:r>
              <w:t>敏感</w:t>
            </w:r>
          </w:p>
        </w:tc>
        <w:tc>
          <w:tcPr>
            <w:tcW w:w="696" w:type="dxa"/>
            <w:vAlign w:val="center"/>
          </w:tcPr>
          <w:p>
            <w:pPr>
              <w:pStyle w:val="42"/>
            </w:pPr>
            <w:r>
              <w:t>一级</w:t>
            </w:r>
          </w:p>
        </w:tc>
        <w:tc>
          <w:tcPr>
            <w:tcW w:w="696" w:type="dxa"/>
            <w:vAlign w:val="center"/>
          </w:tcPr>
          <w:p>
            <w:pPr>
              <w:pStyle w:val="42"/>
            </w:pPr>
            <w:r>
              <w:t>一级</w:t>
            </w:r>
          </w:p>
        </w:tc>
        <w:tc>
          <w:tcPr>
            <w:tcW w:w="696" w:type="dxa"/>
            <w:vAlign w:val="center"/>
          </w:tcPr>
          <w:p>
            <w:pPr>
              <w:pStyle w:val="42"/>
            </w:pPr>
            <w:r>
              <w:t>一级</w:t>
            </w:r>
          </w:p>
        </w:tc>
        <w:tc>
          <w:tcPr>
            <w:tcW w:w="697" w:type="dxa"/>
            <w:vAlign w:val="center"/>
          </w:tcPr>
          <w:p>
            <w:pPr>
              <w:pStyle w:val="42"/>
            </w:pPr>
            <w:r>
              <w:t>二级</w:t>
            </w:r>
          </w:p>
        </w:tc>
        <w:tc>
          <w:tcPr>
            <w:tcW w:w="697" w:type="dxa"/>
            <w:vAlign w:val="center"/>
          </w:tcPr>
          <w:p>
            <w:pPr>
              <w:pStyle w:val="42"/>
            </w:pPr>
            <w:r>
              <w:t>二级</w:t>
            </w:r>
          </w:p>
        </w:tc>
        <w:tc>
          <w:tcPr>
            <w:tcW w:w="697" w:type="dxa"/>
            <w:vAlign w:val="center"/>
          </w:tcPr>
          <w:p>
            <w:pPr>
              <w:pStyle w:val="42"/>
            </w:pPr>
            <w:r>
              <w:t>二级</w:t>
            </w:r>
          </w:p>
        </w:tc>
        <w:tc>
          <w:tcPr>
            <w:tcW w:w="697" w:type="dxa"/>
            <w:vAlign w:val="center"/>
          </w:tcPr>
          <w:p>
            <w:pPr>
              <w:pStyle w:val="42"/>
            </w:pPr>
            <w:r>
              <w:t>三级</w:t>
            </w:r>
          </w:p>
        </w:tc>
        <w:tc>
          <w:tcPr>
            <w:tcW w:w="697" w:type="dxa"/>
            <w:vAlign w:val="center"/>
          </w:tcPr>
          <w:p>
            <w:pPr>
              <w:pStyle w:val="42"/>
            </w:pPr>
            <w:r>
              <w:t>三级</w:t>
            </w:r>
          </w:p>
        </w:tc>
        <w:tc>
          <w:tcPr>
            <w:tcW w:w="697" w:type="dxa"/>
            <w:vAlign w:val="center"/>
          </w:tcPr>
          <w:p>
            <w:pPr>
              <w:pStyle w:val="42"/>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Align w:val="center"/>
          </w:tcPr>
          <w:p>
            <w:pPr>
              <w:pStyle w:val="42"/>
            </w:pPr>
            <w:r>
              <w:t>较敏感</w:t>
            </w:r>
          </w:p>
        </w:tc>
        <w:tc>
          <w:tcPr>
            <w:tcW w:w="696" w:type="dxa"/>
            <w:vAlign w:val="center"/>
          </w:tcPr>
          <w:p>
            <w:pPr>
              <w:pStyle w:val="42"/>
            </w:pPr>
            <w:r>
              <w:t>一级</w:t>
            </w:r>
          </w:p>
        </w:tc>
        <w:tc>
          <w:tcPr>
            <w:tcW w:w="696" w:type="dxa"/>
            <w:vAlign w:val="center"/>
          </w:tcPr>
          <w:p>
            <w:pPr>
              <w:pStyle w:val="42"/>
            </w:pPr>
            <w:r>
              <w:t>一级</w:t>
            </w:r>
          </w:p>
        </w:tc>
        <w:tc>
          <w:tcPr>
            <w:tcW w:w="696" w:type="dxa"/>
            <w:vAlign w:val="center"/>
          </w:tcPr>
          <w:p>
            <w:pPr>
              <w:pStyle w:val="42"/>
            </w:pPr>
            <w:r>
              <w:t>二级</w:t>
            </w:r>
          </w:p>
        </w:tc>
        <w:tc>
          <w:tcPr>
            <w:tcW w:w="697" w:type="dxa"/>
            <w:vAlign w:val="center"/>
          </w:tcPr>
          <w:p>
            <w:pPr>
              <w:pStyle w:val="42"/>
            </w:pPr>
            <w:r>
              <w:t>二级</w:t>
            </w:r>
          </w:p>
        </w:tc>
        <w:tc>
          <w:tcPr>
            <w:tcW w:w="697" w:type="dxa"/>
            <w:vAlign w:val="center"/>
          </w:tcPr>
          <w:p>
            <w:pPr>
              <w:pStyle w:val="42"/>
            </w:pPr>
            <w:r>
              <w:t>二级</w:t>
            </w:r>
          </w:p>
        </w:tc>
        <w:tc>
          <w:tcPr>
            <w:tcW w:w="697" w:type="dxa"/>
            <w:vAlign w:val="center"/>
          </w:tcPr>
          <w:p>
            <w:pPr>
              <w:pStyle w:val="42"/>
            </w:pPr>
            <w:r>
              <w:t>三级</w:t>
            </w:r>
          </w:p>
        </w:tc>
        <w:tc>
          <w:tcPr>
            <w:tcW w:w="697" w:type="dxa"/>
            <w:vAlign w:val="center"/>
          </w:tcPr>
          <w:p>
            <w:pPr>
              <w:pStyle w:val="42"/>
            </w:pPr>
            <w:r>
              <w:t>三级</w:t>
            </w:r>
          </w:p>
        </w:tc>
        <w:tc>
          <w:tcPr>
            <w:tcW w:w="697" w:type="dxa"/>
            <w:vAlign w:val="center"/>
          </w:tcPr>
          <w:p>
            <w:pPr>
              <w:pStyle w:val="42"/>
            </w:pPr>
            <w:r>
              <w:t>三级</w:t>
            </w:r>
          </w:p>
        </w:tc>
        <w:tc>
          <w:tcPr>
            <w:tcW w:w="697"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092" w:type="dxa"/>
            <w:vAlign w:val="center"/>
          </w:tcPr>
          <w:p>
            <w:pPr>
              <w:pStyle w:val="42"/>
            </w:pPr>
            <w:r>
              <w:t>不敏感</w:t>
            </w:r>
          </w:p>
        </w:tc>
        <w:tc>
          <w:tcPr>
            <w:tcW w:w="696" w:type="dxa"/>
            <w:vAlign w:val="center"/>
          </w:tcPr>
          <w:p>
            <w:pPr>
              <w:pStyle w:val="42"/>
            </w:pPr>
            <w:r>
              <w:t>一级</w:t>
            </w:r>
          </w:p>
        </w:tc>
        <w:tc>
          <w:tcPr>
            <w:tcW w:w="696" w:type="dxa"/>
            <w:vAlign w:val="center"/>
          </w:tcPr>
          <w:p>
            <w:pPr>
              <w:pStyle w:val="42"/>
            </w:pPr>
            <w:r>
              <w:t>二级</w:t>
            </w:r>
          </w:p>
        </w:tc>
        <w:tc>
          <w:tcPr>
            <w:tcW w:w="696" w:type="dxa"/>
            <w:vAlign w:val="center"/>
          </w:tcPr>
          <w:p>
            <w:pPr>
              <w:pStyle w:val="42"/>
            </w:pPr>
            <w:r>
              <w:rPr>
                <w:shd w:val="pct10" w:color="auto" w:fill="FFFFFF"/>
              </w:rPr>
              <w:t>二级</w:t>
            </w:r>
          </w:p>
        </w:tc>
        <w:tc>
          <w:tcPr>
            <w:tcW w:w="697" w:type="dxa"/>
            <w:vAlign w:val="center"/>
          </w:tcPr>
          <w:p>
            <w:pPr>
              <w:pStyle w:val="42"/>
            </w:pPr>
            <w:r>
              <w:t>二级</w:t>
            </w:r>
          </w:p>
        </w:tc>
        <w:tc>
          <w:tcPr>
            <w:tcW w:w="697" w:type="dxa"/>
            <w:vAlign w:val="center"/>
          </w:tcPr>
          <w:p>
            <w:pPr>
              <w:pStyle w:val="42"/>
            </w:pPr>
            <w:r>
              <w:t>三级</w:t>
            </w:r>
          </w:p>
        </w:tc>
        <w:tc>
          <w:tcPr>
            <w:tcW w:w="697" w:type="dxa"/>
            <w:vAlign w:val="center"/>
          </w:tcPr>
          <w:p>
            <w:pPr>
              <w:pStyle w:val="42"/>
            </w:pPr>
            <w:r>
              <w:t>三级</w:t>
            </w:r>
          </w:p>
        </w:tc>
        <w:tc>
          <w:tcPr>
            <w:tcW w:w="697" w:type="dxa"/>
            <w:vAlign w:val="center"/>
          </w:tcPr>
          <w:p>
            <w:pPr>
              <w:pStyle w:val="42"/>
            </w:pPr>
            <w:r>
              <w:t>三级</w:t>
            </w:r>
          </w:p>
        </w:tc>
        <w:tc>
          <w:tcPr>
            <w:tcW w:w="697" w:type="dxa"/>
            <w:vAlign w:val="center"/>
          </w:tcPr>
          <w:p>
            <w:pPr>
              <w:pStyle w:val="42"/>
            </w:pPr>
            <w:r>
              <w:rPr>
                <w:rFonts w:hint="eastAsia"/>
              </w:rPr>
              <w:t>-</w:t>
            </w:r>
          </w:p>
        </w:tc>
        <w:tc>
          <w:tcPr>
            <w:tcW w:w="697" w:type="dxa"/>
            <w:vAlign w:val="center"/>
          </w:tcPr>
          <w:p>
            <w:pPr>
              <w:pStyle w:val="42"/>
            </w:pPr>
            <w:r>
              <w:rPr>
                <w:rFonts w:hint="eastAsia"/>
              </w:rPr>
              <w:t>-</w:t>
            </w:r>
          </w:p>
        </w:tc>
      </w:tr>
    </w:tbl>
    <w:p>
      <w:pPr>
        <w:pStyle w:val="41"/>
        <w:jc w:val="both"/>
      </w:pPr>
      <w:r>
        <w:rPr>
          <w:rFonts w:hint="eastAsia"/>
        </w:rPr>
        <w:t>注：“-”表示可不开展土壤环境影响评价工作。</w:t>
      </w:r>
    </w:p>
    <w:p>
      <w:pPr>
        <w:ind w:firstLine="480"/>
      </w:pPr>
      <w:r>
        <w:rPr>
          <w:rFonts w:hint="eastAsia"/>
        </w:rPr>
        <w:t>（6）环境风险</w:t>
      </w:r>
    </w:p>
    <w:p>
      <w:pPr>
        <w:ind w:firstLine="480"/>
      </w:pPr>
      <w:r>
        <w:rPr>
          <w:rFonts w:hint="eastAsia"/>
        </w:rPr>
        <w:t>拟建项目危险物质及工艺系统危险性为P2；环境敏感程度分级大气等级为E1，地表水为E1，地下水为E2；</w:t>
      </w:r>
      <w:r>
        <w:rPr>
          <w:rFonts w:hint="eastAsia" w:eastAsiaTheme="minorEastAsia"/>
        </w:rPr>
        <w:t>项目建成后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Ⅲ级；因此大气环境风险评价等级为一级、地表水环境风险评价等级为一级、地下水环境风险评价等级为二级。</w:t>
      </w:r>
    </w:p>
    <w:p>
      <w:pPr>
        <w:pStyle w:val="4"/>
        <w:spacing w:before="156" w:after="156"/>
      </w:pPr>
      <w:bookmarkStart w:id="30" w:name="_Toc84844212"/>
      <w:r>
        <w:rPr>
          <w:rFonts w:hint="eastAsia"/>
        </w:rPr>
        <w:t>1.6.2评价范围</w:t>
      </w:r>
      <w:bookmarkEnd w:id="30"/>
    </w:p>
    <w:p>
      <w:pPr>
        <w:ind w:firstLine="480"/>
      </w:pPr>
      <w:r>
        <w:rPr>
          <w:rFonts w:hint="eastAsia"/>
        </w:rPr>
        <w:t>（1）环境空气：由估算模式预测结果可知，项目外排的废气污染物D</w:t>
      </w:r>
      <w:r>
        <w:rPr>
          <w:rFonts w:hint="eastAsia"/>
          <w:vertAlign w:val="subscript"/>
        </w:rPr>
        <w:t>10%</w:t>
      </w:r>
      <w:r>
        <w:rPr>
          <w:rFonts w:hint="eastAsia"/>
        </w:rPr>
        <w:t>最大距离小于2.5km，根据《环境影响评价技术导则  大气环境》（HJ2.2-2018）：当D</w:t>
      </w:r>
      <w:r>
        <w:rPr>
          <w:rFonts w:hint="eastAsia"/>
          <w:vertAlign w:val="subscript"/>
        </w:rPr>
        <w:t>10%</w:t>
      </w:r>
      <w:r>
        <w:rPr>
          <w:rFonts w:hint="eastAsia"/>
        </w:rPr>
        <w:t>小于2.5km时，评价范围边长取5km。因此，环境空气评价范围为：以项目厂址为中心区域，边长为5km的矩形区域。</w:t>
      </w:r>
    </w:p>
    <w:p>
      <w:pPr>
        <w:ind w:firstLine="480"/>
      </w:pPr>
      <w:r>
        <w:rPr>
          <w:rFonts w:hint="eastAsia"/>
        </w:rPr>
        <w:t>（2）地面水环境：拟建项目废水排放方式属于间接排放，根据《环境影响评价技术导则 地表水环境》（HJ2.3-2018），本次评价地表水环境影响评价中重点分析项目废水依托园区污水处理厂的环境可行性。</w:t>
      </w:r>
    </w:p>
    <w:p>
      <w:pPr>
        <w:ind w:firstLine="480"/>
      </w:pPr>
      <w:r>
        <w:rPr>
          <w:rFonts w:hint="eastAsia"/>
        </w:rPr>
        <w:t>（3）声环境：根据《环境影响评价技术导则 声环境》（HJ2.4-2009），拟建项目噪声评价范围至厂界外200米范围。</w:t>
      </w:r>
    </w:p>
    <w:p>
      <w:pPr>
        <w:ind w:firstLine="480"/>
      </w:pPr>
      <w:r>
        <w:rPr>
          <w:rFonts w:hint="eastAsia"/>
        </w:rPr>
        <w:t>（4）地下水：根据《环境影响评价技术导则 地下水环境》（HJ610-2016），拟建项目地下水评价范围为拟建项目厂区及厂区周边下游区域，调查评价范围约62.48km2。</w:t>
      </w:r>
    </w:p>
    <w:p>
      <w:pPr>
        <w:ind w:firstLine="480"/>
      </w:pPr>
      <w:r>
        <w:rPr>
          <w:rFonts w:hint="eastAsia"/>
        </w:rPr>
        <w:t xml:space="preserve">（5）土壤：根据《环境影响评价技术导则  土壤环境（试行）》（HJ 964－2018）“表5 现状调查范围”，评价工作等级为二级的污染影响型建设项目，调查范围为占地范围内全部地块以及占地范围外外扩0.2km范围内地块。 </w:t>
      </w:r>
    </w:p>
    <w:p>
      <w:pPr>
        <w:ind w:firstLine="480"/>
      </w:pPr>
      <w:r>
        <w:rPr>
          <w:rFonts w:hint="eastAsia"/>
        </w:rPr>
        <w:t>（6）环境风险评价范围：根据《建设项目环境风险评价技术导则》（HJ169-2018）的要求，环境风险评价范围具体如下：</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大气环境评价范围：以建设项目边界，四周外扩5km的范围。</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地表水环境评价范围：中法污水处理厂长江排放口上游500m至下游5km。本项目发生事故时含泄漏危险物质的事故废水输送到事故应急池，不排入地表水体。因此，本次评价重点分析事故废水拦截措施的有效性、可行性。</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地下水环境评价范围：根据《建设项目环境风险评价技术导则》（HJ169-2018）规定，拟建项目地下水环境风险评价范围：以相对独立水文地质单元为边界，选定调查范围为拟建项目厂区及厂址周围下游区域，调查评价范围约62.48km</w:t>
      </w:r>
      <w:r>
        <w:rPr>
          <w:rFonts w:hint="eastAsia"/>
          <w:vertAlign w:val="superscript"/>
        </w:rPr>
        <w:t>2</w:t>
      </w:r>
      <w:r>
        <w:rPr>
          <w:rFonts w:hint="eastAsia"/>
        </w:rPr>
        <w:t>。</w:t>
      </w:r>
    </w:p>
    <w:p>
      <w:pPr>
        <w:pStyle w:val="3"/>
        <w:spacing w:before="156" w:after="156"/>
      </w:pPr>
      <w:bookmarkStart w:id="31" w:name="_Toc84844213"/>
      <w:r>
        <w:rPr>
          <w:rFonts w:hint="eastAsia"/>
        </w:rPr>
        <w:t>1.7 污染控制与环境保护目标</w:t>
      </w:r>
      <w:bookmarkEnd w:id="31"/>
    </w:p>
    <w:p>
      <w:pPr>
        <w:pStyle w:val="4"/>
        <w:spacing w:before="156" w:after="156"/>
      </w:pPr>
      <w:bookmarkStart w:id="32" w:name="_Toc84844214"/>
      <w:r>
        <w:rPr>
          <w:rFonts w:hint="eastAsia"/>
        </w:rPr>
        <w:t>1.7.1污染控制目标</w:t>
      </w:r>
      <w:bookmarkEnd w:id="32"/>
    </w:p>
    <w:p>
      <w:pPr>
        <w:ind w:firstLine="480"/>
      </w:pPr>
      <w:r>
        <w:rPr>
          <w:rFonts w:hint="eastAsia"/>
        </w:rPr>
        <w:t>（1）严格控制废水、废气、固废污染物的排放，提高水的循环利用率。</w:t>
      </w:r>
    </w:p>
    <w:p>
      <w:pPr>
        <w:ind w:firstLine="480"/>
      </w:pPr>
      <w:r>
        <w:rPr>
          <w:rFonts w:hint="eastAsia"/>
        </w:rPr>
        <w:t>（2）环境空气、环境噪声、地表水、地下水和土壤质量维持在现状水平上。</w:t>
      </w:r>
    </w:p>
    <w:p>
      <w:pPr>
        <w:ind w:firstLine="480"/>
      </w:pPr>
      <w:r>
        <w:rPr>
          <w:rFonts w:hint="eastAsia"/>
        </w:rPr>
        <w:t>（3）固体废物分类收集处理，危险废物安全处理处置，防止发生二次污染。</w:t>
      </w:r>
    </w:p>
    <w:p>
      <w:pPr>
        <w:ind w:firstLine="480"/>
      </w:pPr>
      <w:r>
        <w:rPr>
          <w:rFonts w:hint="eastAsia"/>
        </w:rPr>
        <w:t>（4）杜绝废气、废水事故性排放；事故时，不发生急性伤亡等恶性事故。</w:t>
      </w:r>
    </w:p>
    <w:p>
      <w:pPr>
        <w:ind w:firstLine="480"/>
      </w:pPr>
      <w:r>
        <w:rPr>
          <w:rFonts w:hint="eastAsia"/>
        </w:rPr>
        <w:t>（5）采取有效的事故安全防范措施与应急预案，将环境危害降到最低程度，使最大可信事故结果不会对厂外环境构成严重影响。</w:t>
      </w:r>
    </w:p>
    <w:p>
      <w:pPr>
        <w:pStyle w:val="4"/>
        <w:spacing w:before="156" w:after="156"/>
      </w:pPr>
      <w:bookmarkStart w:id="33" w:name="_Toc84844215"/>
      <w:r>
        <w:rPr>
          <w:rFonts w:hint="eastAsia"/>
        </w:rPr>
        <w:t>1.7.2环境保护目标</w:t>
      </w:r>
      <w:bookmarkEnd w:id="33"/>
    </w:p>
    <w:p>
      <w:pPr>
        <w:ind w:firstLine="480"/>
      </w:pPr>
      <w:r>
        <w:rPr>
          <w:rFonts w:hint="eastAsia"/>
        </w:rPr>
        <w:t>根据现场调查、勘察结果，拟建项目位于长寿经开区晏家组团，厂区周围均为工业用地，无风景名胜、自然保护区、生态农业示范园和重点文物保护单位，也未发现珍稀动植物和矿产资源。主要的环境保护目标为周边居民和长江重庆段四大家鱼国家级水产种质资源保护区等。</w:t>
      </w:r>
    </w:p>
    <w:p>
      <w:pPr>
        <w:ind w:firstLine="480"/>
      </w:pPr>
      <w:r>
        <w:rPr>
          <w:rFonts w:hint="eastAsia"/>
        </w:rPr>
        <w:t>（1）大气环境影响评价评价范围内人口和敏感点排查情况</w:t>
      </w:r>
    </w:p>
    <w:p>
      <w:pPr>
        <w:ind w:firstLine="480"/>
      </w:pPr>
      <w:r>
        <w:rPr>
          <w:rFonts w:hint="eastAsia"/>
        </w:rPr>
        <w:t>人口：厂址周围5km×5km的矩形区域内主要为晏家街道、散居农户，评价范围内涉及人口共计约5.7万人。</w:t>
      </w:r>
    </w:p>
    <w:p>
      <w:pPr>
        <w:ind w:firstLine="480"/>
      </w:pPr>
      <w:r>
        <w:rPr>
          <w:rFonts w:hint="eastAsia"/>
        </w:rPr>
        <w:t>社会关注区：评价范围内有学校2所，医院2所，其中晏家中学在校师生约2500人，晏家实验小学在校师生约2600人，泓原医院床位50张，长寿化工园区医院床位300张。</w:t>
      </w:r>
    </w:p>
    <w:p>
      <w:pPr>
        <w:ind w:firstLine="480"/>
      </w:pPr>
      <w:r>
        <w:rPr>
          <w:rFonts w:hint="eastAsia"/>
        </w:rPr>
        <w:t>饮用水：根据长寿经开区晏家组团规划环评调查，项目所在地居民、农户均饮用城市自来水。</w:t>
      </w:r>
    </w:p>
    <w:p>
      <w:pPr>
        <w:ind w:firstLine="480"/>
      </w:pPr>
      <w:r>
        <w:rPr>
          <w:rFonts w:hint="eastAsia"/>
        </w:rPr>
        <w:t>（2）长江取水口</w:t>
      </w:r>
    </w:p>
    <w:p>
      <w:pPr>
        <w:ind w:firstLine="480"/>
      </w:pPr>
      <w:r>
        <w:rPr>
          <w:rFonts w:hint="eastAsia"/>
        </w:rPr>
        <w:t>根据《重庆市人民政府办公厅关于调整万州区等31个区县（自治县）集中式饮用水源保护区的通知》（渝府办[2013]40号）及《重庆市人民政府办公厅关于调整万州区等36个区县（自治县）集中式饮用水水源保护区调整方案（2016年）》（渝府办〔2016〕19号），距中法污水厂排水口最近的（同侧）上游集中饮用水源为长寿经开区中法水务供水厂取水口，距离中法污水厂排污口距离约7km，下游集中饮用水源为李渡水厂取水口，距中法污水厂排放口下游距离为36km，均不在拟建项目评价范围内。</w:t>
      </w:r>
    </w:p>
    <w:p>
      <w:pPr>
        <w:ind w:firstLine="480"/>
      </w:pPr>
      <w:r>
        <w:rPr>
          <w:rFonts w:hint="eastAsia"/>
        </w:rPr>
        <w:t>（3）长江重庆段四大家鱼国家级水产种质资源保护区</w:t>
      </w:r>
    </w:p>
    <w:p>
      <w:pPr>
        <w:ind w:firstLine="480"/>
      </w:pPr>
      <w:r>
        <w:rPr>
          <w:rFonts w:hint="eastAsia"/>
        </w:rPr>
        <w:t>长江重庆段四大家鱼国家级水产种质资源保护区总面积12310公顷，其中核心区面积3375公顷，实验区面积8935公顷。</w:t>
      </w:r>
    </w:p>
    <w:p>
      <w:pPr>
        <w:ind w:firstLine="480"/>
      </w:pPr>
      <w:r>
        <w:rPr>
          <w:rFonts w:hint="eastAsia"/>
        </w:rPr>
        <w:t>保护区位于重庆市境内南岸区广阳镇至涪陵区南沱镇的长江江段，范围在东经106°43′45″-107°31′53″，北纬29°35′05″-29°51′34″之间。</w:t>
      </w:r>
    </w:p>
    <w:p>
      <w:pPr>
        <w:ind w:firstLine="480"/>
      </w:pPr>
      <w:r>
        <w:rPr>
          <w:rFonts w:hint="eastAsia"/>
        </w:rPr>
        <w:t>其北岸是：广阳镇一人码头（106°43′31″E，29°35′21″N）-鱼嘴-洛碛-朱家-凤城-镇安-李渡-黄旗-百胜-珍溪-南沱（107°32′01″E，29°51′40″N）。</w:t>
      </w:r>
    </w:p>
    <w:p>
      <w:pPr>
        <w:ind w:firstLine="480"/>
      </w:pPr>
      <w:r>
        <w:rPr>
          <w:rFonts w:hint="eastAsia"/>
        </w:rPr>
        <w:t>其南岸是广阳镇-木洞-双河口-江南-石沱-蔺市-龙桥-涪陵-清溪-南沱。</w:t>
      </w:r>
    </w:p>
    <w:p>
      <w:pPr>
        <w:ind w:firstLine="480"/>
      </w:pPr>
      <w:r>
        <w:rPr>
          <w:rFonts w:hint="eastAsia"/>
        </w:rPr>
        <w:t>园区园区污水处理厂排口位于四大家鱼国家级水产种质资源保护区实验区。</w:t>
      </w:r>
    </w:p>
    <w:p>
      <w:pPr>
        <w:ind w:firstLine="480"/>
      </w:pPr>
      <w:r>
        <w:rPr>
          <w:rFonts w:hint="eastAsia"/>
        </w:rPr>
        <w:t>拟建项目主要环境保护目标及敏感点见表1.7-1；分布情况详见附图4。本次统计坐标以拟建项目一段转化炉烟气排气筒为原点（0，0），东西向为X、南北向为Y，Z为海拔高程，各敏感点坐标为敏感点区域中心坐标；相对距离以本工程排气筒为参照点进行统计，敏感点范围较大时统计最近及最远距离范围，敏感点较小时统计最近距离；本次环境空气敏感点调查范围为以排气筒为中心，5km×5km的矩形区域；环境风险调查范围确定为以排气筒为中心，半径5km的圆形区域。</w:t>
      </w:r>
    </w:p>
    <w:p>
      <w:pPr>
        <w:ind w:firstLine="480"/>
      </w:pPr>
      <w:r>
        <w:rPr>
          <w:rFonts w:hint="eastAsia"/>
        </w:rPr>
        <w:t>拟建项目环境保护目标详见下表1.7-1。</w:t>
      </w:r>
    </w:p>
    <w:p>
      <w:pPr>
        <w:pStyle w:val="41"/>
      </w:pPr>
      <w:r>
        <w:rPr>
          <w:rFonts w:hint="eastAsia"/>
        </w:rPr>
        <w:t>表1.7-1  项目周边环境保护目标分布情况统计表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76"/>
        <w:gridCol w:w="544"/>
        <w:gridCol w:w="1276"/>
        <w:gridCol w:w="1701"/>
        <w:gridCol w:w="567"/>
        <w:gridCol w:w="567"/>
        <w:gridCol w:w="709"/>
        <w:gridCol w:w="851"/>
        <w:gridCol w:w="992"/>
        <w:gridCol w:w="6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restart"/>
            <w:vAlign w:val="center"/>
          </w:tcPr>
          <w:p>
            <w:pPr>
              <w:pStyle w:val="42"/>
              <w:spacing w:line="300" w:lineRule="exact"/>
              <w:rPr>
                <w:sz w:val="18"/>
                <w:szCs w:val="18"/>
              </w:rPr>
            </w:pPr>
            <w:r>
              <w:rPr>
                <w:sz w:val="18"/>
                <w:szCs w:val="18"/>
              </w:rPr>
              <w:t>类别</w:t>
            </w:r>
          </w:p>
        </w:tc>
        <w:tc>
          <w:tcPr>
            <w:tcW w:w="325" w:type="pct"/>
            <w:vMerge w:val="restart"/>
            <w:vAlign w:val="center"/>
          </w:tcPr>
          <w:p>
            <w:pPr>
              <w:pStyle w:val="42"/>
              <w:spacing w:line="300" w:lineRule="exact"/>
              <w:rPr>
                <w:sz w:val="18"/>
                <w:szCs w:val="18"/>
              </w:rPr>
            </w:pPr>
            <w:r>
              <w:rPr>
                <w:rFonts w:hint="eastAsia"/>
                <w:sz w:val="18"/>
                <w:szCs w:val="18"/>
              </w:rPr>
              <w:t>序号</w:t>
            </w:r>
          </w:p>
        </w:tc>
        <w:tc>
          <w:tcPr>
            <w:tcW w:w="763" w:type="pct"/>
            <w:vMerge w:val="restart"/>
            <w:vAlign w:val="center"/>
          </w:tcPr>
          <w:p>
            <w:pPr>
              <w:pStyle w:val="42"/>
              <w:spacing w:line="300" w:lineRule="exact"/>
              <w:rPr>
                <w:sz w:val="18"/>
                <w:szCs w:val="18"/>
              </w:rPr>
            </w:pPr>
            <w:r>
              <w:rPr>
                <w:rFonts w:hint="eastAsia"/>
                <w:sz w:val="18"/>
                <w:szCs w:val="18"/>
              </w:rPr>
              <w:t>保护对象名称</w:t>
            </w:r>
          </w:p>
        </w:tc>
        <w:tc>
          <w:tcPr>
            <w:tcW w:w="1017" w:type="pct"/>
            <w:vMerge w:val="restart"/>
            <w:vAlign w:val="center"/>
          </w:tcPr>
          <w:p>
            <w:pPr>
              <w:pStyle w:val="42"/>
              <w:spacing w:line="300" w:lineRule="exact"/>
              <w:rPr>
                <w:sz w:val="18"/>
                <w:szCs w:val="18"/>
              </w:rPr>
            </w:pPr>
            <w:r>
              <w:rPr>
                <w:rFonts w:hint="eastAsia"/>
                <w:sz w:val="18"/>
                <w:szCs w:val="18"/>
              </w:rPr>
              <w:t>环境特征</w:t>
            </w:r>
          </w:p>
        </w:tc>
        <w:tc>
          <w:tcPr>
            <w:tcW w:w="1102" w:type="pct"/>
            <w:gridSpan w:val="3"/>
            <w:vAlign w:val="center"/>
          </w:tcPr>
          <w:p>
            <w:pPr>
              <w:pStyle w:val="42"/>
              <w:spacing w:line="300" w:lineRule="exact"/>
              <w:rPr>
                <w:sz w:val="18"/>
                <w:szCs w:val="18"/>
              </w:rPr>
            </w:pPr>
            <w:r>
              <w:rPr>
                <w:rFonts w:hint="eastAsia"/>
                <w:sz w:val="18"/>
                <w:szCs w:val="18"/>
              </w:rPr>
              <w:t>坐标（m）</w:t>
            </w:r>
          </w:p>
        </w:tc>
        <w:tc>
          <w:tcPr>
            <w:tcW w:w="509" w:type="pct"/>
            <w:vMerge w:val="restart"/>
            <w:tcBorders>
              <w:right w:val="single" w:color="auto" w:sz="4" w:space="0"/>
            </w:tcBorders>
            <w:vAlign w:val="center"/>
          </w:tcPr>
          <w:p>
            <w:pPr>
              <w:pStyle w:val="42"/>
              <w:spacing w:line="300" w:lineRule="exact"/>
              <w:rPr>
                <w:sz w:val="18"/>
                <w:szCs w:val="18"/>
              </w:rPr>
            </w:pPr>
            <w:r>
              <w:rPr>
                <w:rFonts w:hint="eastAsia"/>
                <w:sz w:val="18"/>
                <w:szCs w:val="18"/>
              </w:rPr>
              <w:t>相对厂址</w:t>
            </w:r>
            <w:r>
              <w:rPr>
                <w:sz w:val="18"/>
                <w:szCs w:val="18"/>
              </w:rPr>
              <w:t>方位</w:t>
            </w:r>
          </w:p>
        </w:tc>
        <w:tc>
          <w:tcPr>
            <w:tcW w:w="593" w:type="pct"/>
            <w:vMerge w:val="restart"/>
            <w:tcBorders>
              <w:right w:val="single" w:color="auto" w:sz="4" w:space="0"/>
            </w:tcBorders>
            <w:vAlign w:val="center"/>
          </w:tcPr>
          <w:p>
            <w:pPr>
              <w:pStyle w:val="42"/>
              <w:spacing w:line="300" w:lineRule="exact"/>
              <w:rPr>
                <w:sz w:val="18"/>
                <w:szCs w:val="18"/>
              </w:rPr>
            </w:pPr>
            <w:r>
              <w:rPr>
                <w:rFonts w:hint="eastAsia"/>
                <w:sz w:val="18"/>
                <w:szCs w:val="18"/>
              </w:rPr>
              <w:t>距厂界最近距离</w:t>
            </w:r>
            <w:r>
              <w:rPr>
                <w:sz w:val="18"/>
                <w:szCs w:val="18"/>
              </w:rPr>
              <w:t>（m）</w:t>
            </w:r>
          </w:p>
        </w:tc>
        <w:tc>
          <w:tcPr>
            <w:tcW w:w="406" w:type="pct"/>
            <w:vMerge w:val="restart"/>
            <w:vAlign w:val="center"/>
          </w:tcPr>
          <w:p>
            <w:pPr>
              <w:pStyle w:val="42"/>
              <w:spacing w:line="300" w:lineRule="exact"/>
              <w:rPr>
                <w:sz w:val="18"/>
                <w:szCs w:val="18"/>
              </w:rPr>
            </w:pPr>
            <w:r>
              <w:rPr>
                <w:sz w:val="18"/>
                <w:szCs w:val="18"/>
              </w:rPr>
              <w:t>功能</w:t>
            </w:r>
          </w:p>
          <w:p>
            <w:pPr>
              <w:pStyle w:val="42"/>
              <w:spacing w:line="300" w:lineRule="exact"/>
              <w:rPr>
                <w:sz w:val="18"/>
                <w:szCs w:val="18"/>
              </w:rPr>
            </w:pPr>
            <w:r>
              <w:rPr>
                <w:sz w:val="18"/>
                <w:szCs w:val="18"/>
              </w:rPr>
              <w:t>区划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Merge w:val="continue"/>
            <w:vAlign w:val="center"/>
          </w:tcPr>
          <w:p>
            <w:pPr>
              <w:pStyle w:val="42"/>
              <w:spacing w:line="300" w:lineRule="exact"/>
              <w:rPr>
                <w:sz w:val="18"/>
                <w:szCs w:val="18"/>
              </w:rPr>
            </w:pPr>
          </w:p>
        </w:tc>
        <w:tc>
          <w:tcPr>
            <w:tcW w:w="763" w:type="pct"/>
            <w:vMerge w:val="continue"/>
            <w:vAlign w:val="center"/>
          </w:tcPr>
          <w:p>
            <w:pPr>
              <w:pStyle w:val="42"/>
              <w:spacing w:line="300" w:lineRule="exact"/>
              <w:rPr>
                <w:sz w:val="18"/>
                <w:szCs w:val="18"/>
              </w:rPr>
            </w:pPr>
          </w:p>
        </w:tc>
        <w:tc>
          <w:tcPr>
            <w:tcW w:w="1017" w:type="pct"/>
            <w:vMerge w:val="continue"/>
            <w:vAlign w:val="center"/>
          </w:tcPr>
          <w:p>
            <w:pPr>
              <w:pStyle w:val="42"/>
              <w:spacing w:line="300" w:lineRule="exact"/>
              <w:rPr>
                <w:sz w:val="18"/>
                <w:szCs w:val="18"/>
              </w:rPr>
            </w:pPr>
          </w:p>
        </w:tc>
        <w:tc>
          <w:tcPr>
            <w:tcW w:w="339" w:type="pct"/>
            <w:vAlign w:val="center"/>
          </w:tcPr>
          <w:p>
            <w:pPr>
              <w:pStyle w:val="42"/>
              <w:spacing w:line="300" w:lineRule="exact"/>
              <w:rPr>
                <w:sz w:val="18"/>
                <w:szCs w:val="18"/>
              </w:rPr>
            </w:pPr>
            <w:r>
              <w:rPr>
                <w:rFonts w:hint="eastAsia"/>
                <w:sz w:val="18"/>
                <w:szCs w:val="18"/>
              </w:rPr>
              <w:t>X</w:t>
            </w:r>
          </w:p>
        </w:tc>
        <w:tc>
          <w:tcPr>
            <w:tcW w:w="339" w:type="pct"/>
            <w:vAlign w:val="center"/>
          </w:tcPr>
          <w:p>
            <w:pPr>
              <w:pStyle w:val="42"/>
              <w:spacing w:line="300" w:lineRule="exact"/>
              <w:rPr>
                <w:sz w:val="18"/>
                <w:szCs w:val="18"/>
              </w:rPr>
            </w:pPr>
            <w:r>
              <w:rPr>
                <w:rFonts w:hint="eastAsia"/>
                <w:sz w:val="18"/>
                <w:szCs w:val="18"/>
              </w:rPr>
              <w:t>Y</w:t>
            </w:r>
          </w:p>
        </w:tc>
        <w:tc>
          <w:tcPr>
            <w:tcW w:w="424" w:type="pct"/>
            <w:vAlign w:val="center"/>
          </w:tcPr>
          <w:p>
            <w:pPr>
              <w:pStyle w:val="42"/>
              <w:spacing w:line="300" w:lineRule="exact"/>
              <w:rPr>
                <w:sz w:val="18"/>
                <w:szCs w:val="18"/>
              </w:rPr>
            </w:pPr>
            <w:r>
              <w:rPr>
                <w:rFonts w:hint="eastAsia"/>
                <w:sz w:val="18"/>
                <w:szCs w:val="18"/>
              </w:rPr>
              <w:t>Z</w:t>
            </w:r>
          </w:p>
        </w:tc>
        <w:tc>
          <w:tcPr>
            <w:tcW w:w="509" w:type="pct"/>
            <w:vMerge w:val="continue"/>
            <w:vAlign w:val="center"/>
          </w:tcPr>
          <w:p>
            <w:pPr>
              <w:pStyle w:val="42"/>
              <w:spacing w:line="300" w:lineRule="exact"/>
              <w:rPr>
                <w:sz w:val="18"/>
                <w:szCs w:val="18"/>
              </w:rPr>
            </w:pPr>
          </w:p>
        </w:tc>
        <w:tc>
          <w:tcPr>
            <w:tcW w:w="593" w:type="pct"/>
            <w:vMerge w:val="continue"/>
            <w:tcBorders>
              <w:right w:val="single" w:color="auto" w:sz="4" w:space="0"/>
            </w:tcBorders>
            <w:vAlign w:val="center"/>
          </w:tcPr>
          <w:p>
            <w:pPr>
              <w:pStyle w:val="42"/>
              <w:spacing w:line="300" w:lineRule="exact"/>
              <w:rPr>
                <w:sz w:val="18"/>
                <w:szCs w:val="18"/>
              </w:rPr>
            </w:pP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restart"/>
            <w:vAlign w:val="center"/>
          </w:tcPr>
          <w:p>
            <w:pPr>
              <w:pStyle w:val="42"/>
              <w:spacing w:line="300" w:lineRule="exact"/>
            </w:pPr>
            <w:r>
              <w:t>环境空气</w:t>
            </w:r>
            <w:r>
              <w:rPr>
                <w:rFonts w:hint="eastAsia"/>
              </w:rPr>
              <w:t>、</w:t>
            </w:r>
          </w:p>
          <w:p>
            <w:pPr>
              <w:pStyle w:val="42"/>
              <w:spacing w:line="300" w:lineRule="exact"/>
              <w:rPr>
                <w:sz w:val="18"/>
                <w:szCs w:val="18"/>
              </w:rPr>
            </w:pPr>
            <w:r>
              <w:rPr>
                <w:sz w:val="18"/>
                <w:szCs w:val="18"/>
              </w:rPr>
              <w:t>环境风险</w:t>
            </w:r>
          </w:p>
        </w:tc>
        <w:tc>
          <w:tcPr>
            <w:tcW w:w="325" w:type="pct"/>
            <w:vAlign w:val="center"/>
          </w:tcPr>
          <w:p>
            <w:pPr>
              <w:pStyle w:val="42"/>
              <w:spacing w:line="300" w:lineRule="exact"/>
              <w:rPr>
                <w:sz w:val="18"/>
                <w:szCs w:val="18"/>
              </w:rPr>
            </w:pPr>
            <w:r>
              <w:rPr>
                <w:sz w:val="18"/>
                <w:szCs w:val="18"/>
              </w:rPr>
              <w:t>1</w:t>
            </w:r>
          </w:p>
        </w:tc>
        <w:tc>
          <w:tcPr>
            <w:tcW w:w="763" w:type="pct"/>
            <w:vAlign w:val="center"/>
          </w:tcPr>
          <w:p>
            <w:pPr>
              <w:pStyle w:val="42"/>
              <w:spacing w:line="300" w:lineRule="exact"/>
              <w:rPr>
                <w:sz w:val="18"/>
                <w:szCs w:val="18"/>
              </w:rPr>
            </w:pPr>
            <w:r>
              <w:rPr>
                <w:sz w:val="18"/>
                <w:szCs w:val="18"/>
              </w:rPr>
              <w:t>晏家街道</w:t>
            </w:r>
          </w:p>
        </w:tc>
        <w:tc>
          <w:tcPr>
            <w:tcW w:w="1017" w:type="pct"/>
            <w:vAlign w:val="center"/>
          </w:tcPr>
          <w:p>
            <w:pPr>
              <w:pStyle w:val="42"/>
              <w:spacing w:line="300" w:lineRule="exact"/>
              <w:rPr>
                <w:sz w:val="18"/>
                <w:szCs w:val="18"/>
              </w:rPr>
            </w:pPr>
            <w:r>
              <w:rPr>
                <w:rFonts w:hint="eastAsia"/>
                <w:sz w:val="18"/>
                <w:szCs w:val="18"/>
              </w:rPr>
              <w:t>居民区，</w:t>
            </w:r>
            <w:r>
              <w:rPr>
                <w:sz w:val="18"/>
                <w:szCs w:val="18"/>
              </w:rPr>
              <w:t>约</w:t>
            </w:r>
            <w:r>
              <w:rPr>
                <w:rFonts w:hint="eastAsia"/>
                <w:sz w:val="18"/>
                <w:szCs w:val="18"/>
              </w:rPr>
              <w:t>5万</w:t>
            </w:r>
            <w:r>
              <w:rPr>
                <w:sz w:val="18"/>
                <w:szCs w:val="18"/>
              </w:rPr>
              <w:t>人</w:t>
            </w:r>
          </w:p>
        </w:tc>
        <w:tc>
          <w:tcPr>
            <w:tcW w:w="339" w:type="pct"/>
            <w:vAlign w:val="center"/>
          </w:tcPr>
          <w:p>
            <w:pPr>
              <w:pStyle w:val="42"/>
              <w:spacing w:line="300" w:lineRule="exact"/>
              <w:rPr>
                <w:sz w:val="18"/>
                <w:szCs w:val="18"/>
              </w:rPr>
            </w:pPr>
            <w:r>
              <w:rPr>
                <w:sz w:val="18"/>
                <w:szCs w:val="18"/>
              </w:rPr>
              <w:t>2469</w:t>
            </w:r>
          </w:p>
        </w:tc>
        <w:tc>
          <w:tcPr>
            <w:tcW w:w="339" w:type="pct"/>
            <w:vAlign w:val="center"/>
          </w:tcPr>
          <w:p>
            <w:pPr>
              <w:pStyle w:val="42"/>
              <w:spacing w:line="300" w:lineRule="exact"/>
              <w:rPr>
                <w:sz w:val="18"/>
                <w:szCs w:val="18"/>
              </w:rPr>
            </w:pPr>
            <w:r>
              <w:rPr>
                <w:sz w:val="18"/>
                <w:szCs w:val="18"/>
              </w:rPr>
              <w:t>-1417</w:t>
            </w:r>
          </w:p>
        </w:tc>
        <w:tc>
          <w:tcPr>
            <w:tcW w:w="424" w:type="pct"/>
            <w:vAlign w:val="center"/>
          </w:tcPr>
          <w:p>
            <w:pPr>
              <w:pStyle w:val="42"/>
              <w:spacing w:line="300" w:lineRule="exact"/>
              <w:rPr>
                <w:sz w:val="18"/>
                <w:szCs w:val="18"/>
              </w:rPr>
            </w:pPr>
            <w:r>
              <w:rPr>
                <w:sz w:val="18"/>
                <w:szCs w:val="18"/>
              </w:rPr>
              <w:t>272.71</w:t>
            </w:r>
          </w:p>
        </w:tc>
        <w:tc>
          <w:tcPr>
            <w:tcW w:w="509" w:type="pct"/>
            <w:vAlign w:val="center"/>
          </w:tcPr>
          <w:p>
            <w:pPr>
              <w:pStyle w:val="42"/>
              <w:spacing w:line="300" w:lineRule="exact"/>
              <w:rPr>
                <w:sz w:val="18"/>
                <w:szCs w:val="18"/>
              </w:rPr>
            </w:pPr>
            <w:r>
              <w:rPr>
                <w:rFonts w:hint="eastAsia"/>
                <w:sz w:val="18"/>
                <w:szCs w:val="18"/>
              </w:rPr>
              <w:t>SE</w:t>
            </w:r>
          </w:p>
        </w:tc>
        <w:tc>
          <w:tcPr>
            <w:tcW w:w="593" w:type="pct"/>
            <w:vAlign w:val="center"/>
          </w:tcPr>
          <w:p>
            <w:pPr>
              <w:pStyle w:val="42"/>
              <w:spacing w:line="300" w:lineRule="exact"/>
              <w:rPr>
                <w:sz w:val="18"/>
                <w:szCs w:val="18"/>
              </w:rPr>
            </w:pPr>
            <w:r>
              <w:rPr>
                <w:rFonts w:hint="eastAsia"/>
                <w:sz w:val="18"/>
                <w:szCs w:val="18"/>
              </w:rPr>
              <w:t>2000</w:t>
            </w:r>
          </w:p>
        </w:tc>
        <w:tc>
          <w:tcPr>
            <w:tcW w:w="406" w:type="pct"/>
            <w:vMerge w:val="restart"/>
            <w:vAlign w:val="center"/>
          </w:tcPr>
          <w:p>
            <w:pPr>
              <w:pStyle w:val="42"/>
              <w:spacing w:line="300" w:lineRule="exact"/>
              <w:rPr>
                <w:sz w:val="18"/>
                <w:szCs w:val="18"/>
              </w:rPr>
            </w:pPr>
            <w:r>
              <w:rPr>
                <w:rFonts w:hint="eastAsia"/>
                <w:sz w:val="18"/>
                <w:szCs w:val="18"/>
              </w:rPr>
              <w:t>环境空气二类区（含环境风险）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2</w:t>
            </w:r>
          </w:p>
        </w:tc>
        <w:tc>
          <w:tcPr>
            <w:tcW w:w="763" w:type="pct"/>
            <w:vAlign w:val="center"/>
          </w:tcPr>
          <w:p>
            <w:pPr>
              <w:pStyle w:val="42"/>
              <w:spacing w:line="300" w:lineRule="exact"/>
              <w:rPr>
                <w:sz w:val="18"/>
                <w:szCs w:val="18"/>
              </w:rPr>
            </w:pPr>
            <w:r>
              <w:rPr>
                <w:sz w:val="18"/>
                <w:szCs w:val="18"/>
              </w:rPr>
              <w:t>长寿经开区管委会</w:t>
            </w:r>
          </w:p>
        </w:tc>
        <w:tc>
          <w:tcPr>
            <w:tcW w:w="1017" w:type="pct"/>
            <w:vAlign w:val="center"/>
          </w:tcPr>
          <w:p>
            <w:pPr>
              <w:pStyle w:val="42"/>
              <w:spacing w:line="300" w:lineRule="exact"/>
              <w:rPr>
                <w:sz w:val="18"/>
                <w:szCs w:val="18"/>
              </w:rPr>
            </w:pPr>
            <w:r>
              <w:rPr>
                <w:rFonts w:hint="eastAsia"/>
                <w:sz w:val="18"/>
                <w:szCs w:val="18"/>
              </w:rPr>
              <w:t>办公区，</w:t>
            </w:r>
            <w:r>
              <w:rPr>
                <w:sz w:val="18"/>
                <w:szCs w:val="18"/>
              </w:rPr>
              <w:t>约200人</w:t>
            </w:r>
          </w:p>
        </w:tc>
        <w:tc>
          <w:tcPr>
            <w:tcW w:w="339" w:type="pct"/>
            <w:vAlign w:val="center"/>
          </w:tcPr>
          <w:p>
            <w:pPr>
              <w:pStyle w:val="42"/>
              <w:spacing w:line="300" w:lineRule="exact"/>
              <w:rPr>
                <w:sz w:val="18"/>
                <w:szCs w:val="18"/>
              </w:rPr>
            </w:pPr>
            <w:r>
              <w:rPr>
                <w:sz w:val="18"/>
                <w:szCs w:val="18"/>
              </w:rPr>
              <w:t>1950</w:t>
            </w:r>
          </w:p>
        </w:tc>
        <w:tc>
          <w:tcPr>
            <w:tcW w:w="339" w:type="pct"/>
            <w:vAlign w:val="center"/>
          </w:tcPr>
          <w:p>
            <w:pPr>
              <w:pStyle w:val="42"/>
              <w:spacing w:line="300" w:lineRule="exact"/>
              <w:rPr>
                <w:sz w:val="18"/>
                <w:szCs w:val="18"/>
              </w:rPr>
            </w:pPr>
            <w:r>
              <w:rPr>
                <w:sz w:val="18"/>
                <w:szCs w:val="18"/>
              </w:rPr>
              <w:t>-687</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W</w:t>
            </w:r>
          </w:p>
        </w:tc>
        <w:tc>
          <w:tcPr>
            <w:tcW w:w="593" w:type="pct"/>
            <w:vAlign w:val="center"/>
          </w:tcPr>
          <w:p>
            <w:pPr>
              <w:pStyle w:val="42"/>
              <w:spacing w:line="300" w:lineRule="exact"/>
              <w:rPr>
                <w:sz w:val="18"/>
                <w:szCs w:val="18"/>
              </w:rPr>
            </w:pPr>
            <w:r>
              <w:rPr>
                <w:rFonts w:hint="eastAsia"/>
                <w:sz w:val="18"/>
                <w:szCs w:val="18"/>
              </w:rPr>
              <w:t>1900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3</w:t>
            </w:r>
          </w:p>
        </w:tc>
        <w:tc>
          <w:tcPr>
            <w:tcW w:w="763" w:type="pct"/>
            <w:vAlign w:val="center"/>
          </w:tcPr>
          <w:p>
            <w:pPr>
              <w:pStyle w:val="42"/>
              <w:spacing w:line="300" w:lineRule="exact"/>
              <w:rPr>
                <w:sz w:val="18"/>
                <w:szCs w:val="18"/>
              </w:rPr>
            </w:pPr>
            <w:r>
              <w:rPr>
                <w:sz w:val="18"/>
                <w:szCs w:val="18"/>
              </w:rPr>
              <w:t>晏家中学</w:t>
            </w:r>
          </w:p>
        </w:tc>
        <w:tc>
          <w:tcPr>
            <w:tcW w:w="1017" w:type="pct"/>
            <w:vAlign w:val="center"/>
          </w:tcPr>
          <w:p>
            <w:pPr>
              <w:pStyle w:val="42"/>
              <w:spacing w:line="300" w:lineRule="exact"/>
              <w:rPr>
                <w:sz w:val="18"/>
                <w:szCs w:val="18"/>
              </w:rPr>
            </w:pPr>
            <w:r>
              <w:rPr>
                <w:rFonts w:hint="eastAsia"/>
                <w:sz w:val="18"/>
                <w:szCs w:val="18"/>
              </w:rPr>
              <w:t>学校，</w:t>
            </w:r>
            <w:r>
              <w:rPr>
                <w:sz w:val="18"/>
                <w:szCs w:val="18"/>
              </w:rPr>
              <w:t>师生约2500人</w:t>
            </w:r>
          </w:p>
        </w:tc>
        <w:tc>
          <w:tcPr>
            <w:tcW w:w="339" w:type="pct"/>
            <w:vAlign w:val="center"/>
          </w:tcPr>
          <w:p>
            <w:pPr>
              <w:pStyle w:val="42"/>
              <w:spacing w:line="300" w:lineRule="exact"/>
              <w:rPr>
                <w:sz w:val="18"/>
                <w:szCs w:val="18"/>
              </w:rPr>
            </w:pPr>
            <w:r>
              <w:rPr>
                <w:sz w:val="18"/>
                <w:szCs w:val="18"/>
              </w:rPr>
              <w:t>2023</w:t>
            </w:r>
          </w:p>
        </w:tc>
        <w:tc>
          <w:tcPr>
            <w:tcW w:w="339" w:type="pct"/>
            <w:vAlign w:val="center"/>
          </w:tcPr>
          <w:p>
            <w:pPr>
              <w:pStyle w:val="42"/>
              <w:spacing w:line="300" w:lineRule="exact"/>
              <w:rPr>
                <w:sz w:val="18"/>
                <w:szCs w:val="18"/>
              </w:rPr>
            </w:pPr>
            <w:r>
              <w:rPr>
                <w:sz w:val="18"/>
                <w:szCs w:val="18"/>
              </w:rPr>
              <w:t>-1959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SE</w:t>
            </w:r>
          </w:p>
        </w:tc>
        <w:tc>
          <w:tcPr>
            <w:tcW w:w="593" w:type="pct"/>
            <w:vAlign w:val="center"/>
          </w:tcPr>
          <w:p>
            <w:pPr>
              <w:pStyle w:val="42"/>
              <w:spacing w:line="300" w:lineRule="exact"/>
              <w:rPr>
                <w:sz w:val="18"/>
                <w:szCs w:val="18"/>
              </w:rPr>
            </w:pPr>
            <w:r>
              <w:rPr>
                <w:rFonts w:hint="eastAsia"/>
                <w:sz w:val="18"/>
                <w:szCs w:val="18"/>
              </w:rPr>
              <w:t>2700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sz w:val="18"/>
                <w:szCs w:val="18"/>
              </w:rPr>
              <w:t>4</w:t>
            </w:r>
          </w:p>
        </w:tc>
        <w:tc>
          <w:tcPr>
            <w:tcW w:w="763" w:type="pct"/>
            <w:vAlign w:val="center"/>
          </w:tcPr>
          <w:p>
            <w:pPr>
              <w:pStyle w:val="42"/>
              <w:spacing w:line="300" w:lineRule="exact"/>
              <w:rPr>
                <w:sz w:val="18"/>
                <w:szCs w:val="18"/>
              </w:rPr>
            </w:pPr>
            <w:r>
              <w:rPr>
                <w:sz w:val="18"/>
                <w:szCs w:val="18"/>
              </w:rPr>
              <w:t>晏家实验小学</w:t>
            </w:r>
          </w:p>
        </w:tc>
        <w:tc>
          <w:tcPr>
            <w:tcW w:w="1017" w:type="pct"/>
            <w:vAlign w:val="center"/>
          </w:tcPr>
          <w:p>
            <w:pPr>
              <w:pStyle w:val="42"/>
              <w:spacing w:line="300" w:lineRule="exact"/>
              <w:rPr>
                <w:sz w:val="18"/>
                <w:szCs w:val="18"/>
              </w:rPr>
            </w:pPr>
            <w:r>
              <w:rPr>
                <w:rFonts w:hint="eastAsia"/>
                <w:sz w:val="18"/>
                <w:szCs w:val="18"/>
              </w:rPr>
              <w:t>学校，</w:t>
            </w:r>
            <w:r>
              <w:rPr>
                <w:sz w:val="18"/>
                <w:szCs w:val="18"/>
              </w:rPr>
              <w:t>师生约2600人</w:t>
            </w:r>
          </w:p>
        </w:tc>
        <w:tc>
          <w:tcPr>
            <w:tcW w:w="339" w:type="pct"/>
            <w:vAlign w:val="center"/>
          </w:tcPr>
          <w:p>
            <w:pPr>
              <w:pStyle w:val="42"/>
              <w:spacing w:line="300" w:lineRule="exact"/>
              <w:rPr>
                <w:sz w:val="18"/>
                <w:szCs w:val="18"/>
              </w:rPr>
            </w:pPr>
            <w:r>
              <w:rPr>
                <w:sz w:val="18"/>
                <w:szCs w:val="18"/>
              </w:rPr>
              <w:t>2457</w:t>
            </w:r>
          </w:p>
        </w:tc>
        <w:tc>
          <w:tcPr>
            <w:tcW w:w="339" w:type="pct"/>
            <w:vAlign w:val="center"/>
          </w:tcPr>
          <w:p>
            <w:pPr>
              <w:pStyle w:val="42"/>
              <w:spacing w:line="300" w:lineRule="exact"/>
              <w:rPr>
                <w:sz w:val="18"/>
                <w:szCs w:val="18"/>
              </w:rPr>
            </w:pPr>
            <w:r>
              <w:rPr>
                <w:sz w:val="18"/>
                <w:szCs w:val="18"/>
              </w:rPr>
              <w:t>-790</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W</w:t>
            </w:r>
          </w:p>
        </w:tc>
        <w:tc>
          <w:tcPr>
            <w:tcW w:w="593" w:type="pct"/>
            <w:vAlign w:val="center"/>
          </w:tcPr>
          <w:p>
            <w:pPr>
              <w:pStyle w:val="42"/>
              <w:spacing w:line="300" w:lineRule="exact"/>
              <w:rPr>
                <w:sz w:val="18"/>
                <w:szCs w:val="18"/>
              </w:rPr>
            </w:pPr>
            <w:r>
              <w:rPr>
                <w:rFonts w:hint="eastAsia"/>
                <w:sz w:val="18"/>
                <w:szCs w:val="18"/>
              </w:rPr>
              <w:t>2420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sz w:val="18"/>
                <w:szCs w:val="18"/>
              </w:rPr>
              <w:t>5</w:t>
            </w:r>
          </w:p>
        </w:tc>
        <w:tc>
          <w:tcPr>
            <w:tcW w:w="763" w:type="pct"/>
            <w:vAlign w:val="center"/>
          </w:tcPr>
          <w:p>
            <w:pPr>
              <w:pStyle w:val="42"/>
              <w:spacing w:line="300" w:lineRule="exact"/>
              <w:rPr>
                <w:sz w:val="18"/>
                <w:szCs w:val="18"/>
              </w:rPr>
            </w:pPr>
            <w:r>
              <w:rPr>
                <w:rFonts w:hint="eastAsia"/>
                <w:sz w:val="18"/>
                <w:szCs w:val="18"/>
              </w:rPr>
              <w:t>泓原</w:t>
            </w:r>
            <w:r>
              <w:rPr>
                <w:sz w:val="18"/>
                <w:szCs w:val="18"/>
              </w:rPr>
              <w:t>医院</w:t>
            </w:r>
          </w:p>
        </w:tc>
        <w:tc>
          <w:tcPr>
            <w:tcW w:w="1017" w:type="pct"/>
            <w:vAlign w:val="center"/>
          </w:tcPr>
          <w:p>
            <w:pPr>
              <w:pStyle w:val="42"/>
              <w:spacing w:line="300" w:lineRule="exact"/>
              <w:rPr>
                <w:sz w:val="18"/>
                <w:szCs w:val="18"/>
              </w:rPr>
            </w:pPr>
            <w:r>
              <w:rPr>
                <w:rFonts w:hint="eastAsia"/>
                <w:sz w:val="18"/>
                <w:szCs w:val="18"/>
              </w:rPr>
              <w:t>医院，</w:t>
            </w:r>
            <w:r>
              <w:rPr>
                <w:sz w:val="18"/>
                <w:szCs w:val="18"/>
              </w:rPr>
              <w:t>床位约50张</w:t>
            </w:r>
          </w:p>
        </w:tc>
        <w:tc>
          <w:tcPr>
            <w:tcW w:w="339" w:type="pct"/>
            <w:vAlign w:val="center"/>
          </w:tcPr>
          <w:p>
            <w:pPr>
              <w:pStyle w:val="42"/>
              <w:spacing w:line="300" w:lineRule="exact"/>
              <w:rPr>
                <w:sz w:val="18"/>
                <w:szCs w:val="18"/>
              </w:rPr>
            </w:pPr>
            <w:r>
              <w:rPr>
                <w:sz w:val="18"/>
                <w:szCs w:val="18"/>
              </w:rPr>
              <w:t>2131</w:t>
            </w:r>
          </w:p>
        </w:tc>
        <w:tc>
          <w:tcPr>
            <w:tcW w:w="339" w:type="pct"/>
            <w:vAlign w:val="center"/>
          </w:tcPr>
          <w:p>
            <w:pPr>
              <w:pStyle w:val="42"/>
              <w:spacing w:line="300" w:lineRule="exact"/>
              <w:rPr>
                <w:sz w:val="18"/>
                <w:szCs w:val="18"/>
              </w:rPr>
            </w:pPr>
            <w:r>
              <w:rPr>
                <w:sz w:val="18"/>
                <w:szCs w:val="18"/>
              </w:rPr>
              <w:t>-549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W</w:t>
            </w:r>
          </w:p>
        </w:tc>
        <w:tc>
          <w:tcPr>
            <w:tcW w:w="593" w:type="pct"/>
            <w:vAlign w:val="center"/>
          </w:tcPr>
          <w:p>
            <w:pPr>
              <w:pStyle w:val="42"/>
              <w:spacing w:line="300" w:lineRule="exact"/>
              <w:rPr>
                <w:sz w:val="18"/>
                <w:szCs w:val="18"/>
              </w:rPr>
            </w:pPr>
            <w:r>
              <w:rPr>
                <w:rFonts w:hint="eastAsia"/>
                <w:sz w:val="18"/>
                <w:szCs w:val="18"/>
              </w:rPr>
              <w:t>2000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6</w:t>
            </w:r>
          </w:p>
        </w:tc>
        <w:tc>
          <w:tcPr>
            <w:tcW w:w="763" w:type="pct"/>
            <w:vAlign w:val="center"/>
          </w:tcPr>
          <w:p>
            <w:pPr>
              <w:pStyle w:val="42"/>
              <w:spacing w:line="300" w:lineRule="exact"/>
              <w:rPr>
                <w:sz w:val="18"/>
                <w:szCs w:val="18"/>
              </w:rPr>
            </w:pPr>
            <w:r>
              <w:rPr>
                <w:rFonts w:hint="eastAsia"/>
                <w:sz w:val="18"/>
                <w:szCs w:val="18"/>
              </w:rPr>
              <w:t>龙口村居民点</w:t>
            </w:r>
          </w:p>
        </w:tc>
        <w:tc>
          <w:tcPr>
            <w:tcW w:w="1017" w:type="pct"/>
            <w:vAlign w:val="center"/>
          </w:tcPr>
          <w:p>
            <w:pPr>
              <w:pStyle w:val="42"/>
              <w:spacing w:line="300" w:lineRule="exact"/>
              <w:rPr>
                <w:sz w:val="18"/>
                <w:szCs w:val="18"/>
              </w:rPr>
            </w:pPr>
            <w:r>
              <w:rPr>
                <w:rFonts w:hint="eastAsia"/>
                <w:sz w:val="18"/>
                <w:szCs w:val="18"/>
              </w:rPr>
              <w:t>居民点，约50人</w:t>
            </w:r>
          </w:p>
        </w:tc>
        <w:tc>
          <w:tcPr>
            <w:tcW w:w="339" w:type="pct"/>
            <w:vAlign w:val="center"/>
          </w:tcPr>
          <w:p>
            <w:pPr>
              <w:pStyle w:val="42"/>
              <w:spacing w:line="300" w:lineRule="exact"/>
              <w:rPr>
                <w:sz w:val="18"/>
                <w:szCs w:val="18"/>
              </w:rPr>
            </w:pPr>
            <w:r>
              <w:rPr>
                <w:sz w:val="18"/>
                <w:szCs w:val="18"/>
              </w:rPr>
              <w:t>-726</w:t>
            </w:r>
          </w:p>
        </w:tc>
        <w:tc>
          <w:tcPr>
            <w:tcW w:w="339" w:type="pct"/>
            <w:vAlign w:val="center"/>
          </w:tcPr>
          <w:p>
            <w:pPr>
              <w:pStyle w:val="42"/>
              <w:spacing w:line="300" w:lineRule="exact"/>
              <w:rPr>
                <w:sz w:val="18"/>
                <w:szCs w:val="18"/>
              </w:rPr>
            </w:pPr>
            <w:r>
              <w:rPr>
                <w:sz w:val="18"/>
                <w:szCs w:val="18"/>
              </w:rPr>
              <w:t>2595</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NWN</w:t>
            </w:r>
          </w:p>
        </w:tc>
        <w:tc>
          <w:tcPr>
            <w:tcW w:w="593" w:type="pct"/>
            <w:vAlign w:val="center"/>
          </w:tcPr>
          <w:p>
            <w:pPr>
              <w:pStyle w:val="42"/>
              <w:spacing w:line="300" w:lineRule="exact"/>
              <w:rPr>
                <w:sz w:val="18"/>
                <w:szCs w:val="18"/>
              </w:rPr>
            </w:pPr>
            <w:r>
              <w:rPr>
                <w:rFonts w:hint="eastAsia"/>
                <w:sz w:val="18"/>
                <w:szCs w:val="18"/>
              </w:rPr>
              <w:t>2300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7</w:t>
            </w:r>
          </w:p>
        </w:tc>
        <w:tc>
          <w:tcPr>
            <w:tcW w:w="763" w:type="pct"/>
            <w:vAlign w:val="center"/>
          </w:tcPr>
          <w:p>
            <w:pPr>
              <w:pStyle w:val="42"/>
              <w:spacing w:line="300" w:lineRule="exact"/>
              <w:rPr>
                <w:sz w:val="18"/>
                <w:szCs w:val="18"/>
              </w:rPr>
            </w:pPr>
            <w:r>
              <w:rPr>
                <w:rFonts w:hint="eastAsia"/>
                <w:sz w:val="18"/>
                <w:szCs w:val="18"/>
              </w:rPr>
              <w:t>观双村居民点</w:t>
            </w:r>
          </w:p>
        </w:tc>
        <w:tc>
          <w:tcPr>
            <w:tcW w:w="1017" w:type="pct"/>
            <w:vAlign w:val="center"/>
          </w:tcPr>
          <w:p>
            <w:pPr>
              <w:pStyle w:val="42"/>
              <w:spacing w:line="300" w:lineRule="exact"/>
              <w:rPr>
                <w:sz w:val="18"/>
                <w:szCs w:val="18"/>
              </w:rPr>
            </w:pPr>
            <w:r>
              <w:rPr>
                <w:rFonts w:hint="eastAsia"/>
                <w:sz w:val="18"/>
                <w:szCs w:val="18"/>
              </w:rPr>
              <w:t>居民点，约20人</w:t>
            </w:r>
          </w:p>
        </w:tc>
        <w:tc>
          <w:tcPr>
            <w:tcW w:w="339" w:type="pct"/>
            <w:vAlign w:val="center"/>
          </w:tcPr>
          <w:p>
            <w:pPr>
              <w:pStyle w:val="42"/>
              <w:spacing w:line="300" w:lineRule="exact"/>
              <w:rPr>
                <w:sz w:val="18"/>
                <w:szCs w:val="18"/>
              </w:rPr>
            </w:pPr>
            <w:r>
              <w:rPr>
                <w:sz w:val="18"/>
                <w:szCs w:val="18"/>
              </w:rPr>
              <w:t>926</w:t>
            </w:r>
          </w:p>
        </w:tc>
        <w:tc>
          <w:tcPr>
            <w:tcW w:w="339" w:type="pct"/>
            <w:vAlign w:val="center"/>
          </w:tcPr>
          <w:p>
            <w:pPr>
              <w:pStyle w:val="42"/>
              <w:spacing w:line="300" w:lineRule="exact"/>
              <w:rPr>
                <w:sz w:val="18"/>
                <w:szCs w:val="18"/>
              </w:rPr>
            </w:pPr>
            <w:r>
              <w:rPr>
                <w:sz w:val="18"/>
                <w:szCs w:val="18"/>
              </w:rPr>
              <w:t>2957</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N</w:t>
            </w:r>
          </w:p>
        </w:tc>
        <w:tc>
          <w:tcPr>
            <w:tcW w:w="593" w:type="pct"/>
            <w:vAlign w:val="center"/>
          </w:tcPr>
          <w:p>
            <w:pPr>
              <w:pStyle w:val="42"/>
              <w:spacing w:line="300" w:lineRule="exact"/>
              <w:rPr>
                <w:sz w:val="18"/>
                <w:szCs w:val="18"/>
              </w:rPr>
            </w:pPr>
            <w:r>
              <w:rPr>
                <w:rFonts w:hint="eastAsia"/>
                <w:sz w:val="18"/>
                <w:szCs w:val="18"/>
              </w:rPr>
              <w:t>2450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restart"/>
            <w:vAlign w:val="center"/>
          </w:tcPr>
          <w:p>
            <w:pPr>
              <w:pStyle w:val="42"/>
              <w:spacing w:line="300" w:lineRule="exact"/>
              <w:rPr>
                <w:sz w:val="18"/>
                <w:szCs w:val="18"/>
              </w:rPr>
            </w:pPr>
            <w:r>
              <w:rPr>
                <w:sz w:val="18"/>
                <w:szCs w:val="18"/>
              </w:rPr>
              <w:t>环境风险</w:t>
            </w:r>
            <w:r>
              <w:rPr>
                <w:rFonts w:hint="eastAsia"/>
                <w:sz w:val="18"/>
                <w:szCs w:val="18"/>
              </w:rPr>
              <w:t>（大气）</w:t>
            </w:r>
          </w:p>
        </w:tc>
        <w:tc>
          <w:tcPr>
            <w:tcW w:w="325" w:type="pct"/>
            <w:vAlign w:val="center"/>
          </w:tcPr>
          <w:p>
            <w:pPr>
              <w:pStyle w:val="42"/>
              <w:spacing w:line="300" w:lineRule="exact"/>
              <w:rPr>
                <w:sz w:val="18"/>
                <w:szCs w:val="18"/>
              </w:rPr>
            </w:pPr>
            <w:r>
              <w:rPr>
                <w:rFonts w:hint="eastAsia"/>
                <w:sz w:val="18"/>
                <w:szCs w:val="18"/>
              </w:rPr>
              <w:t>8</w:t>
            </w:r>
          </w:p>
        </w:tc>
        <w:tc>
          <w:tcPr>
            <w:tcW w:w="763" w:type="pct"/>
            <w:vAlign w:val="center"/>
          </w:tcPr>
          <w:p>
            <w:pPr>
              <w:pStyle w:val="42"/>
              <w:spacing w:line="300" w:lineRule="exact"/>
              <w:rPr>
                <w:sz w:val="18"/>
                <w:szCs w:val="18"/>
              </w:rPr>
            </w:pPr>
            <w:r>
              <w:rPr>
                <w:rFonts w:hint="eastAsia"/>
                <w:sz w:val="18"/>
                <w:szCs w:val="18"/>
              </w:rPr>
              <w:t>黄连寺居民点</w:t>
            </w:r>
          </w:p>
        </w:tc>
        <w:tc>
          <w:tcPr>
            <w:tcW w:w="1017" w:type="pct"/>
            <w:vAlign w:val="center"/>
          </w:tcPr>
          <w:p>
            <w:pPr>
              <w:pStyle w:val="42"/>
              <w:spacing w:line="300" w:lineRule="exact"/>
              <w:rPr>
                <w:sz w:val="18"/>
                <w:szCs w:val="18"/>
              </w:rPr>
            </w:pPr>
            <w:r>
              <w:rPr>
                <w:rFonts w:hint="eastAsia"/>
                <w:sz w:val="18"/>
                <w:szCs w:val="18"/>
              </w:rPr>
              <w:t>居民点，约30人</w:t>
            </w:r>
          </w:p>
        </w:tc>
        <w:tc>
          <w:tcPr>
            <w:tcW w:w="339" w:type="pct"/>
            <w:vAlign w:val="center"/>
          </w:tcPr>
          <w:p>
            <w:pPr>
              <w:pStyle w:val="42"/>
              <w:spacing w:line="300" w:lineRule="exact"/>
              <w:rPr>
                <w:sz w:val="18"/>
                <w:szCs w:val="18"/>
              </w:rPr>
            </w:pPr>
            <w:r>
              <w:rPr>
                <w:sz w:val="18"/>
                <w:szCs w:val="18"/>
              </w:rPr>
              <w:t>-641</w:t>
            </w:r>
          </w:p>
        </w:tc>
        <w:tc>
          <w:tcPr>
            <w:tcW w:w="339" w:type="pct"/>
            <w:vAlign w:val="center"/>
          </w:tcPr>
          <w:p>
            <w:pPr>
              <w:pStyle w:val="42"/>
              <w:spacing w:line="300" w:lineRule="exact"/>
              <w:rPr>
                <w:sz w:val="18"/>
                <w:szCs w:val="18"/>
              </w:rPr>
            </w:pPr>
            <w:r>
              <w:rPr>
                <w:sz w:val="18"/>
                <w:szCs w:val="18"/>
              </w:rPr>
              <w:t>3137</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NWN</w:t>
            </w:r>
          </w:p>
        </w:tc>
        <w:tc>
          <w:tcPr>
            <w:tcW w:w="593" w:type="pct"/>
            <w:vAlign w:val="center"/>
          </w:tcPr>
          <w:p>
            <w:pPr>
              <w:pStyle w:val="42"/>
              <w:spacing w:line="300" w:lineRule="exact"/>
              <w:rPr>
                <w:sz w:val="18"/>
                <w:szCs w:val="18"/>
              </w:rPr>
            </w:pPr>
            <w:r>
              <w:rPr>
                <w:rFonts w:hint="eastAsia"/>
                <w:sz w:val="18"/>
                <w:szCs w:val="18"/>
              </w:rPr>
              <w:t>2650</w:t>
            </w:r>
          </w:p>
        </w:tc>
        <w:tc>
          <w:tcPr>
            <w:tcW w:w="406" w:type="pct"/>
            <w:vMerge w:val="restart"/>
            <w:vAlign w:val="center"/>
          </w:tcPr>
          <w:p>
            <w:pPr>
              <w:pStyle w:val="42"/>
              <w:spacing w:line="300" w:lineRule="exact"/>
              <w:rPr>
                <w:sz w:val="18"/>
                <w:szCs w:val="18"/>
              </w:rPr>
            </w:pPr>
            <w:r>
              <w:rPr>
                <w:rFonts w:hint="eastAsia"/>
                <w:sz w:val="18"/>
                <w:szCs w:val="18"/>
              </w:rPr>
              <w:t>环境风险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9</w:t>
            </w:r>
          </w:p>
        </w:tc>
        <w:tc>
          <w:tcPr>
            <w:tcW w:w="763" w:type="pct"/>
            <w:vAlign w:val="center"/>
          </w:tcPr>
          <w:p>
            <w:pPr>
              <w:pStyle w:val="42"/>
              <w:spacing w:line="300" w:lineRule="exact"/>
              <w:rPr>
                <w:sz w:val="18"/>
                <w:szCs w:val="18"/>
              </w:rPr>
            </w:pPr>
            <w:r>
              <w:rPr>
                <w:rFonts w:hint="eastAsia"/>
                <w:sz w:val="18"/>
                <w:szCs w:val="18"/>
              </w:rPr>
              <w:t>雷家湾居民点</w:t>
            </w:r>
          </w:p>
        </w:tc>
        <w:tc>
          <w:tcPr>
            <w:tcW w:w="1017" w:type="pct"/>
            <w:vAlign w:val="center"/>
          </w:tcPr>
          <w:p>
            <w:pPr>
              <w:pStyle w:val="42"/>
              <w:spacing w:line="300" w:lineRule="exact"/>
              <w:rPr>
                <w:sz w:val="18"/>
                <w:szCs w:val="18"/>
              </w:rPr>
            </w:pPr>
            <w:r>
              <w:rPr>
                <w:rFonts w:hint="eastAsia"/>
                <w:sz w:val="18"/>
                <w:szCs w:val="18"/>
              </w:rPr>
              <w:t>居民点，约100人</w:t>
            </w:r>
          </w:p>
        </w:tc>
        <w:tc>
          <w:tcPr>
            <w:tcW w:w="339" w:type="pct"/>
            <w:vAlign w:val="center"/>
          </w:tcPr>
          <w:p>
            <w:pPr>
              <w:pStyle w:val="42"/>
              <w:spacing w:line="300" w:lineRule="exact"/>
              <w:rPr>
                <w:sz w:val="18"/>
                <w:szCs w:val="18"/>
              </w:rPr>
            </w:pPr>
            <w:r>
              <w:rPr>
                <w:sz w:val="18"/>
                <w:szCs w:val="18"/>
              </w:rPr>
              <w:t>3638</w:t>
            </w:r>
          </w:p>
        </w:tc>
        <w:tc>
          <w:tcPr>
            <w:tcW w:w="339" w:type="pct"/>
            <w:vAlign w:val="center"/>
          </w:tcPr>
          <w:p>
            <w:pPr>
              <w:pStyle w:val="42"/>
              <w:spacing w:line="300" w:lineRule="exact"/>
              <w:rPr>
                <w:sz w:val="18"/>
                <w:szCs w:val="18"/>
              </w:rPr>
            </w:pPr>
            <w:r>
              <w:rPr>
                <w:sz w:val="18"/>
                <w:szCs w:val="18"/>
              </w:rPr>
              <w:t>1619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NE</w:t>
            </w:r>
          </w:p>
        </w:tc>
        <w:tc>
          <w:tcPr>
            <w:tcW w:w="593" w:type="pct"/>
            <w:vAlign w:val="center"/>
          </w:tcPr>
          <w:p>
            <w:pPr>
              <w:pStyle w:val="42"/>
              <w:spacing w:line="300" w:lineRule="exact"/>
              <w:rPr>
                <w:sz w:val="18"/>
                <w:szCs w:val="18"/>
              </w:rPr>
            </w:pPr>
            <w:r>
              <w:rPr>
                <w:rFonts w:hint="eastAsia"/>
                <w:sz w:val="18"/>
                <w:szCs w:val="18"/>
              </w:rPr>
              <w:t>3600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10</w:t>
            </w:r>
          </w:p>
        </w:tc>
        <w:tc>
          <w:tcPr>
            <w:tcW w:w="763" w:type="pct"/>
            <w:vAlign w:val="center"/>
          </w:tcPr>
          <w:p>
            <w:pPr>
              <w:pStyle w:val="42"/>
              <w:spacing w:line="300" w:lineRule="exact"/>
              <w:rPr>
                <w:sz w:val="18"/>
                <w:szCs w:val="18"/>
              </w:rPr>
            </w:pPr>
            <w:r>
              <w:rPr>
                <w:rFonts w:hint="eastAsia"/>
                <w:sz w:val="18"/>
                <w:szCs w:val="18"/>
              </w:rPr>
              <w:t>朱家沟居民点</w:t>
            </w:r>
          </w:p>
        </w:tc>
        <w:tc>
          <w:tcPr>
            <w:tcW w:w="1017" w:type="pct"/>
            <w:vAlign w:val="center"/>
          </w:tcPr>
          <w:p>
            <w:pPr>
              <w:pStyle w:val="42"/>
              <w:spacing w:line="300" w:lineRule="exact"/>
              <w:rPr>
                <w:sz w:val="18"/>
                <w:szCs w:val="18"/>
              </w:rPr>
            </w:pPr>
            <w:r>
              <w:rPr>
                <w:rFonts w:hint="eastAsia"/>
                <w:sz w:val="18"/>
                <w:szCs w:val="18"/>
              </w:rPr>
              <w:t>居民点，约80人</w:t>
            </w:r>
          </w:p>
        </w:tc>
        <w:tc>
          <w:tcPr>
            <w:tcW w:w="339" w:type="pct"/>
            <w:vAlign w:val="center"/>
          </w:tcPr>
          <w:p>
            <w:pPr>
              <w:pStyle w:val="42"/>
              <w:spacing w:line="300" w:lineRule="exact"/>
              <w:rPr>
                <w:sz w:val="18"/>
                <w:szCs w:val="18"/>
              </w:rPr>
            </w:pPr>
            <w:r>
              <w:rPr>
                <w:sz w:val="18"/>
                <w:szCs w:val="18"/>
              </w:rPr>
              <w:t>4241</w:t>
            </w:r>
          </w:p>
        </w:tc>
        <w:tc>
          <w:tcPr>
            <w:tcW w:w="339" w:type="pct"/>
            <w:vAlign w:val="center"/>
          </w:tcPr>
          <w:p>
            <w:pPr>
              <w:pStyle w:val="42"/>
              <w:spacing w:line="300" w:lineRule="exact"/>
              <w:rPr>
                <w:sz w:val="18"/>
                <w:szCs w:val="18"/>
              </w:rPr>
            </w:pPr>
            <w:r>
              <w:rPr>
                <w:sz w:val="18"/>
                <w:szCs w:val="18"/>
              </w:rPr>
              <w:t>1969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NE</w:t>
            </w:r>
          </w:p>
        </w:tc>
        <w:tc>
          <w:tcPr>
            <w:tcW w:w="593" w:type="pct"/>
            <w:vAlign w:val="center"/>
          </w:tcPr>
          <w:p>
            <w:pPr>
              <w:pStyle w:val="42"/>
              <w:spacing w:line="300" w:lineRule="exact"/>
              <w:rPr>
                <w:sz w:val="18"/>
                <w:szCs w:val="18"/>
              </w:rPr>
            </w:pPr>
            <w:r>
              <w:rPr>
                <w:rFonts w:hint="eastAsia"/>
                <w:sz w:val="18"/>
                <w:szCs w:val="18"/>
              </w:rPr>
              <w:t>4000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11</w:t>
            </w:r>
          </w:p>
        </w:tc>
        <w:tc>
          <w:tcPr>
            <w:tcW w:w="763" w:type="pct"/>
            <w:vAlign w:val="center"/>
          </w:tcPr>
          <w:p>
            <w:pPr>
              <w:pStyle w:val="42"/>
              <w:spacing w:line="300" w:lineRule="exact"/>
              <w:rPr>
                <w:sz w:val="18"/>
                <w:szCs w:val="18"/>
              </w:rPr>
            </w:pPr>
            <w:r>
              <w:rPr>
                <w:rFonts w:hint="eastAsia"/>
                <w:sz w:val="18"/>
                <w:szCs w:val="18"/>
              </w:rPr>
              <w:t>龙潭村居民点</w:t>
            </w:r>
          </w:p>
        </w:tc>
        <w:tc>
          <w:tcPr>
            <w:tcW w:w="1017" w:type="pct"/>
            <w:vAlign w:val="center"/>
          </w:tcPr>
          <w:p>
            <w:pPr>
              <w:pStyle w:val="42"/>
              <w:spacing w:line="300" w:lineRule="exact"/>
              <w:rPr>
                <w:sz w:val="18"/>
                <w:szCs w:val="18"/>
              </w:rPr>
            </w:pPr>
            <w:r>
              <w:rPr>
                <w:rFonts w:hint="eastAsia"/>
                <w:sz w:val="18"/>
                <w:szCs w:val="18"/>
              </w:rPr>
              <w:t>居民点，约180人</w:t>
            </w:r>
          </w:p>
        </w:tc>
        <w:tc>
          <w:tcPr>
            <w:tcW w:w="339" w:type="pct"/>
            <w:vAlign w:val="center"/>
          </w:tcPr>
          <w:p>
            <w:pPr>
              <w:pStyle w:val="42"/>
              <w:spacing w:line="300" w:lineRule="exact"/>
              <w:rPr>
                <w:sz w:val="18"/>
                <w:szCs w:val="18"/>
              </w:rPr>
            </w:pPr>
            <w:r>
              <w:rPr>
                <w:sz w:val="18"/>
                <w:szCs w:val="18"/>
              </w:rPr>
              <w:t>3831</w:t>
            </w:r>
          </w:p>
        </w:tc>
        <w:tc>
          <w:tcPr>
            <w:tcW w:w="339" w:type="pct"/>
            <w:vAlign w:val="center"/>
          </w:tcPr>
          <w:p>
            <w:pPr>
              <w:pStyle w:val="42"/>
              <w:spacing w:line="300" w:lineRule="exact"/>
              <w:rPr>
                <w:sz w:val="18"/>
                <w:szCs w:val="18"/>
              </w:rPr>
            </w:pPr>
            <w:r>
              <w:rPr>
                <w:sz w:val="18"/>
                <w:szCs w:val="18"/>
              </w:rPr>
              <w:t>860</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ENE</w:t>
            </w:r>
          </w:p>
        </w:tc>
        <w:tc>
          <w:tcPr>
            <w:tcW w:w="593" w:type="pct"/>
            <w:vAlign w:val="center"/>
          </w:tcPr>
          <w:p>
            <w:pPr>
              <w:pStyle w:val="42"/>
              <w:spacing w:line="300" w:lineRule="exact"/>
              <w:rPr>
                <w:sz w:val="18"/>
                <w:szCs w:val="18"/>
              </w:rPr>
            </w:pPr>
            <w:r>
              <w:rPr>
                <w:rFonts w:hint="eastAsia"/>
                <w:sz w:val="18"/>
                <w:szCs w:val="18"/>
              </w:rPr>
              <w:t>3650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12</w:t>
            </w:r>
          </w:p>
        </w:tc>
        <w:tc>
          <w:tcPr>
            <w:tcW w:w="763" w:type="pct"/>
            <w:vAlign w:val="center"/>
          </w:tcPr>
          <w:p>
            <w:pPr>
              <w:pStyle w:val="42"/>
              <w:spacing w:line="300" w:lineRule="exact"/>
              <w:rPr>
                <w:sz w:val="18"/>
                <w:szCs w:val="18"/>
              </w:rPr>
            </w:pPr>
            <w:r>
              <w:rPr>
                <w:rFonts w:hint="eastAsia"/>
                <w:sz w:val="18"/>
                <w:szCs w:val="18"/>
              </w:rPr>
              <w:t>迎风场居民区</w:t>
            </w:r>
          </w:p>
        </w:tc>
        <w:tc>
          <w:tcPr>
            <w:tcW w:w="1017" w:type="pct"/>
            <w:vAlign w:val="center"/>
          </w:tcPr>
          <w:p>
            <w:pPr>
              <w:pStyle w:val="42"/>
              <w:spacing w:line="300" w:lineRule="exact"/>
              <w:rPr>
                <w:sz w:val="18"/>
                <w:szCs w:val="18"/>
              </w:rPr>
            </w:pPr>
            <w:r>
              <w:rPr>
                <w:rFonts w:hint="eastAsia"/>
                <w:sz w:val="18"/>
                <w:szCs w:val="18"/>
              </w:rPr>
              <w:t>居民区，</w:t>
            </w:r>
            <w:r>
              <w:rPr>
                <w:sz w:val="18"/>
                <w:szCs w:val="18"/>
              </w:rPr>
              <w:t>约300户，1000人</w:t>
            </w:r>
          </w:p>
        </w:tc>
        <w:tc>
          <w:tcPr>
            <w:tcW w:w="339" w:type="pct"/>
            <w:vAlign w:val="center"/>
          </w:tcPr>
          <w:p>
            <w:pPr>
              <w:pStyle w:val="42"/>
              <w:spacing w:line="300" w:lineRule="exact"/>
              <w:rPr>
                <w:sz w:val="18"/>
                <w:szCs w:val="18"/>
              </w:rPr>
            </w:pPr>
            <w:r>
              <w:rPr>
                <w:sz w:val="18"/>
                <w:szCs w:val="18"/>
              </w:rPr>
              <w:t>2023</w:t>
            </w:r>
          </w:p>
        </w:tc>
        <w:tc>
          <w:tcPr>
            <w:tcW w:w="339" w:type="pct"/>
            <w:vAlign w:val="center"/>
          </w:tcPr>
          <w:p>
            <w:pPr>
              <w:pStyle w:val="42"/>
              <w:spacing w:line="300" w:lineRule="exact"/>
              <w:rPr>
                <w:sz w:val="18"/>
                <w:szCs w:val="18"/>
              </w:rPr>
            </w:pPr>
            <w:r>
              <w:rPr>
                <w:sz w:val="18"/>
                <w:szCs w:val="18"/>
              </w:rPr>
              <w:t>-3549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SE</w:t>
            </w:r>
          </w:p>
        </w:tc>
        <w:tc>
          <w:tcPr>
            <w:tcW w:w="593" w:type="pct"/>
            <w:vAlign w:val="center"/>
          </w:tcPr>
          <w:p>
            <w:pPr>
              <w:pStyle w:val="42"/>
              <w:spacing w:line="300" w:lineRule="exact"/>
              <w:rPr>
                <w:sz w:val="18"/>
                <w:szCs w:val="18"/>
              </w:rPr>
            </w:pPr>
            <w:r>
              <w:rPr>
                <w:rFonts w:hint="eastAsia"/>
                <w:sz w:val="18"/>
                <w:szCs w:val="18"/>
              </w:rPr>
              <w:t>3970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13</w:t>
            </w:r>
          </w:p>
        </w:tc>
        <w:tc>
          <w:tcPr>
            <w:tcW w:w="763" w:type="pct"/>
            <w:vAlign w:val="center"/>
          </w:tcPr>
          <w:p>
            <w:pPr>
              <w:pStyle w:val="42"/>
              <w:spacing w:line="300" w:lineRule="exact"/>
              <w:rPr>
                <w:sz w:val="18"/>
                <w:szCs w:val="18"/>
              </w:rPr>
            </w:pPr>
            <w:r>
              <w:rPr>
                <w:sz w:val="18"/>
                <w:szCs w:val="18"/>
              </w:rPr>
              <w:t>川维厂家属区</w:t>
            </w:r>
          </w:p>
        </w:tc>
        <w:tc>
          <w:tcPr>
            <w:tcW w:w="1017" w:type="pct"/>
            <w:vAlign w:val="center"/>
          </w:tcPr>
          <w:p>
            <w:pPr>
              <w:pStyle w:val="42"/>
              <w:spacing w:line="300" w:lineRule="exact"/>
              <w:rPr>
                <w:sz w:val="18"/>
                <w:szCs w:val="18"/>
              </w:rPr>
            </w:pPr>
            <w:r>
              <w:rPr>
                <w:rFonts w:hint="eastAsia"/>
                <w:sz w:val="18"/>
                <w:szCs w:val="18"/>
              </w:rPr>
              <w:t>居民区，</w:t>
            </w:r>
            <w:r>
              <w:rPr>
                <w:sz w:val="18"/>
                <w:szCs w:val="18"/>
              </w:rPr>
              <w:t>约</w:t>
            </w:r>
            <w:r>
              <w:rPr>
                <w:rFonts w:hint="eastAsia"/>
                <w:sz w:val="18"/>
                <w:szCs w:val="18"/>
              </w:rPr>
              <w:t>56</w:t>
            </w:r>
            <w:r>
              <w:rPr>
                <w:sz w:val="18"/>
                <w:szCs w:val="18"/>
              </w:rPr>
              <w:t>00人</w:t>
            </w:r>
          </w:p>
        </w:tc>
        <w:tc>
          <w:tcPr>
            <w:tcW w:w="339" w:type="pct"/>
            <w:vAlign w:val="center"/>
          </w:tcPr>
          <w:p>
            <w:pPr>
              <w:pStyle w:val="42"/>
              <w:spacing w:line="300" w:lineRule="exact"/>
              <w:rPr>
                <w:sz w:val="18"/>
                <w:szCs w:val="18"/>
              </w:rPr>
            </w:pPr>
            <w:r>
              <w:rPr>
                <w:sz w:val="18"/>
                <w:szCs w:val="18"/>
              </w:rPr>
              <w:t>3228</w:t>
            </w:r>
          </w:p>
        </w:tc>
        <w:tc>
          <w:tcPr>
            <w:tcW w:w="339" w:type="pct"/>
            <w:vAlign w:val="center"/>
          </w:tcPr>
          <w:p>
            <w:pPr>
              <w:pStyle w:val="42"/>
              <w:spacing w:line="300" w:lineRule="exact"/>
              <w:rPr>
                <w:sz w:val="18"/>
                <w:szCs w:val="18"/>
              </w:rPr>
            </w:pPr>
            <w:r>
              <w:rPr>
                <w:sz w:val="18"/>
                <w:szCs w:val="18"/>
              </w:rPr>
              <w:t>-4296</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SE</w:t>
            </w:r>
          </w:p>
        </w:tc>
        <w:tc>
          <w:tcPr>
            <w:tcW w:w="593" w:type="pct"/>
            <w:vAlign w:val="center"/>
          </w:tcPr>
          <w:p>
            <w:pPr>
              <w:pStyle w:val="42"/>
              <w:spacing w:line="300" w:lineRule="exact"/>
              <w:rPr>
                <w:sz w:val="18"/>
                <w:szCs w:val="18"/>
              </w:rPr>
            </w:pPr>
            <w:r>
              <w:rPr>
                <w:rFonts w:hint="eastAsia"/>
                <w:sz w:val="18"/>
                <w:szCs w:val="18"/>
              </w:rPr>
              <w:t>4900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14</w:t>
            </w:r>
          </w:p>
        </w:tc>
        <w:tc>
          <w:tcPr>
            <w:tcW w:w="763" w:type="pct"/>
            <w:vAlign w:val="center"/>
          </w:tcPr>
          <w:p>
            <w:pPr>
              <w:pStyle w:val="42"/>
              <w:spacing w:line="300" w:lineRule="exact"/>
              <w:rPr>
                <w:sz w:val="18"/>
                <w:szCs w:val="18"/>
              </w:rPr>
            </w:pPr>
            <w:r>
              <w:rPr>
                <w:sz w:val="18"/>
                <w:szCs w:val="18"/>
              </w:rPr>
              <w:t>长寿</w:t>
            </w:r>
            <w:r>
              <w:rPr>
                <w:rFonts w:hint="eastAsia"/>
                <w:sz w:val="18"/>
                <w:szCs w:val="18"/>
              </w:rPr>
              <w:t>化工</w:t>
            </w:r>
            <w:r>
              <w:rPr>
                <w:sz w:val="18"/>
                <w:szCs w:val="18"/>
              </w:rPr>
              <w:t>园区医院</w:t>
            </w:r>
          </w:p>
        </w:tc>
        <w:tc>
          <w:tcPr>
            <w:tcW w:w="1017" w:type="pct"/>
            <w:vAlign w:val="center"/>
          </w:tcPr>
          <w:p>
            <w:pPr>
              <w:pStyle w:val="42"/>
              <w:spacing w:line="300" w:lineRule="exact"/>
              <w:rPr>
                <w:sz w:val="18"/>
                <w:szCs w:val="18"/>
              </w:rPr>
            </w:pPr>
            <w:r>
              <w:rPr>
                <w:rFonts w:hint="eastAsia"/>
                <w:sz w:val="18"/>
                <w:szCs w:val="18"/>
              </w:rPr>
              <w:t>医院，</w:t>
            </w:r>
            <w:r>
              <w:rPr>
                <w:sz w:val="18"/>
                <w:szCs w:val="18"/>
              </w:rPr>
              <w:t>床位约300张</w:t>
            </w:r>
          </w:p>
        </w:tc>
        <w:tc>
          <w:tcPr>
            <w:tcW w:w="339" w:type="pct"/>
            <w:vAlign w:val="center"/>
          </w:tcPr>
          <w:p>
            <w:pPr>
              <w:pStyle w:val="42"/>
              <w:spacing w:line="300" w:lineRule="exact"/>
              <w:rPr>
                <w:sz w:val="18"/>
                <w:szCs w:val="18"/>
              </w:rPr>
            </w:pPr>
            <w:r>
              <w:rPr>
                <w:sz w:val="18"/>
                <w:szCs w:val="18"/>
              </w:rPr>
              <w:t>2879</w:t>
            </w:r>
          </w:p>
        </w:tc>
        <w:tc>
          <w:tcPr>
            <w:tcW w:w="339" w:type="pct"/>
            <w:vAlign w:val="center"/>
          </w:tcPr>
          <w:p>
            <w:pPr>
              <w:pStyle w:val="42"/>
              <w:spacing w:line="300" w:lineRule="exact"/>
              <w:rPr>
                <w:sz w:val="18"/>
                <w:szCs w:val="18"/>
              </w:rPr>
            </w:pPr>
            <w:r>
              <w:rPr>
                <w:sz w:val="18"/>
                <w:szCs w:val="18"/>
              </w:rPr>
              <w:t>-4151</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SE</w:t>
            </w:r>
          </w:p>
        </w:tc>
        <w:tc>
          <w:tcPr>
            <w:tcW w:w="593" w:type="pct"/>
            <w:vAlign w:val="center"/>
          </w:tcPr>
          <w:p>
            <w:pPr>
              <w:pStyle w:val="42"/>
              <w:spacing w:line="300" w:lineRule="exact"/>
              <w:rPr>
                <w:sz w:val="18"/>
                <w:szCs w:val="18"/>
              </w:rPr>
            </w:pPr>
            <w:r>
              <w:rPr>
                <w:rFonts w:hint="eastAsia"/>
                <w:sz w:val="18"/>
                <w:szCs w:val="18"/>
              </w:rPr>
              <w:t>4900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15</w:t>
            </w:r>
          </w:p>
        </w:tc>
        <w:tc>
          <w:tcPr>
            <w:tcW w:w="763" w:type="pct"/>
            <w:vAlign w:val="center"/>
          </w:tcPr>
          <w:p>
            <w:pPr>
              <w:pStyle w:val="42"/>
              <w:spacing w:line="300" w:lineRule="exact"/>
              <w:rPr>
                <w:sz w:val="18"/>
                <w:szCs w:val="18"/>
              </w:rPr>
            </w:pPr>
            <w:r>
              <w:rPr>
                <w:sz w:val="18"/>
                <w:szCs w:val="18"/>
              </w:rPr>
              <w:t>王家湾</w:t>
            </w:r>
            <w:r>
              <w:rPr>
                <w:rFonts w:hint="eastAsia"/>
                <w:sz w:val="18"/>
                <w:szCs w:val="18"/>
              </w:rPr>
              <w:t>居民点</w:t>
            </w:r>
          </w:p>
        </w:tc>
        <w:tc>
          <w:tcPr>
            <w:tcW w:w="1017" w:type="pct"/>
            <w:vAlign w:val="center"/>
          </w:tcPr>
          <w:p>
            <w:pPr>
              <w:pStyle w:val="42"/>
              <w:spacing w:line="300" w:lineRule="exact"/>
              <w:rPr>
                <w:sz w:val="18"/>
                <w:szCs w:val="18"/>
              </w:rPr>
            </w:pPr>
            <w:r>
              <w:rPr>
                <w:rFonts w:hint="eastAsia"/>
                <w:sz w:val="18"/>
                <w:szCs w:val="18"/>
              </w:rPr>
              <w:t>居民点，</w:t>
            </w:r>
            <w:r>
              <w:rPr>
                <w:sz w:val="18"/>
                <w:szCs w:val="18"/>
              </w:rPr>
              <w:t>约</w:t>
            </w:r>
            <w:r>
              <w:rPr>
                <w:rFonts w:hint="eastAsia"/>
                <w:sz w:val="18"/>
                <w:szCs w:val="18"/>
              </w:rPr>
              <w:t>7</w:t>
            </w:r>
            <w:r>
              <w:rPr>
                <w:sz w:val="18"/>
                <w:szCs w:val="18"/>
              </w:rPr>
              <w:t>0人</w:t>
            </w:r>
          </w:p>
        </w:tc>
        <w:tc>
          <w:tcPr>
            <w:tcW w:w="339" w:type="pct"/>
            <w:vAlign w:val="center"/>
          </w:tcPr>
          <w:p>
            <w:pPr>
              <w:pStyle w:val="42"/>
              <w:spacing w:line="300" w:lineRule="exact"/>
              <w:rPr>
                <w:sz w:val="18"/>
                <w:szCs w:val="18"/>
              </w:rPr>
            </w:pPr>
            <w:r>
              <w:rPr>
                <w:sz w:val="18"/>
                <w:szCs w:val="18"/>
              </w:rPr>
              <w:t>-822</w:t>
            </w:r>
          </w:p>
        </w:tc>
        <w:tc>
          <w:tcPr>
            <w:tcW w:w="339" w:type="pct"/>
            <w:vAlign w:val="center"/>
          </w:tcPr>
          <w:p>
            <w:pPr>
              <w:pStyle w:val="42"/>
              <w:spacing w:line="300" w:lineRule="exact"/>
              <w:rPr>
                <w:sz w:val="18"/>
                <w:szCs w:val="18"/>
              </w:rPr>
            </w:pPr>
            <w:r>
              <w:rPr>
                <w:sz w:val="18"/>
                <w:szCs w:val="18"/>
              </w:rPr>
              <w:t>-4862</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w:t>
            </w:r>
          </w:p>
        </w:tc>
        <w:tc>
          <w:tcPr>
            <w:tcW w:w="593" w:type="pct"/>
            <w:vAlign w:val="center"/>
          </w:tcPr>
          <w:p>
            <w:pPr>
              <w:pStyle w:val="42"/>
              <w:spacing w:line="300" w:lineRule="exact"/>
              <w:rPr>
                <w:sz w:val="18"/>
                <w:szCs w:val="18"/>
              </w:rPr>
            </w:pPr>
            <w:r>
              <w:rPr>
                <w:rFonts w:hint="eastAsia"/>
                <w:sz w:val="18"/>
                <w:szCs w:val="18"/>
              </w:rPr>
              <w:t>4750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16</w:t>
            </w:r>
          </w:p>
        </w:tc>
        <w:tc>
          <w:tcPr>
            <w:tcW w:w="763" w:type="pct"/>
            <w:vAlign w:val="center"/>
          </w:tcPr>
          <w:p>
            <w:pPr>
              <w:pStyle w:val="42"/>
              <w:spacing w:line="300" w:lineRule="exact"/>
              <w:rPr>
                <w:sz w:val="18"/>
                <w:szCs w:val="18"/>
              </w:rPr>
            </w:pPr>
            <w:r>
              <w:rPr>
                <w:rFonts w:hint="eastAsia"/>
                <w:sz w:val="18"/>
                <w:szCs w:val="18"/>
              </w:rPr>
              <w:t>傅</w:t>
            </w:r>
            <w:r>
              <w:rPr>
                <w:sz w:val="18"/>
                <w:szCs w:val="18"/>
              </w:rPr>
              <w:t>家湾</w:t>
            </w:r>
            <w:r>
              <w:rPr>
                <w:rFonts w:hint="eastAsia"/>
                <w:sz w:val="18"/>
                <w:szCs w:val="18"/>
              </w:rPr>
              <w:t>居民点</w:t>
            </w:r>
          </w:p>
        </w:tc>
        <w:tc>
          <w:tcPr>
            <w:tcW w:w="1017" w:type="pct"/>
            <w:vAlign w:val="center"/>
          </w:tcPr>
          <w:p>
            <w:pPr>
              <w:pStyle w:val="42"/>
              <w:spacing w:line="300" w:lineRule="exact"/>
              <w:rPr>
                <w:sz w:val="18"/>
                <w:szCs w:val="18"/>
              </w:rPr>
            </w:pPr>
            <w:r>
              <w:rPr>
                <w:rFonts w:hint="eastAsia"/>
                <w:sz w:val="18"/>
                <w:szCs w:val="18"/>
              </w:rPr>
              <w:t>居民点，</w:t>
            </w:r>
            <w:r>
              <w:rPr>
                <w:sz w:val="18"/>
                <w:szCs w:val="18"/>
              </w:rPr>
              <w:t>约</w:t>
            </w:r>
            <w:r>
              <w:rPr>
                <w:rFonts w:hint="eastAsia"/>
                <w:sz w:val="18"/>
                <w:szCs w:val="18"/>
              </w:rPr>
              <w:t>12</w:t>
            </w:r>
            <w:r>
              <w:rPr>
                <w:sz w:val="18"/>
                <w:szCs w:val="18"/>
              </w:rPr>
              <w:t>0人</w:t>
            </w:r>
          </w:p>
        </w:tc>
        <w:tc>
          <w:tcPr>
            <w:tcW w:w="339" w:type="pct"/>
            <w:vAlign w:val="center"/>
          </w:tcPr>
          <w:p>
            <w:pPr>
              <w:pStyle w:val="42"/>
              <w:spacing w:line="300" w:lineRule="exact"/>
              <w:rPr>
                <w:sz w:val="18"/>
                <w:szCs w:val="18"/>
              </w:rPr>
            </w:pPr>
            <w:r>
              <w:rPr>
                <w:sz w:val="18"/>
                <w:szCs w:val="18"/>
              </w:rPr>
              <w:t>-1630</w:t>
            </w:r>
          </w:p>
        </w:tc>
        <w:tc>
          <w:tcPr>
            <w:tcW w:w="339" w:type="pct"/>
            <w:vAlign w:val="center"/>
          </w:tcPr>
          <w:p>
            <w:pPr>
              <w:pStyle w:val="42"/>
              <w:spacing w:line="300" w:lineRule="exact"/>
              <w:rPr>
                <w:sz w:val="18"/>
                <w:szCs w:val="18"/>
              </w:rPr>
            </w:pPr>
            <w:r>
              <w:rPr>
                <w:sz w:val="18"/>
                <w:szCs w:val="18"/>
              </w:rPr>
              <w:t>-5079</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S</w:t>
            </w:r>
          </w:p>
        </w:tc>
        <w:tc>
          <w:tcPr>
            <w:tcW w:w="593" w:type="pct"/>
            <w:vAlign w:val="center"/>
          </w:tcPr>
          <w:p>
            <w:pPr>
              <w:pStyle w:val="42"/>
              <w:spacing w:line="300" w:lineRule="exact"/>
              <w:rPr>
                <w:sz w:val="18"/>
                <w:szCs w:val="18"/>
              </w:rPr>
            </w:pPr>
            <w:r>
              <w:rPr>
                <w:rFonts w:hint="eastAsia"/>
                <w:sz w:val="18"/>
                <w:szCs w:val="18"/>
              </w:rPr>
              <w:t>4970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rFonts w:hint="eastAsia"/>
                <w:sz w:val="18"/>
                <w:szCs w:val="18"/>
              </w:rPr>
              <w:t>17</w:t>
            </w:r>
          </w:p>
        </w:tc>
        <w:tc>
          <w:tcPr>
            <w:tcW w:w="763" w:type="pct"/>
            <w:vAlign w:val="center"/>
          </w:tcPr>
          <w:p>
            <w:pPr>
              <w:pStyle w:val="42"/>
              <w:spacing w:line="300" w:lineRule="exact"/>
              <w:rPr>
                <w:sz w:val="18"/>
                <w:szCs w:val="18"/>
              </w:rPr>
            </w:pPr>
            <w:r>
              <w:rPr>
                <w:rFonts w:hint="eastAsia"/>
                <w:sz w:val="18"/>
                <w:szCs w:val="18"/>
              </w:rPr>
              <w:t>罗家沟居民点</w:t>
            </w:r>
          </w:p>
        </w:tc>
        <w:tc>
          <w:tcPr>
            <w:tcW w:w="1017" w:type="pct"/>
            <w:vAlign w:val="center"/>
          </w:tcPr>
          <w:p>
            <w:pPr>
              <w:pStyle w:val="42"/>
              <w:spacing w:line="300" w:lineRule="exact"/>
              <w:rPr>
                <w:sz w:val="18"/>
                <w:szCs w:val="18"/>
              </w:rPr>
            </w:pPr>
            <w:r>
              <w:rPr>
                <w:rFonts w:hint="eastAsia"/>
                <w:sz w:val="18"/>
                <w:szCs w:val="18"/>
              </w:rPr>
              <w:t>居民点，约50人</w:t>
            </w:r>
          </w:p>
        </w:tc>
        <w:tc>
          <w:tcPr>
            <w:tcW w:w="339" w:type="pct"/>
            <w:vAlign w:val="center"/>
          </w:tcPr>
          <w:p>
            <w:pPr>
              <w:pStyle w:val="42"/>
              <w:spacing w:line="300" w:lineRule="exact"/>
              <w:rPr>
                <w:sz w:val="18"/>
                <w:szCs w:val="18"/>
              </w:rPr>
            </w:pPr>
            <w:r>
              <w:rPr>
                <w:sz w:val="18"/>
                <w:szCs w:val="18"/>
              </w:rPr>
              <w:t>5024</w:t>
            </w:r>
          </w:p>
        </w:tc>
        <w:tc>
          <w:tcPr>
            <w:tcW w:w="339" w:type="pct"/>
            <w:vAlign w:val="center"/>
          </w:tcPr>
          <w:p>
            <w:pPr>
              <w:pStyle w:val="42"/>
              <w:spacing w:line="300" w:lineRule="exact"/>
              <w:rPr>
                <w:sz w:val="18"/>
                <w:szCs w:val="18"/>
              </w:rPr>
            </w:pPr>
            <w:r>
              <w:rPr>
                <w:sz w:val="18"/>
                <w:szCs w:val="18"/>
              </w:rPr>
              <w:t>-886</w:t>
            </w:r>
          </w:p>
        </w:tc>
        <w:tc>
          <w:tcPr>
            <w:tcW w:w="424" w:type="pct"/>
            <w:vAlign w:val="center"/>
          </w:tcPr>
          <w:p>
            <w:pPr>
              <w:pStyle w:val="42"/>
              <w:spacing w:line="300" w:lineRule="exact"/>
              <w:rPr>
                <w:sz w:val="18"/>
                <w:szCs w:val="18"/>
              </w:rPr>
            </w:pPr>
            <w:r>
              <w:rPr>
                <w:sz w:val="18"/>
                <w:szCs w:val="18"/>
              </w:rPr>
              <w:t>289.87</w:t>
            </w:r>
          </w:p>
        </w:tc>
        <w:tc>
          <w:tcPr>
            <w:tcW w:w="509" w:type="pct"/>
            <w:vAlign w:val="center"/>
          </w:tcPr>
          <w:p>
            <w:pPr>
              <w:pStyle w:val="42"/>
              <w:spacing w:line="300" w:lineRule="exact"/>
              <w:rPr>
                <w:sz w:val="18"/>
                <w:szCs w:val="18"/>
              </w:rPr>
            </w:pPr>
            <w:r>
              <w:rPr>
                <w:rFonts w:hint="eastAsia"/>
                <w:sz w:val="18"/>
                <w:szCs w:val="18"/>
              </w:rPr>
              <w:t>WSW</w:t>
            </w:r>
          </w:p>
        </w:tc>
        <w:tc>
          <w:tcPr>
            <w:tcW w:w="593" w:type="pct"/>
            <w:vAlign w:val="center"/>
          </w:tcPr>
          <w:p>
            <w:pPr>
              <w:pStyle w:val="42"/>
              <w:spacing w:line="300" w:lineRule="exact"/>
              <w:rPr>
                <w:sz w:val="18"/>
                <w:szCs w:val="18"/>
              </w:rPr>
            </w:pPr>
            <w:r>
              <w:rPr>
                <w:rFonts w:hint="eastAsia"/>
                <w:sz w:val="18"/>
                <w:szCs w:val="18"/>
              </w:rPr>
              <w:t>5000</w:t>
            </w:r>
          </w:p>
        </w:tc>
        <w:tc>
          <w:tcPr>
            <w:tcW w:w="406" w:type="pct"/>
            <w:vMerge w:val="continue"/>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restart"/>
            <w:vAlign w:val="center"/>
          </w:tcPr>
          <w:p>
            <w:pPr>
              <w:pStyle w:val="42"/>
              <w:spacing w:line="300" w:lineRule="exact"/>
              <w:rPr>
                <w:sz w:val="18"/>
                <w:szCs w:val="18"/>
              </w:rPr>
            </w:pPr>
            <w:r>
              <w:rPr>
                <w:sz w:val="18"/>
                <w:szCs w:val="18"/>
              </w:rPr>
              <w:t>地表水</w:t>
            </w:r>
          </w:p>
        </w:tc>
        <w:tc>
          <w:tcPr>
            <w:tcW w:w="1088" w:type="pct"/>
            <w:gridSpan w:val="2"/>
            <w:vAlign w:val="center"/>
          </w:tcPr>
          <w:p>
            <w:pPr>
              <w:pStyle w:val="42"/>
              <w:spacing w:line="300" w:lineRule="exact"/>
              <w:rPr>
                <w:sz w:val="18"/>
                <w:szCs w:val="18"/>
              </w:rPr>
            </w:pPr>
            <w:r>
              <w:rPr>
                <w:sz w:val="18"/>
                <w:szCs w:val="18"/>
              </w:rPr>
              <w:t>长江</w:t>
            </w:r>
          </w:p>
        </w:tc>
        <w:tc>
          <w:tcPr>
            <w:tcW w:w="1017" w:type="pct"/>
            <w:vAlign w:val="center"/>
          </w:tcPr>
          <w:p>
            <w:pPr>
              <w:pStyle w:val="42"/>
              <w:spacing w:line="300" w:lineRule="exact"/>
              <w:rPr>
                <w:sz w:val="18"/>
                <w:szCs w:val="18"/>
              </w:rPr>
            </w:pPr>
            <w:r>
              <w:rPr>
                <w:rFonts w:hint="eastAsia"/>
                <w:sz w:val="18"/>
                <w:szCs w:val="18"/>
              </w:rPr>
              <w:t>四大家鱼国家级水产种质资源保护区（实验区）</w:t>
            </w:r>
          </w:p>
        </w:tc>
        <w:tc>
          <w:tcPr>
            <w:tcW w:w="339" w:type="pct"/>
            <w:vAlign w:val="center"/>
          </w:tcPr>
          <w:p>
            <w:pPr>
              <w:pStyle w:val="42"/>
              <w:spacing w:line="300" w:lineRule="exact"/>
              <w:rPr>
                <w:sz w:val="18"/>
                <w:szCs w:val="18"/>
              </w:rPr>
            </w:pPr>
            <w:r>
              <w:rPr>
                <w:rFonts w:hint="eastAsia"/>
                <w:sz w:val="18"/>
                <w:szCs w:val="18"/>
              </w:rPr>
              <w:t>/</w:t>
            </w:r>
          </w:p>
        </w:tc>
        <w:tc>
          <w:tcPr>
            <w:tcW w:w="339" w:type="pct"/>
            <w:vAlign w:val="center"/>
          </w:tcPr>
          <w:p>
            <w:pPr>
              <w:pStyle w:val="42"/>
              <w:spacing w:line="300" w:lineRule="exact"/>
              <w:rPr>
                <w:sz w:val="18"/>
                <w:szCs w:val="18"/>
              </w:rPr>
            </w:pPr>
            <w:r>
              <w:rPr>
                <w:rFonts w:hint="eastAsia"/>
                <w:sz w:val="18"/>
                <w:szCs w:val="18"/>
              </w:rPr>
              <w:t>/</w:t>
            </w:r>
          </w:p>
        </w:tc>
        <w:tc>
          <w:tcPr>
            <w:tcW w:w="424" w:type="pct"/>
            <w:vAlign w:val="center"/>
          </w:tcPr>
          <w:p>
            <w:pPr>
              <w:pStyle w:val="42"/>
              <w:spacing w:line="300" w:lineRule="exact"/>
              <w:rPr>
                <w:sz w:val="18"/>
                <w:szCs w:val="18"/>
              </w:rPr>
            </w:pPr>
            <w:r>
              <w:rPr>
                <w:rFonts w:hint="eastAsia"/>
                <w:sz w:val="18"/>
                <w:szCs w:val="18"/>
              </w:rPr>
              <w:t>/</w:t>
            </w:r>
          </w:p>
        </w:tc>
        <w:tc>
          <w:tcPr>
            <w:tcW w:w="509" w:type="pct"/>
            <w:vAlign w:val="center"/>
          </w:tcPr>
          <w:p>
            <w:pPr>
              <w:pStyle w:val="42"/>
              <w:spacing w:line="300" w:lineRule="exact"/>
              <w:rPr>
                <w:sz w:val="18"/>
                <w:szCs w:val="18"/>
              </w:rPr>
            </w:pPr>
            <w:r>
              <w:rPr>
                <w:sz w:val="18"/>
                <w:szCs w:val="18"/>
              </w:rPr>
              <w:t>S</w:t>
            </w:r>
            <w:r>
              <w:rPr>
                <w:rFonts w:hint="eastAsia"/>
                <w:sz w:val="18"/>
                <w:szCs w:val="18"/>
              </w:rPr>
              <w:t>~E</w:t>
            </w:r>
          </w:p>
        </w:tc>
        <w:tc>
          <w:tcPr>
            <w:tcW w:w="593" w:type="pct"/>
            <w:vAlign w:val="center"/>
          </w:tcPr>
          <w:p>
            <w:pPr>
              <w:pStyle w:val="42"/>
              <w:spacing w:line="300" w:lineRule="exact"/>
              <w:rPr>
                <w:sz w:val="18"/>
                <w:szCs w:val="18"/>
              </w:rPr>
            </w:pPr>
            <w:r>
              <w:rPr>
                <w:sz w:val="18"/>
                <w:szCs w:val="18"/>
              </w:rPr>
              <w:t>约</w:t>
            </w:r>
            <w:r>
              <w:rPr>
                <w:rFonts w:hint="eastAsia"/>
                <w:sz w:val="18"/>
                <w:szCs w:val="18"/>
              </w:rPr>
              <w:t>6.3km</w:t>
            </w:r>
          </w:p>
        </w:tc>
        <w:tc>
          <w:tcPr>
            <w:tcW w:w="406" w:type="pct"/>
            <w:vMerge w:val="restart"/>
            <w:vAlign w:val="center"/>
          </w:tcPr>
          <w:p>
            <w:pPr>
              <w:pStyle w:val="42"/>
              <w:spacing w:line="300" w:lineRule="exact"/>
              <w:rPr>
                <w:sz w:val="18"/>
                <w:szCs w:val="18"/>
              </w:rPr>
            </w:pPr>
            <w:r>
              <w:rPr>
                <w:rFonts w:hint="eastAsia" w:ascii="宋体" w:hAnsi="宋体"/>
                <w:sz w:val="18"/>
                <w:szCs w:val="18"/>
              </w:rPr>
              <w:t>Ⅲ</w:t>
            </w:r>
            <w:r>
              <w:rPr>
                <w:sz w:val="18"/>
                <w:szCs w:val="18"/>
              </w:rPr>
              <w:t>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285" w:type="pct"/>
            <w:vMerge w:val="continue"/>
            <w:vAlign w:val="center"/>
          </w:tcPr>
          <w:p>
            <w:pPr>
              <w:pStyle w:val="42"/>
              <w:spacing w:line="300" w:lineRule="exact"/>
              <w:rPr>
                <w:sz w:val="18"/>
                <w:szCs w:val="18"/>
              </w:rPr>
            </w:pPr>
          </w:p>
        </w:tc>
        <w:tc>
          <w:tcPr>
            <w:tcW w:w="325" w:type="pct"/>
            <w:vAlign w:val="center"/>
          </w:tcPr>
          <w:p>
            <w:pPr>
              <w:pStyle w:val="42"/>
              <w:spacing w:line="300" w:lineRule="exact"/>
              <w:rPr>
                <w:sz w:val="18"/>
                <w:szCs w:val="18"/>
              </w:rPr>
            </w:pPr>
            <w:r>
              <w:rPr>
                <w:sz w:val="18"/>
                <w:szCs w:val="18"/>
              </w:rPr>
              <w:t>取</w:t>
            </w:r>
          </w:p>
          <w:p>
            <w:pPr>
              <w:pStyle w:val="42"/>
              <w:spacing w:line="300" w:lineRule="exact"/>
              <w:rPr>
                <w:sz w:val="18"/>
                <w:szCs w:val="18"/>
              </w:rPr>
            </w:pPr>
            <w:r>
              <w:rPr>
                <w:sz w:val="18"/>
                <w:szCs w:val="18"/>
              </w:rPr>
              <w:t>水</w:t>
            </w:r>
          </w:p>
          <w:p>
            <w:pPr>
              <w:pStyle w:val="42"/>
              <w:spacing w:line="300" w:lineRule="exact"/>
              <w:rPr>
                <w:sz w:val="18"/>
                <w:szCs w:val="18"/>
              </w:rPr>
            </w:pPr>
            <w:r>
              <w:rPr>
                <w:sz w:val="18"/>
                <w:szCs w:val="18"/>
              </w:rPr>
              <w:t>点</w:t>
            </w:r>
          </w:p>
        </w:tc>
        <w:tc>
          <w:tcPr>
            <w:tcW w:w="763" w:type="pct"/>
            <w:vAlign w:val="center"/>
          </w:tcPr>
          <w:p>
            <w:pPr>
              <w:pStyle w:val="42"/>
              <w:spacing w:line="300" w:lineRule="exact"/>
              <w:rPr>
                <w:sz w:val="18"/>
                <w:szCs w:val="18"/>
              </w:rPr>
            </w:pPr>
            <w:r>
              <w:rPr>
                <w:sz w:val="18"/>
                <w:szCs w:val="18"/>
              </w:rPr>
              <w:t>川染能源公司</w:t>
            </w:r>
          </w:p>
        </w:tc>
        <w:tc>
          <w:tcPr>
            <w:tcW w:w="1017" w:type="pct"/>
            <w:vAlign w:val="center"/>
          </w:tcPr>
          <w:p>
            <w:pPr>
              <w:pStyle w:val="42"/>
              <w:spacing w:line="300" w:lineRule="exact"/>
              <w:rPr>
                <w:sz w:val="18"/>
                <w:szCs w:val="18"/>
              </w:rPr>
            </w:pPr>
            <w:r>
              <w:rPr>
                <w:rFonts w:hint="eastAsia"/>
                <w:sz w:val="18"/>
                <w:szCs w:val="18"/>
              </w:rPr>
              <w:t>生产用水取水口，取水规模</w:t>
            </w:r>
            <w:r>
              <w:rPr>
                <w:sz w:val="18"/>
                <w:szCs w:val="18"/>
              </w:rPr>
              <w:t>2700m</w:t>
            </w:r>
            <w:r>
              <w:rPr>
                <w:sz w:val="18"/>
                <w:szCs w:val="18"/>
                <w:vertAlign w:val="superscript"/>
              </w:rPr>
              <w:t>3</w:t>
            </w:r>
            <w:r>
              <w:rPr>
                <w:sz w:val="18"/>
                <w:szCs w:val="18"/>
              </w:rPr>
              <w:t>/d</w:t>
            </w:r>
          </w:p>
        </w:tc>
        <w:tc>
          <w:tcPr>
            <w:tcW w:w="2204" w:type="pct"/>
            <w:gridSpan w:val="5"/>
            <w:vAlign w:val="center"/>
          </w:tcPr>
          <w:p>
            <w:pPr>
              <w:pStyle w:val="42"/>
              <w:spacing w:line="300" w:lineRule="exact"/>
              <w:rPr>
                <w:sz w:val="18"/>
                <w:szCs w:val="18"/>
              </w:rPr>
            </w:pPr>
            <w:r>
              <w:rPr>
                <w:sz w:val="18"/>
                <w:szCs w:val="18"/>
              </w:rPr>
              <w:t>园区污水处理厂排污口同侧、下游约800m</w:t>
            </w:r>
          </w:p>
        </w:tc>
        <w:tc>
          <w:tcPr>
            <w:tcW w:w="406" w:type="pct"/>
            <w:vMerge w:val="continue"/>
            <w:vAlign w:val="center"/>
          </w:tcPr>
          <w:p>
            <w:pPr>
              <w:pStyle w:val="42"/>
              <w:spacing w:line="300" w:lineRule="exact"/>
              <w:rPr>
                <w:sz w:val="18"/>
                <w:szCs w:val="18"/>
              </w:rPr>
            </w:pPr>
          </w:p>
        </w:tc>
      </w:tr>
    </w:tbl>
    <w:p>
      <w:pPr>
        <w:pStyle w:val="3"/>
        <w:spacing w:before="156" w:after="156"/>
      </w:pPr>
      <w:bookmarkStart w:id="34" w:name="_Toc84844216"/>
      <w:r>
        <w:rPr>
          <w:rFonts w:hint="eastAsia"/>
        </w:rPr>
        <w:t>1.8产业政策、规划符合性和选址合理性分析</w:t>
      </w:r>
      <w:bookmarkEnd w:id="34"/>
    </w:p>
    <w:p>
      <w:pPr>
        <w:pStyle w:val="4"/>
        <w:spacing w:before="156" w:after="156"/>
      </w:pPr>
      <w:bookmarkStart w:id="35" w:name="_Toc84844217"/>
      <w:r>
        <w:rPr>
          <w:rFonts w:hint="eastAsia"/>
        </w:rPr>
        <w:t>1.8.1产业政策符合性分析</w:t>
      </w:r>
      <w:bookmarkEnd w:id="35"/>
    </w:p>
    <w:p>
      <w:pPr>
        <w:ind w:firstLine="480"/>
      </w:pPr>
      <w:r>
        <w:rPr>
          <w:rFonts w:hint="eastAsia"/>
        </w:rPr>
        <w:t>拟建项目综合利用卡贝乐公司甲醇装置弛放气、补充部分天然气为原料合成氨，天然气制气工序采用脱硫、一段蒸汽转化、2.9MPa条件下高温变换工艺制气。</w:t>
      </w:r>
      <w:r>
        <w:t>根据</w:t>
      </w:r>
      <w:r>
        <w:rPr>
          <w:rFonts w:hint="eastAsia"/>
        </w:rPr>
        <w:t>《产业结构调整指导目录 （2019年本）》（中华人民共和国国家发展和改革委员会令第29号），</w:t>
      </w:r>
      <w:r>
        <w:t>不属于指导目录中“限制类”和“淘汰类”项目，属于允许类项目；并且</w:t>
      </w:r>
      <w:r>
        <w:rPr>
          <w:rFonts w:hint="eastAsia"/>
        </w:rPr>
        <w:t>该项目已经由重庆市长寿区发展和改革委员会</w:t>
      </w:r>
      <w:r>
        <w:t>备案</w:t>
      </w:r>
      <w:r>
        <w:rPr>
          <w:rFonts w:hint="eastAsia"/>
        </w:rPr>
        <w:t>（项目代码：2012-500115-04-05-924071）。</w:t>
      </w:r>
    </w:p>
    <w:p>
      <w:pPr>
        <w:ind w:firstLine="480"/>
      </w:pPr>
      <w:r>
        <w:t>因此，拟建项目的建设符合国家产业政策要求。</w:t>
      </w:r>
    </w:p>
    <w:p>
      <w:pPr>
        <w:pStyle w:val="4"/>
        <w:spacing w:before="156" w:after="156"/>
      </w:pPr>
      <w:r>
        <w:rPr>
          <w:rFonts w:hint="eastAsia"/>
        </w:rPr>
        <w:t>1.8.2《中华人民共和国长江保护法》符合性分析</w:t>
      </w:r>
    </w:p>
    <w:p>
      <w:pPr>
        <w:ind w:firstLine="480"/>
      </w:pPr>
      <w:r>
        <w:rPr>
          <w:rFonts w:hint="eastAsia"/>
        </w:rPr>
        <w:t>根据《中华人民共和国长江保护法》：长江流域产业结构和布局应当与长江流域生态系统和资源环境承载能力相适应。禁止在长江流域重点生态功能区布局对生态系统有严重影响的产业。禁止重污染企业和项目向长江中上游转移。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ind w:firstLine="480"/>
      </w:pPr>
      <w:r>
        <w:rPr>
          <w:rFonts w:hint="eastAsia"/>
        </w:rPr>
        <w:t>根据《中华人民共和国工业和信息化部关于开展长江经济带化工生产企业、在建项目、化工园区摸底调查的通知》（工原函〔2017〕33 号）、《关于开展长江经济带化工生产企业和化工园区摸底排查工作的通知》（环办环监函〔2017〕543 号）和《重庆市经济和信息化委员会关于开展重庆市沿江化工生产企业摸底调查的通知》（渝经信化工〔2020〕10号）分析，通知中纳入调查和摸底排查的化工行业均为25 石油加工、炼焦和核燃料加工业、26化学原料和化学制品制造业、29 橡胶和塑料制品业大类中的部分小类。</w:t>
      </w:r>
    </w:p>
    <w:p>
      <w:pPr>
        <w:ind w:firstLine="480"/>
      </w:pPr>
      <w:r>
        <w:rPr>
          <w:rFonts w:hint="eastAsia"/>
        </w:rPr>
        <w:t>拟建项目属于《国民经济行业分类》（GB／T4754-2017）中：C26-化学原料和化学制品制造业，属于化工项目。</w:t>
      </w:r>
    </w:p>
    <w:p>
      <w:pPr>
        <w:ind w:firstLine="480"/>
      </w:pPr>
      <w:r>
        <w:rPr>
          <w:rFonts w:hint="eastAsia"/>
        </w:rPr>
        <w:t>根据《重庆市水利局关于公布第一批河流河道名录的通知》（渝水〔2018〕188 号）和《重庆市水利局关于印发重庆市第二批河流河道名录登记簿的通知》（渝水河〔2020〕24 号），晏家河属于第二批名录中流域面积100-50平方公里河流，沙溪河不在名录范围内。</w:t>
      </w:r>
    </w:p>
    <w:p>
      <w:pPr>
        <w:ind w:firstLine="480"/>
      </w:pPr>
      <w:r>
        <w:rPr>
          <w:rFonts w:hint="eastAsia"/>
        </w:rPr>
        <w:t>根据2021年6月16日由市政府副秘书长、市招商投资局局长周青召集市人大城乡建设环境保护委，市发展改革委、市经济信息委、市司法局等多个部门负责同志召开的贯彻《长江保护法》优化化工园区和化工项目布局管理专题会议决定，在没有获得国家层面的释法前“长江支流”按水利局发布的河流名录执行，二是参照《重庆市经济和信息化委员会关于开展重庆市沿江化工生产企业摸底调查的通知》(渝经信化工〔2020〕10 号)以及工信部部长信箱“化学纤维制造业是否属于化工行业”的回复，医药制造业、化学纤维制造业未纳入化工行业范畴管理。</w:t>
      </w:r>
    </w:p>
    <w:p>
      <w:pPr>
        <w:ind w:firstLine="480"/>
      </w:pPr>
      <w:r>
        <w:rPr>
          <w:rFonts w:hint="eastAsia"/>
        </w:rPr>
        <w:t>根据《长寿经济技术开发区管理委员会党政办公室关于利用化工尾气制20万吨/年合成氨循环经济项目建设相关问题的函》（长寿经开办函【2022】2号），拟建项目位于重庆（长寿）经济技术开发区G04-03-1-7/03地块中部，距离长江干流距离约为6.3km，距离长江一级支流晏家河最近距离约为1.33km，距离改道后沙溪河最近距离约为3.11km。</w:t>
      </w:r>
    </w:p>
    <w:p>
      <w:pPr>
        <w:ind w:firstLine="480"/>
      </w:pPr>
      <w:r>
        <w:rPr>
          <w:rFonts w:hint="eastAsia"/>
        </w:rPr>
        <w:t>综上所述，拟建项目属于化工项目，但距离长江干流和名录内的一级支流均满足1km范围要求，因此拟建项目符合《中华人民共和国长江保护法》。</w:t>
      </w:r>
    </w:p>
    <w:p>
      <w:pPr>
        <w:pStyle w:val="4"/>
        <w:spacing w:before="156" w:after="156"/>
      </w:pPr>
      <w:bookmarkStart w:id="36" w:name="_Toc84844218"/>
      <w:r>
        <w:rPr>
          <w:rFonts w:hint="eastAsia"/>
        </w:rPr>
        <w:t>1.8.3与重庆市相关规划的符合性分析</w:t>
      </w:r>
      <w:bookmarkEnd w:id="36"/>
    </w:p>
    <w:p>
      <w:pPr>
        <w:pStyle w:val="5"/>
      </w:pPr>
      <w:r>
        <w:rPr>
          <w:rFonts w:hint="eastAsia"/>
        </w:rPr>
        <w:t>1.8.3.1与《重庆市工业项目环境准入规定》的符合性分析</w:t>
      </w:r>
    </w:p>
    <w:p>
      <w:pPr>
        <w:ind w:firstLine="480"/>
      </w:pPr>
      <w:r>
        <w:rPr>
          <w:rFonts w:hint="eastAsia"/>
        </w:rPr>
        <w:t>拟建项目符合国家产业政策，未采用国家和我市淘汰的或禁止使用的工艺、技术和设备；项目的清洁生产水平达到国家清洁生产标准的国内先进水平；项目选址于重庆（长寿）经济技术开发区，选址符合产业发展规划、城乡总体规划、土地利用规划等相关规划；项目排放的污染物达到污染物排放标准；项目选址区域有相应的环境容量；项目配套落实了环境风险防范措施，制定了切实可行的环境风险应急预案，对饮用水源无安全隐患。</w:t>
      </w:r>
    </w:p>
    <w:p>
      <w:pPr>
        <w:ind w:firstLine="480"/>
      </w:pPr>
      <w:r>
        <w:rPr>
          <w:rFonts w:hint="eastAsia"/>
        </w:rPr>
        <w:t>项目与《重庆市工业项目环境准入条件（修订）》符合性分析详见表1.8.3-1。</w:t>
      </w:r>
    </w:p>
    <w:p>
      <w:pPr>
        <w:pStyle w:val="41"/>
      </w:pPr>
      <w:r>
        <w:rPr>
          <w:rFonts w:hint="eastAsia"/>
        </w:rPr>
        <w:t>表1.8.3-1    重庆市工业项目环境准入规定符合性分析表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60"/>
        <w:gridCol w:w="4735"/>
        <w:gridCol w:w="2367"/>
        <w:gridCol w:w="66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t>条款号</w:t>
            </w:r>
          </w:p>
        </w:tc>
        <w:tc>
          <w:tcPr>
            <w:tcW w:w="2778" w:type="pct"/>
            <w:vAlign w:val="center"/>
          </w:tcPr>
          <w:p>
            <w:pPr>
              <w:pStyle w:val="42"/>
            </w:pPr>
            <w:r>
              <w:t>环境准入条件</w:t>
            </w:r>
          </w:p>
        </w:tc>
        <w:tc>
          <w:tcPr>
            <w:tcW w:w="1389" w:type="pct"/>
            <w:vAlign w:val="center"/>
          </w:tcPr>
          <w:p>
            <w:pPr>
              <w:pStyle w:val="42"/>
            </w:pPr>
            <w:r>
              <w:t>项目的准入条件符合性分析</w:t>
            </w:r>
          </w:p>
        </w:tc>
        <w:tc>
          <w:tcPr>
            <w:tcW w:w="387" w:type="pct"/>
            <w:vAlign w:val="center"/>
          </w:tcPr>
          <w:p>
            <w:pPr>
              <w:pStyle w:val="42"/>
            </w:pPr>
            <w:r>
              <w:t>结论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一</w:t>
            </w:r>
          </w:p>
        </w:tc>
        <w:tc>
          <w:tcPr>
            <w:tcW w:w="2778" w:type="pct"/>
            <w:vAlign w:val="center"/>
          </w:tcPr>
          <w:p>
            <w:pPr>
              <w:pStyle w:val="42"/>
            </w:pPr>
            <w:r>
              <w:rPr>
                <w:rFonts w:hint="eastAsia"/>
              </w:rPr>
              <w:t>为合理利用环境容量资源，优化产业布局，促进产业结构调整，根据《国务院关于加强环境保护重点工作的意见》（国发〔2011〕35号）和环境保护有关法律法规的规定，结合本市经济社会发展和环境保护实际，制定本规定。</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二</w:t>
            </w:r>
          </w:p>
        </w:tc>
        <w:tc>
          <w:tcPr>
            <w:tcW w:w="2778" w:type="pct"/>
            <w:vAlign w:val="center"/>
          </w:tcPr>
          <w:p>
            <w:pPr>
              <w:pStyle w:val="42"/>
            </w:pPr>
            <w:r>
              <w:rPr>
                <w:rFonts w:hint="eastAsia"/>
              </w:rPr>
              <w:t>本规定适用于本市行政区域内，在生产或加工过程中可能对环境产生污染的工业项目。</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三</w:t>
            </w:r>
          </w:p>
        </w:tc>
        <w:tc>
          <w:tcPr>
            <w:tcW w:w="2778" w:type="pct"/>
            <w:vAlign w:val="center"/>
          </w:tcPr>
          <w:p>
            <w:pPr>
              <w:pStyle w:val="42"/>
            </w:pPr>
            <w:r>
              <w:rPr>
                <w:rFonts w:hint="eastAsia"/>
              </w:rPr>
              <w:t>发展改革、经济信息、国土、环保、规划等市政府有关部门、市政府派出机构和各区县（自治县）人民政府依照各自职责做好本规定实施的监督管理。</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t>四</w:t>
            </w:r>
          </w:p>
        </w:tc>
        <w:tc>
          <w:tcPr>
            <w:tcW w:w="2778" w:type="pct"/>
            <w:vAlign w:val="center"/>
          </w:tcPr>
          <w:p>
            <w:pPr>
              <w:pStyle w:val="42"/>
            </w:pPr>
            <w:r>
              <w:rPr>
                <w:rFonts w:hint="eastAsia"/>
              </w:rPr>
              <w:t>工业项目应符合产业政策，不得采用国家和本市淘汰的或禁止使用的工艺、技术和设备，不得建设生产工艺或污染防治技术不成熟的项目</w:t>
            </w:r>
          </w:p>
        </w:tc>
        <w:tc>
          <w:tcPr>
            <w:tcW w:w="1389" w:type="pct"/>
            <w:vAlign w:val="center"/>
          </w:tcPr>
          <w:p>
            <w:pPr>
              <w:pStyle w:val="42"/>
            </w:pPr>
            <w:r>
              <w:t>项目符合国家产业政策，未采用国家和重庆市淘汰的或禁止使用的工艺、技术和设备</w:t>
            </w:r>
            <w:r>
              <w:rPr>
                <w:rFonts w:hint="eastAsia"/>
              </w:rPr>
              <w:t>，生产工艺及污染防治技术成熟</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t>五</w:t>
            </w:r>
          </w:p>
        </w:tc>
        <w:tc>
          <w:tcPr>
            <w:tcW w:w="2778" w:type="pct"/>
            <w:vAlign w:val="center"/>
          </w:tcPr>
          <w:p>
            <w:pPr>
              <w:pStyle w:val="42"/>
            </w:pPr>
            <w:r>
              <w:t>工业项目清洁生产水平不得低于国家清洁生产标准的国内基本水平；“一小时经济圈”内工业项目的清洁生产水平应达到国家清洁生产标准的国内先进水平。</w:t>
            </w:r>
          </w:p>
        </w:tc>
        <w:tc>
          <w:tcPr>
            <w:tcW w:w="1389" w:type="pct"/>
            <w:vAlign w:val="center"/>
          </w:tcPr>
          <w:p>
            <w:pPr>
              <w:pStyle w:val="42"/>
            </w:pPr>
            <w:r>
              <w:rPr>
                <w:rFonts w:hint="eastAsia"/>
              </w:rPr>
              <w:t>本</w:t>
            </w:r>
            <w:r>
              <w:t>项目的清洁生产水平</w:t>
            </w:r>
            <w:r>
              <w:rPr>
                <w:rFonts w:hint="eastAsia"/>
              </w:rPr>
              <w:t>满足《清洁生产标准 氮肥制造业》（HJ/T188-2006）二级指标要求，处于国内清洁生产先进水平。</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t>六</w:t>
            </w:r>
          </w:p>
        </w:tc>
        <w:tc>
          <w:tcPr>
            <w:tcW w:w="2778" w:type="pct"/>
            <w:vAlign w:val="center"/>
          </w:tcPr>
          <w:p>
            <w:pPr>
              <w:pStyle w:val="42"/>
            </w:pPr>
            <w:r>
              <w:t>工业项目选址应符合产业发展规划、城乡总体规划、土地利用规划等相关规划。</w:t>
            </w:r>
            <w:r>
              <w:rPr>
                <w:rFonts w:hint="eastAsia"/>
              </w:rPr>
              <w:t>新建有污染物排放的工业项目应进入工业园区或工业集中区。</w:t>
            </w:r>
          </w:p>
        </w:tc>
        <w:tc>
          <w:tcPr>
            <w:tcW w:w="1389" w:type="pct"/>
            <w:vAlign w:val="center"/>
          </w:tcPr>
          <w:p>
            <w:pPr>
              <w:pStyle w:val="42"/>
            </w:pPr>
            <w:r>
              <w:t>项目</w:t>
            </w:r>
            <w:r>
              <w:rPr>
                <w:rFonts w:hint="eastAsia"/>
              </w:rPr>
              <w:t>位于于重庆（长寿）经济技术开发区晏家组团</w:t>
            </w:r>
            <w:r>
              <w:t>，选址符合产业发展规划、符合城乡总体规划、符合土地利用规划。</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t>七</w:t>
            </w:r>
          </w:p>
        </w:tc>
        <w:tc>
          <w:tcPr>
            <w:tcW w:w="2778" w:type="pct"/>
            <w:vAlign w:val="center"/>
          </w:tcPr>
          <w:p>
            <w:pPr>
              <w:pStyle w:val="42"/>
            </w:pPr>
            <w:r>
              <w:rPr>
                <w:rFonts w:hint="eastAsia"/>
              </w:rPr>
              <w:t>在长江、嘉陵江主城区江段及其上游沿江河地区严格限制建设可能对饮用水源带来安全隐患的化工、造纸、印染及排放有毒有害物质和重金属的工业项目。</w:t>
            </w:r>
          </w:p>
          <w:p>
            <w:pPr>
              <w:pStyle w:val="42"/>
            </w:pPr>
            <w:r>
              <w:rPr>
                <w:rFonts w:hint="eastAsia"/>
              </w:rPr>
              <w:t>在长江鱼嘴以上江段及其一级支流汇入口上游</w:t>
            </w:r>
            <w:r>
              <w:t>5</w:t>
            </w:r>
            <w:r>
              <w:rPr>
                <w:rFonts w:hint="eastAsia"/>
              </w:rPr>
              <w:t>公里、嘉陵江及其一级支流汇入口上游</w:t>
            </w:r>
            <w:r>
              <w:t>5</w:t>
            </w:r>
            <w:r>
              <w:rPr>
                <w:rFonts w:hint="eastAsia"/>
              </w:rPr>
              <w:t>公里、集中式饮用水源地取水口上游</w:t>
            </w:r>
            <w:r>
              <w:t>5</w:t>
            </w:r>
            <w:r>
              <w:rPr>
                <w:rFonts w:hint="eastAsia"/>
              </w:rPr>
              <w:t>公里的沿岸地区，禁止新建、扩建排放重金属、剧毒物质和持久性有机污染物的工业项目。</w:t>
            </w:r>
          </w:p>
        </w:tc>
        <w:tc>
          <w:tcPr>
            <w:tcW w:w="1389" w:type="pct"/>
            <w:vAlign w:val="center"/>
          </w:tcPr>
          <w:p>
            <w:pPr>
              <w:pStyle w:val="42"/>
            </w:pPr>
            <w:r>
              <w:t>项目</w:t>
            </w:r>
            <w:r>
              <w:rPr>
                <w:rFonts w:hint="eastAsia"/>
              </w:rPr>
              <w:t>位于于重庆（长寿）经济技术开发区晏家组团</w:t>
            </w:r>
            <w:r>
              <w:t>，处于长江主城江段下游</w:t>
            </w:r>
            <w:r>
              <w:rPr>
                <w:rFonts w:hint="eastAsia"/>
              </w:rPr>
              <w:t>。</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八</w:t>
            </w:r>
          </w:p>
        </w:tc>
        <w:tc>
          <w:tcPr>
            <w:tcW w:w="2778" w:type="pct"/>
            <w:vAlign w:val="center"/>
          </w:tcPr>
          <w:p>
            <w:pPr>
              <w:pStyle w:val="42"/>
            </w:pPr>
            <w:r>
              <w:rPr>
                <w:rFonts w:hint="eastAsia"/>
              </w:rPr>
              <w:t>在主城区禁止新建、改建、扩建以煤、重油为燃料的工业项目；在合川区、江津区、长寿区、璧山县等地区严格限制新建、扩建可能对主城区大气产生影响的燃用煤、重油等高污染燃料的工业项目。</w:t>
            </w:r>
          </w:p>
          <w:p>
            <w:pPr>
              <w:pStyle w:val="42"/>
            </w:pPr>
            <w:r>
              <w:rPr>
                <w:rFonts w:hint="eastAsia"/>
              </w:rPr>
              <w:t>在主城区及其主导风上风向 10 公里范围内禁止新建、扩建大气污染严重的火电、冶炼、水泥项目及 10 蒸吨/小时以上燃煤锅炉。在区县（自治县）中心城区及其主导风上风向5公里范围内，严格限制新建、扩建大气污染严重的火电、冶炼、水泥项目及10蒸吨/小时以上燃煤锅炉。</w:t>
            </w:r>
          </w:p>
        </w:tc>
        <w:tc>
          <w:tcPr>
            <w:tcW w:w="1389" w:type="pct"/>
            <w:vAlign w:val="center"/>
          </w:tcPr>
          <w:p>
            <w:pPr>
              <w:pStyle w:val="42"/>
            </w:pPr>
            <w:r>
              <w:t>项目</w:t>
            </w:r>
            <w:r>
              <w:rPr>
                <w:rFonts w:hint="eastAsia"/>
              </w:rPr>
              <w:t>位于于重庆（长寿）经济技术开发区晏家组团</w:t>
            </w:r>
            <w:r>
              <w:t>，</w:t>
            </w:r>
            <w:r>
              <w:rPr>
                <w:rFonts w:hint="eastAsia"/>
              </w:rPr>
              <w:t>项目不属于燃煤、重油为燃料的工业项目，不涉及燃煤锅炉。</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九</w:t>
            </w:r>
          </w:p>
        </w:tc>
        <w:tc>
          <w:tcPr>
            <w:tcW w:w="2778" w:type="pct"/>
            <w:vAlign w:val="center"/>
          </w:tcPr>
          <w:p>
            <w:pPr>
              <w:pStyle w:val="42"/>
            </w:pPr>
            <w:r>
              <w:rPr>
                <w:rFonts w:hint="eastAsia"/>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1389" w:type="pct"/>
            <w:vAlign w:val="center"/>
          </w:tcPr>
          <w:p>
            <w:pPr>
              <w:pStyle w:val="42"/>
            </w:pPr>
            <w:r>
              <w:rPr>
                <w:rFonts w:hint="eastAsia"/>
              </w:rPr>
              <w:t>项目新增的</w:t>
            </w:r>
            <w:r>
              <w:t>COD</w:t>
            </w:r>
            <w:r>
              <w:rPr>
                <w:rFonts w:hint="eastAsia"/>
              </w:rPr>
              <w:t>、</w:t>
            </w:r>
            <w:r>
              <w:t>NH</w:t>
            </w:r>
            <w:r>
              <w:rPr>
                <w:vertAlign w:val="subscript"/>
              </w:rPr>
              <w:t>3</w:t>
            </w:r>
            <w:r>
              <w:t>-N</w:t>
            </w:r>
            <w:r>
              <w:rPr>
                <w:rFonts w:hint="eastAsia"/>
              </w:rPr>
              <w:t>、SO</w:t>
            </w:r>
            <w:r>
              <w:rPr>
                <w:rFonts w:hint="eastAsia"/>
                <w:vertAlign w:val="subscript"/>
              </w:rPr>
              <w:t>2</w:t>
            </w:r>
            <w:r>
              <w:rPr>
                <w:rFonts w:hint="eastAsia"/>
              </w:rPr>
              <w:t>和NO</w:t>
            </w:r>
            <w:r>
              <w:rPr>
                <w:rFonts w:hint="eastAsia"/>
                <w:vertAlign w:val="subscript"/>
              </w:rPr>
              <w:t>2</w:t>
            </w:r>
            <w:r>
              <w:rPr>
                <w:rFonts w:hint="eastAsia"/>
              </w:rPr>
              <w:t>总量指标按管理办法要求购买解决</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w:t>
            </w:r>
          </w:p>
        </w:tc>
        <w:tc>
          <w:tcPr>
            <w:tcW w:w="2778" w:type="pct"/>
            <w:vAlign w:val="center"/>
          </w:tcPr>
          <w:p>
            <w:pPr>
              <w:pStyle w:val="42"/>
            </w:pPr>
            <w:r>
              <w:rPr>
                <w:rFonts w:hint="eastAsia"/>
              </w:rPr>
              <w:t>新建、改建、扩建工业项目所在地大气、水环境主要污染物现状浓度占标准值90%―100%的，项目所在地应按该项目新增污染物排放量的1.5倍削减现有污染物排放量。</w:t>
            </w:r>
          </w:p>
        </w:tc>
        <w:tc>
          <w:tcPr>
            <w:tcW w:w="1389" w:type="pct"/>
            <w:vAlign w:val="center"/>
          </w:tcPr>
          <w:p>
            <w:pPr>
              <w:pStyle w:val="42"/>
            </w:pPr>
            <w:r>
              <w:rPr>
                <w:rFonts w:hint="eastAsia"/>
              </w:rPr>
              <w:t>项目所在地大气、水环境主要污染物有环境容量</w:t>
            </w:r>
          </w:p>
        </w:tc>
        <w:tc>
          <w:tcPr>
            <w:tcW w:w="387" w:type="pct"/>
            <w:vAlign w:val="center"/>
          </w:tcPr>
          <w:p>
            <w:pPr>
              <w:pStyle w:val="42"/>
            </w:pPr>
            <w:r>
              <w:rPr>
                <w:rFonts w:hint="eastAsia"/>
              </w:rP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十一</w:t>
            </w:r>
          </w:p>
        </w:tc>
        <w:tc>
          <w:tcPr>
            <w:tcW w:w="2778" w:type="pct"/>
            <w:vAlign w:val="center"/>
          </w:tcPr>
          <w:p>
            <w:pPr>
              <w:pStyle w:val="42"/>
            </w:pPr>
            <w:r>
              <w:rPr>
                <w:rFonts w:hint="eastAsia"/>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1389" w:type="pct"/>
            <w:vAlign w:val="center"/>
          </w:tcPr>
          <w:p>
            <w:pPr>
              <w:pStyle w:val="42"/>
            </w:pPr>
            <w:r>
              <w:rPr>
                <w:rFonts w:hint="eastAsia"/>
              </w:rPr>
              <w:t>项目不涉及重金属排放</w:t>
            </w:r>
          </w:p>
        </w:tc>
        <w:tc>
          <w:tcPr>
            <w:tcW w:w="387" w:type="pct"/>
            <w:vAlign w:val="center"/>
          </w:tcPr>
          <w:p>
            <w:pPr>
              <w:pStyle w:val="42"/>
            </w:pPr>
            <w:r>
              <w:rPr>
                <w:rFonts w:hint="eastAsia"/>
              </w:rP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十二</w:t>
            </w:r>
          </w:p>
        </w:tc>
        <w:tc>
          <w:tcPr>
            <w:tcW w:w="2778" w:type="pct"/>
            <w:vAlign w:val="center"/>
          </w:tcPr>
          <w:p>
            <w:pPr>
              <w:pStyle w:val="42"/>
            </w:pPr>
            <w:r>
              <w:rPr>
                <w:rFonts w:hint="eastAsia"/>
              </w:rPr>
              <w:t>禁止建设存在重大环境安全隐患的工业项目</w:t>
            </w:r>
          </w:p>
        </w:tc>
        <w:tc>
          <w:tcPr>
            <w:tcW w:w="1389" w:type="pct"/>
            <w:vAlign w:val="center"/>
          </w:tcPr>
          <w:p>
            <w:pPr>
              <w:pStyle w:val="42"/>
            </w:pPr>
            <w:r>
              <w:rPr>
                <w:rFonts w:hint="eastAsia"/>
              </w:rPr>
              <w:t>项目不属于存在重大环境安全隐患的工业项目</w:t>
            </w:r>
          </w:p>
        </w:tc>
        <w:tc>
          <w:tcPr>
            <w:tcW w:w="387" w:type="pct"/>
            <w:vAlign w:val="center"/>
          </w:tcPr>
          <w:p>
            <w:pPr>
              <w:pStyle w:val="42"/>
            </w:pPr>
            <w:r>
              <w:rPr>
                <w:rFonts w:hint="eastAsia"/>
              </w:rP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十三</w:t>
            </w:r>
          </w:p>
        </w:tc>
        <w:tc>
          <w:tcPr>
            <w:tcW w:w="2778" w:type="pct"/>
            <w:vAlign w:val="center"/>
          </w:tcPr>
          <w:p>
            <w:pPr>
              <w:pStyle w:val="42"/>
            </w:pPr>
            <w:r>
              <w:rPr>
                <w:rFonts w:hint="eastAsia"/>
              </w:rPr>
              <w:t>工业项目排放污染物必须达到国家和地方规定的污染物排放标准，资源环境绩效水平应达到本规定要求</w:t>
            </w:r>
          </w:p>
        </w:tc>
        <w:tc>
          <w:tcPr>
            <w:tcW w:w="1389" w:type="pct"/>
            <w:vAlign w:val="center"/>
          </w:tcPr>
          <w:p>
            <w:pPr>
              <w:pStyle w:val="42"/>
            </w:pPr>
            <w:r>
              <w:rPr>
                <w:rFonts w:hint="eastAsia"/>
              </w:rPr>
              <w:t>本</w:t>
            </w:r>
            <w:r>
              <w:t>项目</w:t>
            </w:r>
            <w:r>
              <w:rPr>
                <w:rFonts w:hint="eastAsia"/>
              </w:rPr>
              <w:t>污染物排放达到国家和地方规定的污染物排放标准，资源环境绩效水平应达到本规定要求</w:t>
            </w:r>
          </w:p>
        </w:tc>
        <w:tc>
          <w:tcPr>
            <w:tcW w:w="387" w:type="pct"/>
            <w:vAlign w:val="center"/>
          </w:tcPr>
          <w:p>
            <w:pPr>
              <w:pStyle w:val="42"/>
            </w:pPr>
            <w: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十四</w:t>
            </w:r>
          </w:p>
        </w:tc>
        <w:tc>
          <w:tcPr>
            <w:tcW w:w="2778" w:type="pct"/>
            <w:vAlign w:val="center"/>
          </w:tcPr>
          <w:p>
            <w:pPr>
              <w:pStyle w:val="42"/>
            </w:pPr>
            <w:r>
              <w:rPr>
                <w:rFonts w:hint="eastAsia"/>
              </w:rPr>
              <w:t>市政府有关部门和各区县（自治县）人民政府应负责确保工业项目布局符合本规定。对不符合本规定的工业项目，发展改革、经济信息、国土、环保、规划等行政主管部门不得为其办理相关审批或许可手续，银行不得提供贷款。</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十五</w:t>
            </w:r>
          </w:p>
        </w:tc>
        <w:tc>
          <w:tcPr>
            <w:tcW w:w="2778" w:type="pct"/>
            <w:vAlign w:val="center"/>
          </w:tcPr>
          <w:p>
            <w:pPr>
              <w:pStyle w:val="42"/>
            </w:pPr>
            <w:r>
              <w:rPr>
                <w:rFonts w:hint="eastAsia"/>
              </w:rPr>
              <w:t>建设单位应遵守本规定要求，在开展工业项目前期工作时向有审批权的环保部门进行申报。对不符合本规定的工业项目，环保部门应将有关情况书面告知建设单位，建设单位应按本规定要求调整建设内容或重新选址。</w:t>
            </w:r>
          </w:p>
        </w:tc>
        <w:tc>
          <w:tcPr>
            <w:tcW w:w="1389" w:type="pct"/>
            <w:vAlign w:val="center"/>
          </w:tcPr>
          <w:p>
            <w:pPr>
              <w:pStyle w:val="42"/>
            </w:pPr>
            <w:r>
              <w:rPr>
                <w:rFonts w:hint="eastAsia"/>
              </w:rPr>
              <w:t>重庆建峰化工股份有限公司已遵守本规定要求向重庆市长寿区生态环境局进行申报</w:t>
            </w:r>
          </w:p>
        </w:tc>
        <w:tc>
          <w:tcPr>
            <w:tcW w:w="387" w:type="pct"/>
            <w:vAlign w:val="center"/>
          </w:tcPr>
          <w:p>
            <w:pPr>
              <w:pStyle w:val="42"/>
            </w:pPr>
            <w:r>
              <w:rPr>
                <w:rFonts w:hint="eastAsia"/>
              </w:rPr>
              <w:t>满足要求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十六</w:t>
            </w:r>
          </w:p>
        </w:tc>
        <w:tc>
          <w:tcPr>
            <w:tcW w:w="2778" w:type="pct"/>
            <w:vAlign w:val="center"/>
          </w:tcPr>
          <w:p>
            <w:pPr>
              <w:pStyle w:val="42"/>
            </w:pPr>
            <w:r>
              <w:rPr>
                <w:rFonts w:hint="eastAsia"/>
              </w:rPr>
              <w:t>工业项目环境影响评价文件应论证项目是否符合本规定，建设单位应就项目达到的清洁生产水平、资源环境绩效水平及主要污染物排放浓度做出承诺。</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6" w:type="pct"/>
            <w:vAlign w:val="center"/>
          </w:tcPr>
          <w:p>
            <w:pPr>
              <w:pStyle w:val="42"/>
            </w:pPr>
            <w:r>
              <w:rPr>
                <w:rFonts w:hint="eastAsia"/>
              </w:rPr>
              <w:t>十七</w:t>
            </w:r>
          </w:p>
        </w:tc>
        <w:tc>
          <w:tcPr>
            <w:tcW w:w="2778" w:type="pct"/>
            <w:vAlign w:val="center"/>
          </w:tcPr>
          <w:p>
            <w:pPr>
              <w:pStyle w:val="42"/>
            </w:pPr>
            <w:r>
              <w:rPr>
                <w:rFonts w:hint="eastAsia"/>
              </w:rPr>
              <w:t>建设单位在工业项目竣工环保验收申报材料中，应根据试生产情况和污染物排放监测结果，测算并说明项目是否符合本规定要求。环保部门应将资源环境绩效水平作为工业项目环保验收内容之一。</w:t>
            </w:r>
          </w:p>
        </w:tc>
        <w:tc>
          <w:tcPr>
            <w:tcW w:w="1389" w:type="pct"/>
            <w:vAlign w:val="center"/>
          </w:tcPr>
          <w:p>
            <w:pPr>
              <w:pStyle w:val="42"/>
            </w:pPr>
            <w:r>
              <w:rPr>
                <w:rFonts w:hint="eastAsia"/>
              </w:rPr>
              <w:t>/</w:t>
            </w:r>
          </w:p>
        </w:tc>
        <w:tc>
          <w:tcPr>
            <w:tcW w:w="387" w:type="pct"/>
            <w:vAlign w:val="center"/>
          </w:tcPr>
          <w:p>
            <w:pPr>
              <w:pStyle w:val="42"/>
            </w:pPr>
            <w:r>
              <w:rPr>
                <w:rFonts w:hint="eastAsia"/>
              </w:rPr>
              <w:t>/</w:t>
            </w:r>
          </w:p>
        </w:tc>
      </w:tr>
    </w:tbl>
    <w:p>
      <w:pPr>
        <w:ind w:firstLine="480"/>
      </w:pPr>
      <w:r>
        <w:rPr>
          <w:rFonts w:hint="eastAsia"/>
        </w:rPr>
        <w:t>由表1.8.3-1可知，拟建项目的建设符合《重庆市工业项目准入规定（2012年修订）》的相关要求。</w:t>
      </w:r>
    </w:p>
    <w:p>
      <w:pPr>
        <w:pStyle w:val="5"/>
      </w:pPr>
      <w:r>
        <w:rPr>
          <w:rFonts w:hint="eastAsia"/>
        </w:rPr>
        <w:t>1.8.3.2与《重庆市发展和改革委员会关于印发重庆市产业投资准入工作手册》（渝发改投[2018]541号）符合性分析</w:t>
      </w:r>
    </w:p>
    <w:p>
      <w:pPr>
        <w:ind w:firstLine="480"/>
      </w:pPr>
      <w:r>
        <w:rPr>
          <w:rFonts w:hint="eastAsia"/>
        </w:rPr>
        <w:t>根据《重庆市发展和改革委员会关于印发重庆市产业投资准入工作手册》（渝发改投[2018]541号），一、总说明：</w:t>
      </w:r>
    </w:p>
    <w:p>
      <w:pPr>
        <w:ind w:firstLine="480"/>
      </w:pPr>
      <w:r>
        <w:rPr>
          <w:rFonts w:hint="eastAsia"/>
        </w:rPr>
        <w:t>（二）产业投资准入政策包括不予准入、限制准入两类目录。</w:t>
      </w:r>
    </w:p>
    <w:p>
      <w:pPr>
        <w:ind w:firstLine="480"/>
      </w:pPr>
      <w:r>
        <w:rPr>
          <w:rFonts w:hint="eastAsia"/>
        </w:rPr>
        <w:t>不予准入类主要包括国家及我市相关规定明确要求不得新建和扩建的生产能力、工艺技术、装备及产品。</w:t>
      </w:r>
    </w:p>
    <w:p>
      <w:pPr>
        <w:ind w:firstLine="480"/>
      </w:pPr>
      <w:r>
        <w:rPr>
          <w:rFonts w:hint="eastAsia"/>
        </w:rPr>
        <w:t>限制准入类主要包括国家及我市相关规定明确要求需要升级改造，以及不得布局但可升级改造、异地置换的生产能力、工艺技术、装备及产品，并按照“行业限制+区域限制”的方式制定。</w:t>
      </w:r>
    </w:p>
    <w:p>
      <w:pPr>
        <w:ind w:firstLine="480"/>
      </w:pPr>
      <w:r>
        <w:rPr>
          <w:rFonts w:hint="eastAsia"/>
        </w:rPr>
        <w:t>本项目与《重庆市产业投资准入工作手册》中不予准入、限制准入两类产业目录的符合性分析见表1.8.3-2。</w:t>
      </w:r>
    </w:p>
    <w:p>
      <w:pPr>
        <w:pStyle w:val="41"/>
      </w:pPr>
      <w:r>
        <w:rPr>
          <w:rFonts w:hint="eastAsia"/>
        </w:rPr>
        <w:t>表1.8.3-2  项目与《重庆市产业投资准入工作手册》符合性分析表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30"/>
        <w:gridCol w:w="428"/>
        <w:gridCol w:w="641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347" w:type="pct"/>
            <w:gridSpan w:val="3"/>
            <w:vAlign w:val="center"/>
          </w:tcPr>
          <w:p>
            <w:pPr>
              <w:pStyle w:val="42"/>
              <w:ind w:firstLine="480"/>
            </w:pPr>
            <w:r>
              <w:t>准入要求</w:t>
            </w:r>
          </w:p>
        </w:tc>
        <w:tc>
          <w:tcPr>
            <w:tcW w:w="653" w:type="pct"/>
            <w:vAlign w:val="center"/>
          </w:tcPr>
          <w:p>
            <w:pPr>
              <w:pStyle w:val="42"/>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57" w:type="pct"/>
            <w:vMerge w:val="restart"/>
            <w:vAlign w:val="center"/>
          </w:tcPr>
          <w:p>
            <w:pPr>
              <w:pStyle w:val="42"/>
            </w:pPr>
            <w:r>
              <w:t>不予准入类</w:t>
            </w:r>
          </w:p>
        </w:tc>
        <w:tc>
          <w:tcPr>
            <w:tcW w:w="256" w:type="pct"/>
            <w:vAlign w:val="center"/>
          </w:tcPr>
          <w:p>
            <w:pPr>
              <w:pStyle w:val="42"/>
            </w:pPr>
            <w:r>
              <w:t>全市范围内不予准入</w:t>
            </w:r>
          </w:p>
        </w:tc>
        <w:tc>
          <w:tcPr>
            <w:tcW w:w="3834" w:type="pct"/>
            <w:vAlign w:val="center"/>
          </w:tcPr>
          <w:p>
            <w:pPr>
              <w:pStyle w:val="42"/>
              <w:jc w:val="left"/>
            </w:pPr>
            <w:r>
              <w:t>1、国家产业结构调整指导目录中的淘汰类项目。</w:t>
            </w:r>
          </w:p>
          <w:p>
            <w:pPr>
              <w:pStyle w:val="42"/>
              <w:jc w:val="left"/>
            </w:pPr>
            <w:r>
              <w:t>2、烟花爆竹生产。</w:t>
            </w:r>
          </w:p>
          <w:p>
            <w:pPr>
              <w:pStyle w:val="42"/>
              <w:jc w:val="left"/>
            </w:pPr>
            <w:r>
              <w:t>3、400KA以下电解铝生产线。</w:t>
            </w:r>
          </w:p>
          <w:p>
            <w:pPr>
              <w:pStyle w:val="42"/>
              <w:jc w:val="left"/>
            </w:pPr>
            <w:r>
              <w:t>4、单机10万千瓦以下和设计寿命期满的单机20万千瓦以下常规燃煤火电机。</w:t>
            </w:r>
          </w:p>
          <w:p>
            <w:pPr>
              <w:pStyle w:val="42"/>
              <w:jc w:val="left"/>
            </w:pPr>
            <w:r>
              <w:t>5、天然林商业性采伐。</w:t>
            </w:r>
          </w:p>
          <w:p>
            <w:pPr>
              <w:pStyle w:val="42"/>
              <w:jc w:val="left"/>
            </w:pPr>
            <w:r>
              <w:t>6、资源环境绩效水平超过《重庆市工业项目环境准入规定》（渝办发〔2012〕142号）限值以及不符合生态建设和环境保护规划区域布局规定的工业项目。在环境容量超载的区域（流域）增加污染物排放的项目。</w:t>
            </w:r>
          </w:p>
          <w:p>
            <w:pPr>
              <w:pStyle w:val="42"/>
              <w:jc w:val="left"/>
            </w:pPr>
            <w:r>
              <w:t>7、不符合《重庆市人民政府办公厅关于印发重庆市供给侧结构性改革去产能专项方案的通知》（渝府办发〔2016〕128号）要求的环保、能耗、工艺与装备标准的钢铁、水泥、电解铝、平板玻璃和船舶制造等项目。</w:t>
            </w:r>
          </w:p>
        </w:tc>
        <w:tc>
          <w:tcPr>
            <w:tcW w:w="653" w:type="pct"/>
            <w:vAlign w:val="center"/>
          </w:tcPr>
          <w:p>
            <w:pPr>
              <w:pStyle w:val="42"/>
            </w:pPr>
            <w:r>
              <w:t>项目符合国家相关产业政策</w:t>
            </w:r>
            <w:r>
              <w:rPr>
                <w:rFonts w:hint="eastAsia"/>
              </w:rPr>
              <w:t>，符合</w:t>
            </w:r>
            <w:r>
              <w:t>《重庆市工业项目环境准入规定》。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57" w:type="pct"/>
            <w:vMerge w:val="continue"/>
            <w:vAlign w:val="center"/>
          </w:tcPr>
          <w:p>
            <w:pPr>
              <w:pStyle w:val="42"/>
            </w:pPr>
          </w:p>
        </w:tc>
        <w:tc>
          <w:tcPr>
            <w:tcW w:w="256" w:type="pct"/>
            <w:vAlign w:val="center"/>
          </w:tcPr>
          <w:p>
            <w:pPr>
              <w:pStyle w:val="42"/>
            </w:pPr>
            <w:r>
              <w:t>重点区域范围内不予准入</w:t>
            </w:r>
          </w:p>
        </w:tc>
        <w:tc>
          <w:tcPr>
            <w:tcW w:w="3834" w:type="pct"/>
            <w:vAlign w:val="center"/>
          </w:tcPr>
          <w:p>
            <w:pPr>
              <w:pStyle w:val="42"/>
              <w:jc w:val="left"/>
            </w:pPr>
            <w:r>
              <w:t>1、四山保护区域内的工业项目。</w:t>
            </w:r>
          </w:p>
          <w:p>
            <w:pPr>
              <w:pStyle w:val="42"/>
              <w:jc w:val="left"/>
            </w:pPr>
            <w:r>
              <w:t>2、长江鱼嘴以上江段及其一级支流汇入口上游20公里、嘉陵江及其一级支流汇入口上游20公里、集中式饮用水源取水口上游20公里范围内的沿岸地区（沿岸地区指江河50年一遇洪水位向陆域一侧1公里范围内）的重金属（铬、镉、汞、砷、铅等五类重金属，下同）、剧毒物质和持久性有机污染物的工业项目。</w:t>
            </w:r>
          </w:p>
          <w:p>
            <w:pPr>
              <w:pStyle w:val="42"/>
              <w:jc w:val="left"/>
            </w:pPr>
            <w:r>
              <w:t>3、未进入国家和市政府批准的化工园区或化工集中区的化工项目。</w:t>
            </w:r>
          </w:p>
          <w:p>
            <w:pPr>
              <w:pStyle w:val="42"/>
              <w:jc w:val="left"/>
            </w:pPr>
            <w:r>
              <w:t>4、大气污染防治重点控制区域内，燃煤火电、化工、水泥、采（碎）石场、烧结砖瓦窑以内燃煤锅炉等项目。</w:t>
            </w:r>
          </w:p>
          <w:p>
            <w:pPr>
              <w:pStyle w:val="42"/>
              <w:jc w:val="left"/>
            </w:pPr>
            <w:r>
              <w:t>5、主城区以外的各区县城区及其主导上风向5公里范围内，燃煤电厂、水泥、冶炼等大气污染严重的项目。</w:t>
            </w:r>
          </w:p>
          <w:p>
            <w:pPr>
              <w:pStyle w:val="42"/>
              <w:jc w:val="left"/>
            </w:pPr>
            <w:r>
              <w:t>6、二十五度以上陡坡开垦种植农作物。</w:t>
            </w:r>
          </w:p>
          <w:p>
            <w:pPr>
              <w:pStyle w:val="42"/>
              <w:jc w:val="left"/>
            </w:pPr>
            <w:r>
              <w:t>7、饮用水源保护区、自然保护区、自然文化遗产地、湿地公园、森林公园、风景名胜区、地质公园等区域进行工业化城镇化开发。其中，饮用水源保护区包括一级保护区和二级保护区；自然保护区包括县级以上自然保护区的核心区、缓冲区、实验区；自然文化遗产地、湿地公园、森林公园、风景名胜区、地质公园包括规划范围以内全部区域。</w:t>
            </w:r>
          </w:p>
          <w:p>
            <w:pPr>
              <w:pStyle w:val="42"/>
              <w:jc w:val="left"/>
            </w:pPr>
            <w:r>
              <w:t>8、生态红线控制区、生态环境敏感区、人口聚集区涉重金属排放项目。</w:t>
            </w:r>
          </w:p>
          <w:p>
            <w:pPr>
              <w:pStyle w:val="42"/>
              <w:jc w:val="left"/>
            </w:pPr>
            <w:r>
              <w:t>9、长江干流及主要支流岸线1公里范围内重化工项目（除在建项目外）。</w:t>
            </w:r>
          </w:p>
          <w:p>
            <w:pPr>
              <w:pStyle w:val="42"/>
              <w:jc w:val="left"/>
            </w:pPr>
            <w:r>
              <w:t>10、修改为长江干流及主要支流（指乌江、嘉陵江、大宁河、阿蓬江、涪江、渠江）175米库岸沿线至第一山脊线范围内采矿。</w:t>
            </w:r>
          </w:p>
          <w:p>
            <w:pPr>
              <w:pStyle w:val="42"/>
              <w:jc w:val="left"/>
            </w:pPr>
            <w:r>
              <w:t>11、外环绕城高速公路以内长江、嘉陵江水域采砂。</w:t>
            </w:r>
          </w:p>
          <w:p>
            <w:pPr>
              <w:pStyle w:val="42"/>
              <w:jc w:val="left"/>
            </w:pPr>
            <w:r>
              <w:t>12、主城区不符合“两江四岸”规划设计景观要求的项目以及造纸、印染、危险废物处置项目。</w:t>
            </w:r>
          </w:p>
          <w:p>
            <w:pPr>
              <w:pStyle w:val="42"/>
              <w:jc w:val="left"/>
            </w:pPr>
            <w:r>
              <w:t>13、主城区内环以内工业项目；内环以外燃煤电厂（含热电）、重化工以及使用煤和重油为燃料的工业项目。</w:t>
            </w:r>
          </w:p>
          <w:p>
            <w:pPr>
              <w:pStyle w:val="42"/>
              <w:jc w:val="left"/>
            </w:pPr>
            <w:r>
              <w:t>14、主城区及其主导上风向20公里范围内大气污染严重的燃煤电厂（含热电）、冶炼、水泥项目。</w:t>
            </w:r>
          </w:p>
          <w:p>
            <w:pPr>
              <w:pStyle w:val="42"/>
              <w:jc w:val="left"/>
            </w:pPr>
            <w:r>
              <w:t>15、长江、嘉陵江主城区江段及其上游沿江河地区排放有毒有害物质、重金属以及存在严重环境安全风险的产业项目。</w:t>
            </w:r>
          </w:p>
          <w:p>
            <w:pPr>
              <w:pStyle w:val="42"/>
              <w:jc w:val="left"/>
            </w:pPr>
            <w:r>
              <w:t>16、东北部地区和东南部地区的化工项目（万州区仅限于对现有主体化工产业链进行完善和升级改造）。</w:t>
            </w:r>
          </w:p>
        </w:tc>
        <w:tc>
          <w:tcPr>
            <w:tcW w:w="653" w:type="pct"/>
            <w:vAlign w:val="center"/>
          </w:tcPr>
          <w:p>
            <w:pPr>
              <w:pStyle w:val="42"/>
            </w:pPr>
            <w:r>
              <w:t>1、</w:t>
            </w:r>
            <w:r>
              <w:rPr>
                <w:rFonts w:hint="eastAsia"/>
              </w:rPr>
              <w:t>本项目</w:t>
            </w:r>
            <w:r>
              <w:t>位于长寿经开区晏家组团，不属于四山保护区域、自然保护区的核心区和缓冲区，饮用水源保护区、风景名胜区、湿地公园、重要水源地、水源涵养地等需特殊保护区域的核心区等。</w:t>
            </w:r>
          </w:p>
          <w:p>
            <w:pPr>
              <w:pStyle w:val="42"/>
            </w:pPr>
            <w:r>
              <w:t>2、项目不设置燃煤锅炉。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13" w:type="pct"/>
            <w:gridSpan w:val="2"/>
            <w:vAlign w:val="center"/>
          </w:tcPr>
          <w:p>
            <w:pPr>
              <w:pStyle w:val="42"/>
            </w:pPr>
            <w:r>
              <w:t>限制准入类</w:t>
            </w:r>
          </w:p>
        </w:tc>
        <w:tc>
          <w:tcPr>
            <w:tcW w:w="3834" w:type="pct"/>
            <w:vAlign w:val="center"/>
          </w:tcPr>
          <w:p>
            <w:pPr>
              <w:pStyle w:val="42"/>
              <w:jc w:val="left"/>
            </w:pPr>
            <w:r>
              <w:t>1、长江干流及主要支流岸线5公里范围内，除经国家和市政府批准设立、仍在建设的工业园区外，不再新布局工业园区（不包括现有工业园区拓展）。</w:t>
            </w:r>
          </w:p>
          <w:p>
            <w:pPr>
              <w:pStyle w:val="42"/>
              <w:jc w:val="left"/>
            </w:pPr>
            <w:r>
              <w:t>2、大气污染防治一般控制区域内，限制建设大气污染严重项目。</w:t>
            </w:r>
          </w:p>
          <w:p>
            <w:pPr>
              <w:pStyle w:val="42"/>
              <w:jc w:val="left"/>
            </w:pPr>
            <w:r>
              <w:t>3、其他区县（涪陵区、长寿区、江津区、合川区、永川区、綦江区（含万盛经开区）、南川区、大足区（含双桥经开区）、铜梁区、璧山区、潼南区、荣昌区）的缺水区域严格限制建设高耗水的工业项目。</w:t>
            </w:r>
          </w:p>
          <w:p>
            <w:pPr>
              <w:pStyle w:val="42"/>
              <w:jc w:val="left"/>
            </w:pPr>
            <w:r>
              <w:t>4、合川区、江津区、长寿区、璧山区等地区，严格限制新建可能对主城区大气产生影响的燃用煤、重油等高污染燃料的工业项目。</w:t>
            </w:r>
          </w:p>
          <w:p>
            <w:pPr>
              <w:pStyle w:val="42"/>
              <w:jc w:val="left"/>
            </w:pPr>
            <w:r>
              <w:t>5、东北部地区（万州区、开州区、梁平县、城口县、丰都县、垫江县、忠县、云阳县、奉节县、巫山县、巫溪县）、东南部地区（黔江区、武隆区、石柱县、秀山县、酉阳县、彭水县）限制发展易破坏生态植被的采矿业、建材等工业项目。</w:t>
            </w:r>
          </w:p>
        </w:tc>
        <w:tc>
          <w:tcPr>
            <w:tcW w:w="653" w:type="pct"/>
            <w:vAlign w:val="center"/>
          </w:tcPr>
          <w:p>
            <w:pPr>
              <w:pStyle w:val="42"/>
            </w:pPr>
            <w:r>
              <w:t>本项目位于长寿经开区晏家组团，耗水量</w:t>
            </w:r>
            <w:r>
              <w:rPr>
                <w:rFonts w:hint="eastAsia"/>
              </w:rPr>
              <w:t>小</w:t>
            </w:r>
            <w:r>
              <w:t>，不采用煤及重油</w:t>
            </w:r>
            <w:r>
              <w:rPr>
                <w:rFonts w:hint="eastAsia"/>
              </w:rPr>
              <w:t>等高污染燃料</w:t>
            </w:r>
            <w:r>
              <w:t>。</w:t>
            </w:r>
          </w:p>
        </w:tc>
      </w:tr>
    </w:tbl>
    <w:p>
      <w:pPr>
        <w:ind w:firstLine="480"/>
      </w:pPr>
      <w:r>
        <w:rPr>
          <w:rFonts w:hint="eastAsia"/>
        </w:rPr>
        <w:t>拟建</w:t>
      </w:r>
      <w:r>
        <w:t>项目</w:t>
      </w:r>
      <w:r>
        <w:rPr>
          <w:rFonts w:hint="eastAsia"/>
        </w:rPr>
        <w:t>位于重庆（长寿）经济技术开发区晏家组团</w:t>
      </w:r>
      <w:r>
        <w:t>，</w:t>
      </w:r>
      <w:r>
        <w:rPr>
          <w:rFonts w:hint="eastAsia"/>
        </w:rPr>
        <w:t>不属于全市范围内不予准入的产业和重点区域范围内不予准入的产业，不属于限制准入类项目，因此，拟建项目符合重庆市产业投资工作手册要求。</w:t>
      </w:r>
    </w:p>
    <w:p>
      <w:pPr>
        <w:pStyle w:val="5"/>
      </w:pPr>
      <w:r>
        <w:rPr>
          <w:rFonts w:hint="eastAsia"/>
        </w:rPr>
        <w:t>1.8.3.3与《重庆市经济和信息化委员会关于严格工业布局和准入的通知》（渝发改工[2018]781号）的符合性分析</w:t>
      </w:r>
    </w:p>
    <w:p>
      <w:pPr>
        <w:ind w:firstLine="480"/>
      </w:pPr>
      <w:r>
        <w:rPr>
          <w:rFonts w:hint="eastAsia"/>
        </w:rPr>
        <w:t>根据《重庆市经济和信息化委员、会重庆市经济和信息化委员会关于严格工业布局和准入的通知》（渝发改工[2018]781号）：</w:t>
      </w:r>
    </w:p>
    <w:p>
      <w:pPr>
        <w:ind w:firstLine="480"/>
      </w:pPr>
      <w:r>
        <w:rPr>
          <w:rFonts w:hint="eastAsia"/>
        </w:rPr>
        <w:t>一、优化空间布局</w:t>
      </w:r>
    </w:p>
    <w:p>
      <w:pPr>
        <w:ind w:firstLine="480"/>
      </w:pPr>
      <w:r>
        <w:rPr>
          <w:rFonts w:hint="eastAsia"/>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p>
      <w:pPr>
        <w:ind w:firstLine="480"/>
      </w:pPr>
      <w:r>
        <w:rPr>
          <w:rFonts w:hint="eastAsia"/>
        </w:rPr>
        <w:t>二、新建项目入园</w:t>
      </w:r>
    </w:p>
    <w:p>
      <w:pPr>
        <w:ind w:firstLine="480"/>
      </w:pPr>
      <w:r>
        <w:rPr>
          <w:rFonts w:hint="eastAsia"/>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p>
      <w:pPr>
        <w:ind w:firstLine="480"/>
      </w:pPr>
      <w:r>
        <w:rPr>
          <w:rFonts w:hint="eastAsia"/>
        </w:rPr>
        <w:t>三、严格产业准入</w:t>
      </w:r>
    </w:p>
    <w:p>
      <w:pPr>
        <w:ind w:firstLine="480"/>
      </w:pPr>
      <w:r>
        <w:rPr>
          <w:rFonts w:hint="eastAsia"/>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p>
      <w:pPr>
        <w:ind w:firstLine="480"/>
      </w:pPr>
      <w:r>
        <w:rPr>
          <w:rFonts w:hint="eastAsia"/>
        </w:rPr>
        <w:t>四、加强监督管理</w:t>
      </w:r>
    </w:p>
    <w:p>
      <w:pPr>
        <w:ind w:firstLine="480"/>
      </w:pPr>
      <w:r>
        <w:rPr>
          <w:rFonts w:hint="eastAsia"/>
        </w:rPr>
        <w:t>请各单位按照本通知要求，对本区域内工业布局和项目准入严格把关，加强日常监管。对违反本通知要求的，我们将依据有关规定予以严肃处理。”</w:t>
      </w:r>
    </w:p>
    <w:p>
      <w:pPr>
        <w:ind w:firstLine="480"/>
      </w:pPr>
      <w:r>
        <w:rPr>
          <w:rFonts w:hint="eastAsia"/>
        </w:rPr>
        <w:t>拟建</w:t>
      </w:r>
      <w:r>
        <w:t>项目</w:t>
      </w:r>
      <w:r>
        <w:rPr>
          <w:rFonts w:hint="eastAsia"/>
        </w:rPr>
        <w:t>位于重庆（长寿）经济技术开发区晏家组团</w:t>
      </w:r>
      <w:r>
        <w:t>，</w:t>
      </w:r>
      <w:r>
        <w:rPr>
          <w:rFonts w:hint="eastAsia"/>
        </w:rPr>
        <w:t>项目所在地与长江相距约6.3km；不属于过剩产能和“两高一资”项目，不涉及重金属以及有毒有害和持久性污染物排放。项目符合国家产业政策和重庆市相关准入规定，正在依法办理环境保护等有关手续。因此，拟建项目符合《重庆市经济和信息化委员会关于严格工业布局和准入的通知》（渝发改工[2018]781号）相关要求。</w:t>
      </w:r>
    </w:p>
    <w:p>
      <w:pPr>
        <w:pStyle w:val="5"/>
      </w:pPr>
      <w:r>
        <w:rPr>
          <w:rFonts w:hint="eastAsia"/>
        </w:rPr>
        <w:t>1.8.3.4与《重庆市生态文明建设“十三五”规划》及《重庆市环境保护局办公室关于具体执行沿江工业布局距离管控有关政策的通知》（渝环办〔2017〕146 号符合性分析</w:t>
      </w:r>
    </w:p>
    <w:p>
      <w:pPr>
        <w:ind w:firstLine="480"/>
      </w:pPr>
      <w:r>
        <w:rPr>
          <w:rFonts w:hint="eastAsia"/>
        </w:rPr>
        <w:t>《重庆市生态文明建设“十三五”规划》明确：加强沿江工业管控，严禁在长江干流及主要支流岸线5公里范围内新布局工业企业、工业园区，坚决关闭或搬迁现有紧邻长江的化工厂。</w:t>
      </w:r>
    </w:p>
    <w:p>
      <w:pPr>
        <w:ind w:firstLine="480"/>
      </w:pPr>
      <w:r>
        <w:rPr>
          <w:rFonts w:hint="eastAsia"/>
        </w:rPr>
        <w:t>《重庆市环境保护局办公室关于具体执行沿江工业布局距离管控有关政策的通知》中“一、严格落实国家对沿江“1公里”范围内的管控政策。除在建项目外，长江干流及主要支流岸线1公里范围内禁止审批新建重化工项目……”</w:t>
      </w:r>
    </w:p>
    <w:p>
      <w:pPr>
        <w:ind w:firstLine="480"/>
      </w:pPr>
      <w:r>
        <w:rPr>
          <w:rFonts w:hint="eastAsia"/>
        </w:rPr>
        <w:t>拟建</w:t>
      </w:r>
      <w:r>
        <w:t>项目</w:t>
      </w:r>
      <w:r>
        <w:rPr>
          <w:rFonts w:hint="eastAsia"/>
        </w:rPr>
        <w:t>位于重庆（长寿）经济技术开发区晏家组团</w:t>
      </w:r>
      <w:r>
        <w:t>，</w:t>
      </w:r>
      <w:r>
        <w:rPr>
          <w:rFonts w:hint="eastAsia"/>
        </w:rPr>
        <w:t>项目所在地与长江相距约6.3km，符合《重庆市生态文明建设“十三五”规划》以及《重庆市环境保护局办公室关于具体执行沿江工业布局距离管控有关政策的通知》有关规定。</w:t>
      </w:r>
    </w:p>
    <w:p>
      <w:pPr>
        <w:pStyle w:val="5"/>
      </w:pPr>
      <w:r>
        <w:rPr>
          <w:rFonts w:hint="eastAsia"/>
        </w:rPr>
        <w:t>1.8.3.5与《重庆市长江经济带发展负面清单实施细则（试行）》的符合性分析</w:t>
      </w:r>
    </w:p>
    <w:p>
      <w:pPr>
        <w:pStyle w:val="42"/>
      </w:pPr>
      <w:r>
        <w:rPr>
          <w:rFonts w:hint="eastAsia"/>
        </w:rPr>
        <w:t>表1.8.3-3 项目与重庆市长江经济带发展负面清单实施细则（试行）符合性分析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2835"/>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ind w:firstLine="480"/>
              <w:textAlignment w:val="baseline"/>
            </w:pPr>
            <w:r>
              <w:rPr>
                <w:rFonts w:hint="eastAsia"/>
              </w:rPr>
              <w:t>负面清单实施细则</w:t>
            </w:r>
          </w:p>
        </w:tc>
        <w:tc>
          <w:tcPr>
            <w:tcW w:w="2835" w:type="dxa"/>
            <w:vAlign w:val="center"/>
          </w:tcPr>
          <w:p>
            <w:pPr>
              <w:pStyle w:val="42"/>
              <w:adjustRightInd w:val="0"/>
              <w:textAlignment w:val="baseline"/>
            </w:pPr>
            <w:r>
              <w:rPr>
                <w:rFonts w:hint="eastAsia"/>
              </w:rPr>
              <w:t>本项目情况</w:t>
            </w:r>
          </w:p>
        </w:tc>
        <w:tc>
          <w:tcPr>
            <w:tcW w:w="759" w:type="dxa"/>
            <w:vAlign w:val="center"/>
          </w:tcPr>
          <w:p>
            <w:pPr>
              <w:pStyle w:val="42"/>
              <w:adjustRightInd w:val="0"/>
              <w:textAlignment w:val="baseline"/>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1．除重大环保搬迁置换项目外，禁止建设不符合市级港口布局规划以及港口总体规划的的码头项目</w:t>
            </w:r>
          </w:p>
        </w:tc>
        <w:tc>
          <w:tcPr>
            <w:tcW w:w="2835" w:type="dxa"/>
            <w:vAlign w:val="center"/>
          </w:tcPr>
          <w:p>
            <w:pPr>
              <w:pStyle w:val="42"/>
              <w:adjustRightInd w:val="0"/>
              <w:textAlignment w:val="baseline"/>
            </w:pPr>
            <w:r>
              <w:rPr>
                <w:rFonts w:hint="eastAsia"/>
              </w:rPr>
              <w:t>拟建项目不属于码头项目</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2．除因线位调整原因引起的过江通道选址变更外，禁止建设不符合《长江干线过江通道布局规划》的过长江通道项目。</w:t>
            </w:r>
          </w:p>
        </w:tc>
        <w:tc>
          <w:tcPr>
            <w:tcW w:w="2835" w:type="dxa"/>
            <w:vAlign w:val="center"/>
          </w:tcPr>
          <w:p>
            <w:pPr>
              <w:pStyle w:val="42"/>
              <w:adjustRightInd w:val="0"/>
              <w:textAlignment w:val="baseline"/>
            </w:pPr>
            <w:r>
              <w:rPr>
                <w:rFonts w:hint="eastAsia"/>
              </w:rPr>
              <w:t>拟建项目不属于过长江通道项目</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3．禁止在自然保护区核心区和缓冲区内开展任何形式的开发建设活动、建设任何生产设施。</w:t>
            </w:r>
          </w:p>
        </w:tc>
        <w:tc>
          <w:tcPr>
            <w:tcW w:w="2835" w:type="dxa"/>
            <w:vAlign w:val="center"/>
          </w:tcPr>
          <w:p>
            <w:pPr>
              <w:pStyle w:val="42"/>
              <w:adjustRightInd w:val="0"/>
              <w:textAlignment w:val="baseline"/>
            </w:pPr>
            <w:r>
              <w:rPr>
                <w:rFonts w:hint="eastAsia"/>
              </w:rPr>
              <w:t>拟建项目位于重庆（长寿）经济技术开发区，不在自然保护区核心区和缓冲区内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4．禁止在自然保护区内进行砍伐、放牧、狩猎、捕捞、采药、开垦、烧荒、开矿、采石、挖沙等活动。</w:t>
            </w:r>
          </w:p>
        </w:tc>
        <w:tc>
          <w:tcPr>
            <w:tcW w:w="2835" w:type="dxa"/>
            <w:vAlign w:val="center"/>
          </w:tcPr>
          <w:p>
            <w:pPr>
              <w:pStyle w:val="42"/>
              <w:adjustRightInd w:val="0"/>
              <w:textAlignment w:val="baseline"/>
            </w:pPr>
            <w:r>
              <w:rPr>
                <w:rFonts w:hint="eastAsia"/>
              </w:rPr>
              <w:t>拟建项目位于重庆（长寿）经济技术开发区，不在自然保护区内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5．禁止在自然保护区修筑以下设施：光伏发电、风力发电、火力发电等项目的设施；高尔夫球场开发、房地产开发、会所建设等项目的设施；社会资金进行商业性探矿勘查，以及不属于国家紧缺矿种资源的基础地质调查和矿产公益性远景调查的设施；野生动物驯养繁殖、展览基地建设项目；污染环境、破坏自然资源或者自然景观的设施；对自然保护区主要保护对象产生重大影响、改变自然资源完整性、自然景观的设施；其他不符合自然保护区主体功能定位的设施。</w:t>
            </w:r>
          </w:p>
        </w:tc>
        <w:tc>
          <w:tcPr>
            <w:tcW w:w="2835" w:type="dxa"/>
            <w:vAlign w:val="center"/>
          </w:tcPr>
          <w:p>
            <w:pPr>
              <w:pStyle w:val="42"/>
              <w:adjustRightInd w:val="0"/>
              <w:textAlignment w:val="baseline"/>
            </w:pPr>
            <w:r>
              <w:rPr>
                <w:rFonts w:hint="eastAsia"/>
              </w:rPr>
              <w:t>拟建项目位于重庆（长寿）经济技术开发区，不在自然保护区内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6．禁止在全市7个国家级、29个市级风景名胜区内开山、采石、开矿、开荒、修坟立碑等破坏景观、植被和地形地貌的活动；禁止修建储存爆炸性、易燃性、放射性、毒害性、腐蚀性物品的设施；禁止设立各类开发区；禁止建设风电场项目。</w:t>
            </w:r>
          </w:p>
        </w:tc>
        <w:tc>
          <w:tcPr>
            <w:tcW w:w="2835" w:type="dxa"/>
            <w:vAlign w:val="center"/>
          </w:tcPr>
          <w:p>
            <w:pPr>
              <w:pStyle w:val="42"/>
              <w:adjustRightInd w:val="0"/>
              <w:textAlignment w:val="baseline"/>
            </w:pPr>
            <w:r>
              <w:rPr>
                <w:rFonts w:hint="eastAsia"/>
              </w:rPr>
              <w:t>拟建项目位于重庆（长寿）经济技术开发区，不在全市7个国家级、29个市级风景名胜区内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7．禁止在核心景区内建设宾馆、招待所、培训中心、疗养院以及与风景名胜资源保护无关的其他建筑物。</w:t>
            </w:r>
          </w:p>
        </w:tc>
        <w:tc>
          <w:tcPr>
            <w:tcW w:w="2835" w:type="dxa"/>
            <w:vAlign w:val="center"/>
          </w:tcPr>
          <w:p>
            <w:pPr>
              <w:pStyle w:val="42"/>
              <w:adjustRightInd w:val="0"/>
              <w:textAlignment w:val="baseline"/>
            </w:pPr>
            <w:r>
              <w:rPr>
                <w:rFonts w:hint="eastAsia"/>
              </w:rPr>
              <w:t>拟建项目位于重庆（长寿）经济技术开发区，不在核心景区内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8．在长江三峡风景名胜区（重庆）内，除船舶污染物接收、转运和处置工程以及清漂码头等环保设施项目外，禁止建设工业固体废物集中贮存、处置的设施、场所和生活垃圾填埋场。</w:t>
            </w:r>
          </w:p>
        </w:tc>
        <w:tc>
          <w:tcPr>
            <w:tcW w:w="2835" w:type="dxa"/>
            <w:vAlign w:val="center"/>
          </w:tcPr>
          <w:p>
            <w:pPr>
              <w:pStyle w:val="42"/>
              <w:adjustRightInd w:val="0"/>
              <w:textAlignment w:val="baseline"/>
            </w:pPr>
            <w:r>
              <w:rPr>
                <w:rFonts w:hint="eastAsia"/>
              </w:rPr>
              <w:t>拟建项目位于重庆（长寿）经济技术开发区，不在长江三峡风景名胜区（重庆）内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9．在长江三峡风景名胜区（重庆）内，除风景名胜区必要的交通等配套设施外，禁止违反风景名胜区规划，设立各类开发区和在核心景区内建设宾馆、招待所、培训中心、疗养院以及与风景名胜资源保护无关的其他建筑物。</w:t>
            </w:r>
          </w:p>
        </w:tc>
        <w:tc>
          <w:tcPr>
            <w:tcW w:w="2835" w:type="dxa"/>
            <w:vAlign w:val="center"/>
          </w:tcPr>
          <w:p>
            <w:pPr>
              <w:pStyle w:val="42"/>
              <w:adjustRightInd w:val="0"/>
              <w:textAlignment w:val="baseline"/>
            </w:pPr>
            <w:r>
              <w:rPr>
                <w:rFonts w:hint="eastAsia"/>
              </w:rPr>
              <w:t>拟建项目位于重庆（长寿）经济技术开发区，不在长江三峡风景名胜区（重庆）内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10．中国南方喀斯特武隆喀斯特世界自然遗产等2处世界自然遗产，参照《风景名胜区条例》执行有关禁止项目。</w:t>
            </w:r>
          </w:p>
        </w:tc>
        <w:tc>
          <w:tcPr>
            <w:tcW w:w="2835" w:type="dxa"/>
            <w:vAlign w:val="center"/>
          </w:tcPr>
          <w:p>
            <w:pPr>
              <w:pStyle w:val="42"/>
              <w:adjustRightInd w:val="0"/>
              <w:textAlignment w:val="baseline"/>
            </w:pPr>
            <w:r>
              <w:rPr>
                <w:rFonts w:hint="eastAsia"/>
              </w:rPr>
              <w:t>拟建项目位于重庆（长寿）经济技术开发区，不在武隆喀斯特世界自然遗内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11．在长江上游珍稀特有鱼类国家级自然保护区（重庆）核心区、缓冲区的岸线，除区域重点环保搬迁置换项目和重大战略配套岸线开发项目，在满足生态环保要求的前提下给予支持外，原则不得新建任何生产设施。</w:t>
            </w:r>
          </w:p>
        </w:tc>
        <w:tc>
          <w:tcPr>
            <w:tcW w:w="2835" w:type="dxa"/>
            <w:vAlign w:val="center"/>
          </w:tcPr>
          <w:p>
            <w:pPr>
              <w:pStyle w:val="42"/>
              <w:adjustRightInd w:val="0"/>
              <w:textAlignment w:val="baseline"/>
            </w:pPr>
            <w:r>
              <w:rPr>
                <w:rFonts w:hint="eastAsia"/>
              </w:rPr>
              <w:t>拟建项目位于重庆（长寿）经济技术开发区，不在在长江上游珍稀特有鱼类国家级自然保护区（重庆）核心区、缓冲区的岸线</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12．禁止在长江上游珍稀特有鱼类国家级自然保护区（重庆）内新建及改扩建（除按现有等级维护外）公路、铁路和其他基础设施损害自然保护区核心区、缓冲区生态功能。</w:t>
            </w:r>
          </w:p>
        </w:tc>
        <w:tc>
          <w:tcPr>
            <w:tcW w:w="2835" w:type="dxa"/>
            <w:vAlign w:val="center"/>
          </w:tcPr>
          <w:p>
            <w:pPr>
              <w:pStyle w:val="42"/>
              <w:adjustRightInd w:val="0"/>
              <w:textAlignment w:val="baseline"/>
            </w:pPr>
            <w:r>
              <w:rPr>
                <w:rFonts w:hint="eastAsia"/>
              </w:rPr>
              <w:t>拟建项目位于重庆（长寿）经济技术开发区，不在长江上游珍稀特有鱼类国家级自然保护区内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13．在重庆市金佛山国家级自然保护区等6个自然保护区内，除公路、铁路等重大民生基础设施类线性工程项目可采取无害化穿越方式以外，新建及改扩建其他基础设施不得占用自然保护区核心区、缓冲区。</w:t>
            </w:r>
          </w:p>
        </w:tc>
        <w:tc>
          <w:tcPr>
            <w:tcW w:w="2835" w:type="dxa"/>
            <w:vAlign w:val="center"/>
          </w:tcPr>
          <w:p>
            <w:pPr>
              <w:pStyle w:val="42"/>
              <w:adjustRightInd w:val="0"/>
              <w:textAlignment w:val="baseline"/>
            </w:pPr>
            <w:r>
              <w:rPr>
                <w:rFonts w:hint="eastAsia"/>
              </w:rPr>
              <w:t>拟建项目位于重庆（长寿）经济技术开发区，不在重庆市金佛山国家级自然保护区等6个自然保护区内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14．禁止在国家湿地公园内开（围）垦、填埋或者排干湿地；禁止截断湿地水源；禁止挖沙、采矿；禁止倾倒有毒有害物质、废弃物、垃圾；禁止从事房地产、度假村、高尔夫球场、风力发电、光伏发电等任何不符合主体功能定位的建设项目和开发活动；禁止破坏野生动物栖息地和迁徙通道、鱼类洄游通道，滥采滥捕野生动植物；禁止引入外来物种；禁止其他破坏湿地及其生态功能的活动。</w:t>
            </w:r>
          </w:p>
        </w:tc>
        <w:tc>
          <w:tcPr>
            <w:tcW w:w="2835" w:type="dxa"/>
            <w:vAlign w:val="center"/>
          </w:tcPr>
          <w:p>
            <w:pPr>
              <w:pStyle w:val="42"/>
              <w:adjustRightInd w:val="0"/>
              <w:textAlignment w:val="baseline"/>
            </w:pPr>
            <w:r>
              <w:rPr>
                <w:rFonts w:hint="eastAsia"/>
              </w:rPr>
              <w:t>拟建项目位于重庆（长寿）经济技术开发区，不在国家湿地公园内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15．禁止在市级以上森林公园内开展毁林开垦、开矿、采石、采砂、采土活动；禁止从事污染环境、破坏自然资源或自然景观的活动。</w:t>
            </w:r>
          </w:p>
        </w:tc>
        <w:tc>
          <w:tcPr>
            <w:tcW w:w="2835" w:type="dxa"/>
            <w:vAlign w:val="center"/>
          </w:tcPr>
          <w:p>
            <w:pPr>
              <w:pStyle w:val="42"/>
              <w:adjustRightInd w:val="0"/>
              <w:textAlignment w:val="baseline"/>
            </w:pPr>
            <w:r>
              <w:rPr>
                <w:rFonts w:hint="eastAsia"/>
              </w:rPr>
              <w:t>拟建项目位于重庆（长寿）经济技术开发区，不在市级以上森林公园内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16．禁止在市级以上森林公园核心景观区内规划建设宾馆、招待所等住宿类建设项目和餐饮、购物、娱乐、疗养院等工程设施。</w:t>
            </w:r>
          </w:p>
        </w:tc>
        <w:tc>
          <w:tcPr>
            <w:tcW w:w="2835" w:type="dxa"/>
            <w:vAlign w:val="center"/>
          </w:tcPr>
          <w:p>
            <w:pPr>
              <w:pStyle w:val="42"/>
              <w:adjustRightInd w:val="0"/>
              <w:textAlignment w:val="baseline"/>
            </w:pPr>
            <w:r>
              <w:rPr>
                <w:rFonts w:hint="eastAsia"/>
              </w:rPr>
              <w:t>拟建项目位于重庆（长寿）经济技术开发区，不在市级以上森林公园核心景观区</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17．在集中式饮用水水源准保护区内禁止下列行为：设置排污口；新建、扩建对水体污染严重的建设项目，改建增加排污量的建设项目；堆放、存贮可能造成水体污染的物品；违反法律、法规规定的其他行为。</w:t>
            </w:r>
          </w:p>
        </w:tc>
        <w:tc>
          <w:tcPr>
            <w:tcW w:w="2835" w:type="dxa"/>
            <w:vAlign w:val="center"/>
          </w:tcPr>
          <w:p>
            <w:pPr>
              <w:pStyle w:val="42"/>
              <w:adjustRightInd w:val="0"/>
              <w:textAlignment w:val="baseline"/>
            </w:pPr>
            <w:r>
              <w:rPr>
                <w:rFonts w:hint="eastAsia"/>
              </w:rPr>
              <w:t>拟建项目位于重庆（长寿）经济技术开发区，不在集中式饮用水水源准保护区内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18．在集中式饮用水水源二级保护区内，除遵守准保护区管理规定外，还应当禁止下列行为：新建、改建、扩建排放污染物的建设项目；已建成的排放污染物的建设项目，由区县（自治县）人民政府责令拆除或者关闭；设立从事危险化学品、煤炭、矿砂、水泥等装卸作业的货运码头等与供水无关的构（建）筑物；设置经营性餐饮、娱乐设施；从事采砂、水产养殖等活动；建设畜禽养殖场、养殖专业户。散养户产生的养殖废物应当全部资源化利用，未经处理不得向水体直接倾倒畜禽粪便或者排放养殖污水；使用土壤净化污水；新增使用农药、化肥的农业种植。已有农业种植应当有序调整为生态有机农业，实施科学种植和污染防治。在饮用水水源二级保护区内从事旅游活动的，应当按照规定采取措施，防止污染饮用水水体。</w:t>
            </w:r>
          </w:p>
        </w:tc>
        <w:tc>
          <w:tcPr>
            <w:tcW w:w="2835" w:type="dxa"/>
            <w:vAlign w:val="center"/>
          </w:tcPr>
          <w:p>
            <w:pPr>
              <w:pStyle w:val="42"/>
              <w:adjustRightInd w:val="0"/>
              <w:textAlignment w:val="baseline"/>
            </w:pPr>
            <w:r>
              <w:rPr>
                <w:rFonts w:hint="eastAsia"/>
              </w:rPr>
              <w:t>拟建项目位于重庆（长寿）经济技术开发区，不在集中式饮用水水源二级保护区内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19．在集中式饮用水水源一级保护区内，除遵守准保护区、二级保护区管理规定外，还应当禁止下列行为：新建、改建、扩建与供水设施和保护水源无关的建设项目。已建成的旅游码头和航运、海事等管理部门工作码头等与供水设施和保护水源无关的建设项目，由区县（自治县）人民政府责令拆除或者关闭；旅游、游泳、垂钓、畜禽养殖或者其他可能污染饮用水水源的活动；从事农业种植。已有的农业种植，区县（自治县）人民政府应当制定限期退出计划，并组织实施。</w:t>
            </w:r>
          </w:p>
        </w:tc>
        <w:tc>
          <w:tcPr>
            <w:tcW w:w="2835" w:type="dxa"/>
            <w:vAlign w:val="center"/>
          </w:tcPr>
          <w:p>
            <w:pPr>
              <w:pStyle w:val="42"/>
              <w:adjustRightInd w:val="0"/>
              <w:textAlignment w:val="baseline"/>
            </w:pPr>
            <w:r>
              <w:rPr>
                <w:rFonts w:hint="eastAsia"/>
              </w:rPr>
              <w:t>拟建项目位于重庆（长寿）经济技术开发区，不在集中式饮用水水源一级保护区内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20．禁止在长江重庆段四大家鱼国家级水产种质资源保护区内新建排污口。水产种质资源保护区内需建设港口码头等岸线利用项目的，应开展建设项目对水产种质资源保护区的影响专题论证工作。</w:t>
            </w:r>
          </w:p>
        </w:tc>
        <w:tc>
          <w:tcPr>
            <w:tcW w:w="2835" w:type="dxa"/>
            <w:vAlign w:val="center"/>
          </w:tcPr>
          <w:p>
            <w:pPr>
              <w:pStyle w:val="42"/>
              <w:adjustRightInd w:val="0"/>
              <w:textAlignment w:val="baseline"/>
            </w:pPr>
            <w:r>
              <w:rPr>
                <w:rFonts w:hint="eastAsia"/>
              </w:rPr>
              <w:t>拟建项目位于重庆（长寿）经济技术开发区，且不新建排污口</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21．在为保障防洪安全和河势稳定划定的岸线保护区内，禁止建设可能影响防洪安全、河势稳定及分蓄洪区正常运用的建设项目。</w:t>
            </w:r>
          </w:p>
        </w:tc>
        <w:tc>
          <w:tcPr>
            <w:tcW w:w="2835" w:type="dxa"/>
            <w:vAlign w:val="center"/>
          </w:tcPr>
          <w:p>
            <w:pPr>
              <w:pStyle w:val="42"/>
              <w:adjustRightInd w:val="0"/>
              <w:textAlignment w:val="baseline"/>
            </w:pPr>
            <w:r>
              <w:rPr>
                <w:rFonts w:hint="eastAsia"/>
              </w:rPr>
              <w:t>拟建项目位于重庆（长寿）经济技术开发区，不在保障防洪安全和河势稳定划定的岸线保护区内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22．在为保障供水安全划定的岸线保护区内，禁止新建、扩建与供水设施和保护水源无关的建设项目。</w:t>
            </w:r>
          </w:p>
        </w:tc>
        <w:tc>
          <w:tcPr>
            <w:tcW w:w="2835" w:type="dxa"/>
            <w:vAlign w:val="center"/>
          </w:tcPr>
          <w:p>
            <w:pPr>
              <w:pStyle w:val="42"/>
              <w:adjustRightInd w:val="0"/>
              <w:textAlignment w:val="baseline"/>
            </w:pPr>
            <w:r>
              <w:rPr>
                <w:rFonts w:hint="eastAsia"/>
              </w:rPr>
              <w:t>拟建项目位于重庆（长寿）经济技术开发区，不在供水安全划定的岸线保护区内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23．为保护生态环境划定的岸线保护区内不得从事以下活动：长江珍稀特有鱼类国家级自然保护区的岸线保护区建设任何生产设施，嘉陵江南方大口鲶国家级水产种质资源保护区的岸线保护区围垦和建设排污口，在缙云山风景名胜区核心区的岸线保护区建设违反风景名胜区规划以及风景名胜资源保护无关的项目，在湿地范围内的岸线保护区建设破坏湿地及其生态功能的项目。</w:t>
            </w:r>
          </w:p>
        </w:tc>
        <w:tc>
          <w:tcPr>
            <w:tcW w:w="2835" w:type="dxa"/>
            <w:vAlign w:val="center"/>
          </w:tcPr>
          <w:p>
            <w:pPr>
              <w:pStyle w:val="42"/>
              <w:adjustRightInd w:val="0"/>
              <w:textAlignment w:val="baseline"/>
            </w:pPr>
            <w:r>
              <w:rPr>
                <w:rFonts w:hint="eastAsia"/>
              </w:rPr>
              <w:t>拟建项目位于重庆（长寿）经济技术开发区，不在保护生态环境划定的岸线保护区内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24．在为保护重要枢纽工程划定的岸线保护区内，禁止建设可能影响重要枢纽安全与正常运行的项目。</w:t>
            </w:r>
          </w:p>
        </w:tc>
        <w:tc>
          <w:tcPr>
            <w:tcW w:w="2835" w:type="dxa"/>
            <w:vAlign w:val="center"/>
          </w:tcPr>
          <w:p>
            <w:pPr>
              <w:pStyle w:val="42"/>
              <w:adjustRightInd w:val="0"/>
              <w:textAlignment w:val="baseline"/>
            </w:pPr>
            <w:r>
              <w:rPr>
                <w:rFonts w:hint="eastAsia"/>
              </w:rPr>
              <w:t>拟建项目位于重庆（长寿）经济技术开发区，不在为保护重要枢纽工程划定的岸线保护区内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25．对因暂不具备开发利用条件划定的岸线保留区，待河势趋于稳定，具备岸线开发利用条件后，或不影响后续防洪治理、河道治理及航道整治前提下，方可开发利用。</w:t>
            </w:r>
          </w:p>
        </w:tc>
        <w:tc>
          <w:tcPr>
            <w:tcW w:w="2835" w:type="dxa"/>
            <w:vAlign w:val="center"/>
          </w:tcPr>
          <w:p>
            <w:pPr>
              <w:pStyle w:val="42"/>
              <w:adjustRightInd w:val="0"/>
              <w:textAlignment w:val="baseline"/>
            </w:pPr>
            <w:r>
              <w:rPr>
                <w:rFonts w:hint="eastAsia"/>
              </w:rPr>
              <w:t>拟建项目位于重庆（长寿）经济技术开发区，不在暂不具备开发利用条件划定的岸线保留区内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26．为生态环境保护划定的岸线保留区内不得从事以下活动：自然保护区缓冲区内划定的岸线保留区建设任何生产设施；自然保护区实验区内划定的岸线保留区建设污染环境、破坏资源的生产设施和其他项目，饮用水水源二级保护区内的岸线保留区建设排放污染物的建设项目，水产种质资源保护区内的岸线保留区禁止围垦和建设排污口，国家湿地公园等生态敏感区内的岸线保留区建设影响其保护目标的项目。</w:t>
            </w:r>
          </w:p>
        </w:tc>
        <w:tc>
          <w:tcPr>
            <w:tcW w:w="2835" w:type="dxa"/>
            <w:vAlign w:val="center"/>
          </w:tcPr>
          <w:p>
            <w:pPr>
              <w:pStyle w:val="42"/>
              <w:adjustRightInd w:val="0"/>
              <w:textAlignment w:val="baseline"/>
            </w:pPr>
            <w:r>
              <w:rPr>
                <w:rFonts w:hint="eastAsia"/>
              </w:rPr>
              <w:t>拟建项目位于重庆（长寿）经济技术开发区，不在为生态环境保护划定的岸线保留区内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27．为满足生活生态岸线开发需要划定的岸线保留区，除建设生态公园、江滩风光带等项目外，不得建设其他生产设施。</w:t>
            </w:r>
          </w:p>
        </w:tc>
        <w:tc>
          <w:tcPr>
            <w:tcW w:w="2835" w:type="dxa"/>
            <w:vAlign w:val="center"/>
          </w:tcPr>
          <w:p>
            <w:pPr>
              <w:pStyle w:val="42"/>
              <w:adjustRightInd w:val="0"/>
              <w:textAlignment w:val="baseline"/>
            </w:pPr>
            <w:r>
              <w:rPr>
                <w:rFonts w:hint="eastAsia"/>
              </w:rPr>
              <w:t>拟建项目位于重庆（长寿）经济技术开发区，不在为满足生活生态岸线开发需要划定的岸线保留区内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28．因规划期内暂无开发利用需求划定的岸线保留区，因经济社会发展确需开发利用的，经充分论证并按照法律法规要求履行相关手续后，可参照岸线开发利用区或控制利用区管理。</w:t>
            </w:r>
          </w:p>
        </w:tc>
        <w:tc>
          <w:tcPr>
            <w:tcW w:w="2835" w:type="dxa"/>
            <w:vAlign w:val="center"/>
          </w:tcPr>
          <w:p>
            <w:pPr>
              <w:pStyle w:val="42"/>
              <w:adjustRightInd w:val="0"/>
              <w:textAlignment w:val="baseline"/>
            </w:pPr>
            <w:r>
              <w:rPr>
                <w:rFonts w:hint="eastAsia"/>
              </w:rPr>
              <w:t>拟建项目位于重庆（长寿）经济技术开发区，不在因规划期内暂无开发利用需求划定的岸线保留区</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29．禁止在《全国重要江河湖泊水功能区划》划定的河段保护区内新建、改建、扩建与保护无关的建设项目和从事与保护无关的涉水活动；保留区内应当控制经济社会活动对水的影响，严格限制可能对其水量、水质、水生态造成重大影响的活动，禁止投资建设不利于水资源及自然生态保护的项目。</w:t>
            </w:r>
          </w:p>
        </w:tc>
        <w:tc>
          <w:tcPr>
            <w:tcW w:w="2835" w:type="dxa"/>
            <w:vAlign w:val="center"/>
          </w:tcPr>
          <w:p>
            <w:pPr>
              <w:pStyle w:val="42"/>
              <w:adjustRightInd w:val="0"/>
              <w:textAlignment w:val="baseline"/>
            </w:pPr>
            <w:r>
              <w:rPr>
                <w:rFonts w:hint="eastAsia"/>
              </w:rPr>
              <w:t>拟建项目位于重庆（长寿）经济技术开发区，不在《全国重要江河湖泊水功能区划》划定的河段保护区内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30．禁止在生态保护红线内开展矿产资源开发、房地产开发活动。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31．禁止在生态保护红线内开展围田湖、采砂等破坏河湖岸线等活动。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32．禁止在生态保护红线内开展大规模农业开发活动，包括大面积开荒，规模化养殖、捕捞活动。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33．禁止在生态保护红线内开展纺织印染、制革、造纸印刷、石化、化工、医药、非金属、黑色金属、有色金属等制造业活动。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34．禁止在生态保护红线内开展客（货）运车站、港口、机场建设活动，火力发电、核力发电活动，以及危险品仓储活动等。</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35．禁止在生态保护红线内开展生产《环境保护综合名录（2017年版）》所列“高污染、高环境风险”产品的活动。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36．禁止在生态保护红线内开展《环境污染强制责任保险管理办法》所指的环境高风险生产经营活动。</w:t>
            </w:r>
          </w:p>
        </w:tc>
        <w:tc>
          <w:tcPr>
            <w:tcW w:w="2835" w:type="dxa"/>
            <w:vAlign w:val="center"/>
          </w:tcPr>
          <w:p>
            <w:pPr>
              <w:pStyle w:val="42"/>
              <w:adjustRightInd w:val="0"/>
              <w:textAlignment w:val="baseline"/>
            </w:pPr>
            <w:r>
              <w:rPr>
                <w:rFonts w:hint="eastAsia"/>
              </w:rPr>
              <w:t>拟建项目位于重庆（长寿）经济技术开发区，不在生态保护红线内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37．对长江干支流1公里范围内新建、扩建化工、纺织、造纸等存在污染风险的工业项目，各级发展改革部门不得予以核准、备案，各级规划自然资源、生态环境、市场监管、应急管理部门不得办理有关手续。对长江干支流5公里范围内新建工业园区、以及现有化工园区在长江干支流1公里范围内进行拓展的，市经济信息委、市商务委、市科技局、市规划自然资源局按职责不得办理相关手续。</w:t>
            </w:r>
          </w:p>
        </w:tc>
        <w:tc>
          <w:tcPr>
            <w:tcW w:w="2835" w:type="dxa"/>
            <w:vAlign w:val="center"/>
          </w:tcPr>
          <w:p>
            <w:pPr>
              <w:pStyle w:val="42"/>
              <w:adjustRightInd w:val="0"/>
              <w:textAlignment w:val="baseline"/>
            </w:pPr>
            <w:r>
              <w:rPr>
                <w:rFonts w:hint="eastAsia"/>
              </w:rPr>
              <w:t>拟建项目位于重庆（长寿）经济技术开发区，不在长江干支流1公里范围内</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38．对在《中国开发区审核公告目录（2018年版）》以外实施的新建、扩建钢铁、石化、化工、焦化、建材、有色等高污染项目，以及其他单纯增加产能的工业技改（扩建）项目，各级发展改革部门、经济信息部门不得予以核准、备案，各级规划自然资源、生态环境、市场监管、应急管理部门不得办理有关手续。</w:t>
            </w:r>
          </w:p>
        </w:tc>
        <w:tc>
          <w:tcPr>
            <w:tcW w:w="2835" w:type="dxa"/>
            <w:vAlign w:val="center"/>
          </w:tcPr>
          <w:p>
            <w:pPr>
              <w:pStyle w:val="42"/>
              <w:adjustRightInd w:val="0"/>
              <w:textAlignment w:val="baseline"/>
            </w:pPr>
            <w:r>
              <w:rPr>
                <w:rFonts w:hint="eastAsia"/>
              </w:rPr>
              <w:t>拟建项目为基本化学原料制造项目，位于重庆（长寿）经济技术开发区，属于《中国开发区审核公告目录（2018年版）》中的主导产业</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39．对不符合《石化产业规划布局方案（修订版）》的新建、扩建石化项目，各级发展改革部门不得予以核准、备案，各级规划自然资源、生态环境、市场监管、应急管理部门不得办理有关手续。对不符合《现代煤化工产业创新发展布局方案》的新建、扩建煤化工项目，各级发展改革部门不得予以核准、备案，各级规划自然资源、生态环境、市场监管、应急管理部门不得办理有关手续。</w:t>
            </w:r>
          </w:p>
        </w:tc>
        <w:tc>
          <w:tcPr>
            <w:tcW w:w="2835" w:type="dxa"/>
            <w:vAlign w:val="center"/>
          </w:tcPr>
          <w:p>
            <w:pPr>
              <w:pStyle w:val="42"/>
              <w:adjustRightInd w:val="0"/>
              <w:textAlignment w:val="baseline"/>
            </w:pPr>
            <w:r>
              <w:rPr>
                <w:rFonts w:hint="eastAsia"/>
              </w:rPr>
              <w:t>拟建项目综合利用卡贝乐公司甲醇装置弛放气、补充部分天然气为原料合成氨，于2019年12月由重庆市长寿区发展和改革委员会备案（项目代码：2012-500115-04-05-924071）</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40．对属于《产业结构调整指导目录》限制类的新建、扩建项目，各级发展改革部门不得予以核准、备案，各级规划自然资源、生态环境、市场监管、应急管理部门不得办理有关手续。</w:t>
            </w:r>
          </w:p>
        </w:tc>
        <w:tc>
          <w:tcPr>
            <w:tcW w:w="2835" w:type="dxa"/>
            <w:vAlign w:val="center"/>
          </w:tcPr>
          <w:p>
            <w:pPr>
              <w:pStyle w:val="42"/>
              <w:adjustRightInd w:val="0"/>
              <w:textAlignment w:val="baseline"/>
            </w:pPr>
            <w:r>
              <w:rPr>
                <w:rFonts w:hint="eastAsia"/>
              </w:rPr>
              <w:t>拟建项目符合《产业结构调整指导目录》（2019）</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41．对属于《产业结构调整指导目录》淘汰类的项目，按照国务院《促进产业结构调整暂行规定》和《十六部门关于利用综合标准依法依归推动落后产能退出的指导意见》执行。</w:t>
            </w:r>
          </w:p>
        </w:tc>
        <w:tc>
          <w:tcPr>
            <w:tcW w:w="2835" w:type="dxa"/>
            <w:vAlign w:val="center"/>
          </w:tcPr>
          <w:p>
            <w:pPr>
              <w:pStyle w:val="42"/>
              <w:adjustRightInd w:val="0"/>
              <w:textAlignment w:val="baseline"/>
            </w:pPr>
            <w:r>
              <w:rPr>
                <w:rFonts w:hint="eastAsia"/>
              </w:rPr>
              <w:t>拟建项目符合《产业结构调整指导目录》（2019）</w:t>
            </w:r>
          </w:p>
        </w:tc>
        <w:tc>
          <w:tcPr>
            <w:tcW w:w="759" w:type="dxa"/>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vAlign w:val="center"/>
          </w:tcPr>
          <w:p>
            <w:pPr>
              <w:pStyle w:val="42"/>
              <w:adjustRightInd w:val="0"/>
              <w:textAlignment w:val="baseline"/>
            </w:pPr>
            <w:r>
              <w:rPr>
                <w:rFonts w:hint="eastAsia"/>
              </w:rPr>
              <w:t>42．钢铁、水泥、电解铝、平板玻璃、船舶等产能严重过剩行业且未按照国家有关规定取得相关产能置换指标的新建、扩建项目，各级发展改革部门不得予以核准、备案，各级规划自然资源、生态环境、市场监管、应急管理部门不得办理有关手续。</w:t>
            </w:r>
          </w:p>
        </w:tc>
        <w:tc>
          <w:tcPr>
            <w:tcW w:w="2835" w:type="dxa"/>
            <w:vAlign w:val="center"/>
          </w:tcPr>
          <w:p>
            <w:pPr>
              <w:pStyle w:val="42"/>
              <w:adjustRightInd w:val="0"/>
              <w:textAlignment w:val="baseline"/>
            </w:pPr>
            <w:r>
              <w:rPr>
                <w:rFonts w:hint="eastAsia"/>
              </w:rPr>
              <w:t>拟建项目不属于钢铁、水泥、电解铝、平板玻璃、船舶等产能严重过剩行业</w:t>
            </w:r>
          </w:p>
        </w:tc>
        <w:tc>
          <w:tcPr>
            <w:tcW w:w="759" w:type="dxa"/>
            <w:vAlign w:val="center"/>
          </w:tcPr>
          <w:p>
            <w:pPr>
              <w:pStyle w:val="42"/>
              <w:adjustRightInd w:val="0"/>
              <w:textAlignment w:val="baseline"/>
            </w:pPr>
            <w:r>
              <w:rPr>
                <w:rFonts w:hint="eastAsia"/>
              </w:rPr>
              <w:t>符合</w:t>
            </w:r>
          </w:p>
        </w:tc>
      </w:tr>
    </w:tbl>
    <w:p>
      <w:pPr>
        <w:pStyle w:val="4"/>
        <w:spacing w:before="156" w:after="156"/>
      </w:pPr>
      <w:bookmarkStart w:id="37" w:name="_Toc84844219"/>
      <w:r>
        <w:rPr>
          <w:rFonts w:hint="eastAsia"/>
        </w:rPr>
        <w:t>1.8.4与长寿区相关政策、规划符合性分析</w:t>
      </w:r>
      <w:bookmarkEnd w:id="37"/>
    </w:p>
    <w:p>
      <w:pPr>
        <w:pStyle w:val="5"/>
      </w:pPr>
      <w:r>
        <w:rPr>
          <w:rFonts w:hint="eastAsia"/>
        </w:rPr>
        <w:t>1.8.4.1《重庆市长寿区城乡总体规划》符合性分析</w:t>
      </w:r>
    </w:p>
    <w:p>
      <w:pPr>
        <w:ind w:firstLine="480"/>
      </w:pPr>
      <w:r>
        <w:rPr>
          <w:rFonts w:hint="eastAsia"/>
        </w:rPr>
        <w:t>根据《重庆市长寿区城乡总体规划》，城乡发展目标为紧紧把握重庆晋升国家中心城市和国家统筹城乡综合配套改革试验区等机遇，以建设“新长寿，新活”为发展愿景，近期以“五型长寿”为目标，将长寿区建设成为城乡经济繁荣、生态优美、和谐稳定、协调发展的小康社会；远期在全区范围内，以长寿中心城区为核心，透出城（镇）乡（村）有机融合的新型城乡体系，构建未来长寿人居环境的新生活画面。</w:t>
      </w:r>
    </w:p>
    <w:p>
      <w:pPr>
        <w:ind w:firstLine="480"/>
      </w:pPr>
      <w:r>
        <w:rPr>
          <w:rFonts w:hint="eastAsia"/>
        </w:rPr>
        <w:t>根据重庆市未来产业布局以及长寿区产业基础，自身优势和发展趋势，长寿区产业将以“三地一中心”积极融入全市产业发展战略，重点发展石油天然气化工、精细化工、钢铁及合成材料、现代农业、农副产业加工、商贸物流、旅游、机电、整车及零部件等产业，其中第一层次为化工和钢铁产业。</w:t>
      </w:r>
    </w:p>
    <w:p>
      <w:pPr>
        <w:ind w:firstLine="480"/>
      </w:pPr>
      <w:r>
        <w:rPr>
          <w:rFonts w:hint="eastAsia"/>
        </w:rPr>
        <w:t>中心城区2020年根据城市的自然条件和社会经济条件，结合功能分区，形成“一心四片，环状北拓”结构。“一心”为政治—经济—化工—钢铁中心，四片分别为化工园区片区、江南钢城片区、北部商住片区、北部工业片区，其中化工园区片区置换晏家镇用地，整合园区的化工产业，传承化工优势，完善“五个一体化”系统，合理配置市政基础设施，保证园区用水用电等需求，将之升级成为国家级经济开发区。</w:t>
      </w:r>
    </w:p>
    <w:p>
      <w:pPr>
        <w:ind w:firstLine="480"/>
      </w:pPr>
      <w:r>
        <w:rPr>
          <w:rFonts w:hint="eastAsia"/>
        </w:rPr>
        <w:t>拟建项目位于长寿经济技术开发区晏家组团，属于《重庆市长寿区城乡总体规划》的化工园区片区，本工程综合利用卡贝乐公司甲醇装置弛放气、补充部分天然气为原料合成氨，符合园区规划要求。重庆长寿经济技术开发区规划详见附图5。</w:t>
      </w:r>
    </w:p>
    <w:p>
      <w:pPr>
        <w:pStyle w:val="5"/>
      </w:pPr>
      <w:r>
        <w:rPr>
          <w:rFonts w:hint="eastAsia"/>
        </w:rPr>
        <w:t>1.8.4.2《长寿经济技术开发区晏家组团控制性详细规划环境影响报告书》及审查意见符合性分析</w:t>
      </w:r>
    </w:p>
    <w:p>
      <w:pPr>
        <w:ind w:firstLine="480"/>
      </w:pPr>
      <w:r>
        <w:rPr>
          <w:rFonts w:hint="eastAsia"/>
        </w:rPr>
        <w:t>长寿经济技术开发区是国务院2010年11月11日批准升级的国家级经济技术开发区，（以下简称“经开区”）。规划面积73.6平方公里，主要发展天然气化工、石油化工、钢铁冶金、新材料新能源、装备制造五大产业。</w:t>
      </w:r>
    </w:p>
    <w:p>
      <w:pPr>
        <w:ind w:firstLine="480"/>
      </w:pPr>
      <w:r>
        <w:rPr>
          <w:rFonts w:hint="eastAsia"/>
        </w:rPr>
        <w:t>按照地域特性，经开区分为晏家组团、江南组团、八颗组团、葛兰组团。其中，晏家组团主要发展天然气化工、石油化工、新材料新能源产业。根据《长寿经济技术开发区晏家组团控制性详细规划环境影响报告书》（2015 年），晏家组团包括A、B、D、E、F、G 标准分区；A标准分区为川维川染片区，主要企业为卡贝乐、亚太纸业、川维厂，规划发展用地为川维家属区西北侧化中大道和渝长高速围合的区域，主要发展污染较轻的企业；B标准分区主要企业为医药中间体和合成药品企业、云天化、川维厂，规划拟入驻重油深加工项目及川维煤顶气项目；D标准分区为晏家街道，主要为居民居住区；E标准分区主要企业为映天辉、海洲化学、重庆紫光、润江水泥、重钢钢构、重钢气体，规划发展工业用地较少，主要用于发展精细化工；F标准分区为原晏家工业园区，主要企业为国际复合、装备制造企业及电镀企业，规划发展工业用地较少；G标准分区为原化工园区北部拓展区，主要企业为巴斯夫及化医集团，拟入驻企业为化医煤定气项目、MTO一体化项目、福华集团项目。</w:t>
      </w:r>
    </w:p>
    <w:p>
      <w:pPr>
        <w:ind w:firstLine="480"/>
      </w:pPr>
      <w:r>
        <w:rPr>
          <w:rFonts w:hint="eastAsia"/>
        </w:rPr>
        <w:t>拟建项目位于晏家组团G标准分区，综合利用卡贝乐公司甲醇装置弛放气、补充部分天然气为原料合成氨，符合《长寿经济技术开发区晏家组团控制性详细规划环境影响报告书》及审查意见相关要求。</w:t>
      </w:r>
    </w:p>
    <w:p>
      <w:pPr>
        <w:pStyle w:val="5"/>
      </w:pPr>
      <w:r>
        <w:rPr>
          <w:rFonts w:hint="eastAsia"/>
        </w:rPr>
        <w:t>1.8.4.3“三线一单”符合性分析</w:t>
      </w:r>
    </w:p>
    <w:p>
      <w:pPr>
        <w:ind w:firstLine="480"/>
      </w:pPr>
      <w:r>
        <w:rPr>
          <w:rFonts w:hint="eastAsia"/>
        </w:rPr>
        <w:t>根据《重庆市人民政府关于印发重庆市生态文明建设“十三五”规划的通知》和《重庆市人民政府办公厅关于印发重庆市生态保护红线划定方案的通知，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ind w:firstLine="480"/>
      </w:pPr>
      <w:r>
        <w:rPr>
          <w:rFonts w:hint="eastAsia"/>
        </w:rPr>
        <w:t>（1）重庆市“三线一单”管控要求</w:t>
      </w:r>
    </w:p>
    <w:p>
      <w:pPr>
        <w:ind w:firstLine="480"/>
      </w:pPr>
      <w:r>
        <w:rPr>
          <w:rFonts w:hint="eastAsia"/>
        </w:rPr>
        <w:t>拟建项目与重庆市“三线一单”的符合性分析见下表1.8.4-1。</w:t>
      </w:r>
    </w:p>
    <w:p>
      <w:pPr>
        <w:pStyle w:val="41"/>
      </w:pPr>
      <w:r>
        <w:rPr>
          <w:rFonts w:hint="eastAsia"/>
        </w:rPr>
        <w:t>表1.8.4-1 重庆市总体管控要求</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128"/>
        <w:gridCol w:w="2978"/>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57" w:type="pct"/>
            <w:vAlign w:val="center"/>
          </w:tcPr>
          <w:p>
            <w:pPr>
              <w:pStyle w:val="42"/>
              <w:spacing w:line="300" w:lineRule="exact"/>
              <w:rPr>
                <w:sz w:val="18"/>
                <w:szCs w:val="18"/>
              </w:rPr>
            </w:pPr>
            <w:r>
              <w:rPr>
                <w:sz w:val="18"/>
                <w:szCs w:val="18"/>
              </w:rPr>
              <w:t>管控类别</w:t>
            </w:r>
          </w:p>
        </w:tc>
        <w:tc>
          <w:tcPr>
            <w:tcW w:w="1835" w:type="pct"/>
            <w:vAlign w:val="center"/>
          </w:tcPr>
          <w:p>
            <w:pPr>
              <w:pStyle w:val="42"/>
              <w:spacing w:line="300" w:lineRule="exact"/>
              <w:rPr>
                <w:sz w:val="18"/>
                <w:szCs w:val="18"/>
              </w:rPr>
            </w:pPr>
            <w:r>
              <w:rPr>
                <w:sz w:val="18"/>
                <w:szCs w:val="18"/>
              </w:rPr>
              <w:t>总体管控要求</w:t>
            </w:r>
          </w:p>
        </w:tc>
        <w:tc>
          <w:tcPr>
            <w:tcW w:w="1747" w:type="pct"/>
            <w:vAlign w:val="center"/>
          </w:tcPr>
          <w:p>
            <w:pPr>
              <w:pStyle w:val="42"/>
              <w:spacing w:line="300" w:lineRule="exact"/>
              <w:rPr>
                <w:sz w:val="18"/>
                <w:szCs w:val="18"/>
              </w:rPr>
            </w:pPr>
            <w:r>
              <w:rPr>
                <w:sz w:val="18"/>
                <w:szCs w:val="18"/>
              </w:rPr>
              <w:t>项目情况</w:t>
            </w:r>
          </w:p>
        </w:tc>
        <w:tc>
          <w:tcPr>
            <w:tcW w:w="861" w:type="pct"/>
            <w:vAlign w:val="center"/>
          </w:tcPr>
          <w:p>
            <w:pPr>
              <w:pStyle w:val="42"/>
              <w:spacing w:line="300" w:lineRule="exact"/>
              <w:rPr>
                <w:sz w:val="18"/>
                <w:szCs w:val="18"/>
              </w:rPr>
            </w:pPr>
            <w:r>
              <w:rPr>
                <w:rFonts w:hint="eastAsia"/>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8" w:hRule="atLeast"/>
        </w:trPr>
        <w:tc>
          <w:tcPr>
            <w:tcW w:w="557" w:type="pct"/>
            <w:vAlign w:val="center"/>
          </w:tcPr>
          <w:p>
            <w:pPr>
              <w:pStyle w:val="42"/>
              <w:spacing w:line="300" w:lineRule="exact"/>
              <w:rPr>
                <w:sz w:val="18"/>
                <w:szCs w:val="18"/>
              </w:rPr>
            </w:pPr>
            <w:r>
              <w:rPr>
                <w:sz w:val="18"/>
                <w:szCs w:val="18"/>
              </w:rPr>
              <w:t>环境管控划分</w:t>
            </w:r>
          </w:p>
        </w:tc>
        <w:tc>
          <w:tcPr>
            <w:tcW w:w="1835" w:type="pct"/>
            <w:vAlign w:val="center"/>
          </w:tcPr>
          <w:p>
            <w:pPr>
              <w:pStyle w:val="42"/>
              <w:spacing w:line="300" w:lineRule="exact"/>
              <w:rPr>
                <w:sz w:val="18"/>
                <w:szCs w:val="18"/>
              </w:rPr>
            </w:pPr>
            <w:r>
              <w:rPr>
                <w:rFonts w:hint="eastAsia"/>
                <w:sz w:val="18"/>
                <w:szCs w:val="18"/>
              </w:rPr>
              <w:t>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w:t>
            </w:r>
          </w:p>
        </w:tc>
        <w:tc>
          <w:tcPr>
            <w:tcW w:w="1747" w:type="pct"/>
            <w:vAlign w:val="center"/>
          </w:tcPr>
          <w:p>
            <w:pPr>
              <w:pStyle w:val="42"/>
              <w:spacing w:line="300" w:lineRule="exact"/>
              <w:rPr>
                <w:sz w:val="18"/>
                <w:szCs w:val="18"/>
              </w:rPr>
            </w:pPr>
            <w:r>
              <w:rPr>
                <w:rFonts w:hint="eastAsia"/>
                <w:sz w:val="18"/>
                <w:szCs w:val="18"/>
              </w:rPr>
              <w:t xml:space="preserve">拟建项目位于长寿经开区晏家组团B标准分区晏B10-02/04东部地块，属于重点管控单元，重点管控单元指涉及水、大气、土壤、自然资源等资源环境要素重点管控的区域，主要包括人口密集的城镇规划区和产业集聚的工业园区（工业集聚区）。 </w:t>
            </w:r>
          </w:p>
        </w:tc>
        <w:tc>
          <w:tcPr>
            <w:tcW w:w="861" w:type="pct"/>
            <w:vAlign w:val="center"/>
          </w:tcPr>
          <w:p>
            <w:pPr>
              <w:pStyle w:val="42"/>
              <w:spacing w:line="300" w:lineRule="exact"/>
              <w:rPr>
                <w:sz w:val="18"/>
                <w:szCs w:val="18"/>
              </w:rPr>
            </w:pPr>
            <w:r>
              <w:rPr>
                <w:rFonts w:hint="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7" w:type="pct"/>
            <w:vAlign w:val="center"/>
          </w:tcPr>
          <w:p>
            <w:pPr>
              <w:pStyle w:val="42"/>
              <w:spacing w:line="300" w:lineRule="exact"/>
              <w:rPr>
                <w:sz w:val="18"/>
                <w:szCs w:val="18"/>
              </w:rPr>
            </w:pPr>
            <w:r>
              <w:rPr>
                <w:sz w:val="18"/>
                <w:szCs w:val="18"/>
              </w:rPr>
              <w:t>分区环境</w:t>
            </w:r>
          </w:p>
          <w:p>
            <w:pPr>
              <w:pStyle w:val="42"/>
              <w:spacing w:line="300" w:lineRule="exact"/>
              <w:rPr>
                <w:sz w:val="18"/>
                <w:szCs w:val="18"/>
              </w:rPr>
            </w:pPr>
            <w:r>
              <w:rPr>
                <w:sz w:val="18"/>
                <w:szCs w:val="18"/>
              </w:rPr>
              <w:t>管控要求</w:t>
            </w:r>
          </w:p>
        </w:tc>
        <w:tc>
          <w:tcPr>
            <w:tcW w:w="1835" w:type="pct"/>
            <w:vAlign w:val="center"/>
          </w:tcPr>
          <w:p>
            <w:pPr>
              <w:pStyle w:val="42"/>
              <w:spacing w:line="300" w:lineRule="exact"/>
              <w:rPr>
                <w:sz w:val="18"/>
                <w:szCs w:val="18"/>
              </w:rPr>
            </w:pPr>
            <w:r>
              <w:rPr>
                <w:rFonts w:hint="eastAsia"/>
                <w:sz w:val="18"/>
                <w:szCs w:val="18"/>
              </w:rPr>
              <w:t xml:space="preserve">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 </w:t>
            </w:r>
          </w:p>
        </w:tc>
        <w:tc>
          <w:tcPr>
            <w:tcW w:w="1747" w:type="pct"/>
            <w:vAlign w:val="center"/>
          </w:tcPr>
          <w:p>
            <w:pPr>
              <w:pStyle w:val="42"/>
              <w:spacing w:line="300" w:lineRule="exact"/>
              <w:rPr>
                <w:sz w:val="18"/>
                <w:szCs w:val="18"/>
              </w:rPr>
            </w:pPr>
            <w:r>
              <w:rPr>
                <w:rFonts w:hint="eastAsia"/>
                <w:sz w:val="18"/>
                <w:szCs w:val="18"/>
              </w:rPr>
              <w:t>拟建项目位于</w:t>
            </w:r>
            <w:r>
              <w:rPr>
                <w:sz w:val="18"/>
                <w:szCs w:val="18"/>
              </w:rPr>
              <w:t>长寿经开区晏家组团</w:t>
            </w:r>
            <w:r>
              <w:rPr>
                <w:rFonts w:hint="eastAsia"/>
                <w:sz w:val="18"/>
                <w:szCs w:val="18"/>
              </w:rPr>
              <w:t>B标准分区晏B10-02/04东部地块，与晏家组团功能区定位相符。同时，拟建项目采用了严格的废气、废水、固废及噪声污染治理措施，污染防治措施技术经济可行，能确保各种污染物稳定达标排放，且排放的污染物对周围环境影响较小，不会改变区域环境功能；采取严格的风险防范措施后，环境风险可控。</w:t>
            </w:r>
          </w:p>
        </w:tc>
        <w:tc>
          <w:tcPr>
            <w:tcW w:w="861" w:type="pct"/>
            <w:vAlign w:val="center"/>
          </w:tcPr>
          <w:p>
            <w:pPr>
              <w:pStyle w:val="42"/>
              <w:spacing w:line="300" w:lineRule="exact"/>
              <w:rPr>
                <w:sz w:val="18"/>
                <w:szCs w:val="18"/>
              </w:rPr>
            </w:pPr>
            <w:r>
              <w:rPr>
                <w:rFonts w:hint="eastAsia"/>
                <w:sz w:val="18"/>
                <w:szCs w:val="18"/>
              </w:rPr>
              <w:t>符合</w:t>
            </w:r>
          </w:p>
        </w:tc>
      </w:tr>
    </w:tbl>
    <w:p>
      <w:pPr>
        <w:ind w:firstLine="480"/>
      </w:pPr>
      <w:r>
        <w:rPr>
          <w:rFonts w:hint="eastAsia"/>
        </w:rPr>
        <w:t>由上表可知，拟建项目符合重庆市“三线一单”管控要求。</w:t>
      </w:r>
    </w:p>
    <w:p>
      <w:pPr>
        <w:ind w:firstLine="480"/>
      </w:pPr>
      <w:r>
        <w:rPr>
          <w:rFonts w:hint="eastAsia"/>
        </w:rPr>
        <w:t>（2）长寿区“三线一单”管控要求</w:t>
      </w:r>
    </w:p>
    <w:p>
      <w:pPr>
        <w:ind w:firstLine="480"/>
      </w:pPr>
      <w:r>
        <w:rPr>
          <w:rFonts w:hint="eastAsia"/>
        </w:rPr>
        <w:t>拟建项目在长寿经济技术开发区晏家组团，环境管控单元编码：ZH50011520002，其中关于本项目所在地主要管控要求及项目符合性分析见下表1.8.4-1。</w:t>
      </w:r>
    </w:p>
    <w:p>
      <w:pPr>
        <w:ind w:firstLine="480"/>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NumType w:start="1"/>
          <w:cols w:space="425" w:num="1"/>
          <w:docGrid w:type="lines" w:linePitch="312" w:charSpace="0"/>
        </w:sectPr>
      </w:pPr>
      <w:r>
        <w:rPr>
          <w:rFonts w:hint="eastAsia"/>
        </w:rPr>
        <w:t>由上表1.8.4-1可知，拟建项目满足长寿区生态环境准入清单要求。</w:t>
      </w:r>
    </w:p>
    <w:p>
      <w:pPr>
        <w:pStyle w:val="41"/>
      </w:pPr>
      <w:r>
        <w:rPr>
          <w:rFonts w:hint="eastAsia"/>
        </w:rPr>
        <w:t>表1.8.4-1  长寿区生态环境准入清单符合性分析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992"/>
        <w:gridCol w:w="992"/>
        <w:gridCol w:w="1560"/>
        <w:gridCol w:w="5528"/>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856" w:type="dxa"/>
            <w:vAlign w:val="center"/>
          </w:tcPr>
          <w:p>
            <w:pPr>
              <w:pStyle w:val="42"/>
            </w:pPr>
            <w:r>
              <w:t>环境管控单元编码</w:t>
            </w:r>
          </w:p>
        </w:tc>
        <w:tc>
          <w:tcPr>
            <w:tcW w:w="992" w:type="dxa"/>
            <w:vAlign w:val="center"/>
          </w:tcPr>
          <w:p>
            <w:pPr>
              <w:pStyle w:val="42"/>
            </w:pPr>
            <w:r>
              <w:t>环境管控</w:t>
            </w:r>
          </w:p>
          <w:p>
            <w:pPr>
              <w:pStyle w:val="42"/>
            </w:pPr>
            <w:r>
              <w:t>单元名称</w:t>
            </w:r>
          </w:p>
        </w:tc>
        <w:tc>
          <w:tcPr>
            <w:tcW w:w="992" w:type="dxa"/>
            <w:vAlign w:val="center"/>
          </w:tcPr>
          <w:p>
            <w:pPr>
              <w:pStyle w:val="42"/>
            </w:pPr>
            <w:r>
              <w:t>环境管控</w:t>
            </w:r>
          </w:p>
          <w:p>
            <w:pPr>
              <w:pStyle w:val="42"/>
            </w:pPr>
            <w:r>
              <w:t>单元分类</w:t>
            </w:r>
          </w:p>
        </w:tc>
        <w:tc>
          <w:tcPr>
            <w:tcW w:w="1560" w:type="dxa"/>
            <w:vAlign w:val="center"/>
          </w:tcPr>
          <w:p>
            <w:pPr>
              <w:pStyle w:val="42"/>
            </w:pPr>
            <w:r>
              <w:t>管控类别</w:t>
            </w:r>
          </w:p>
        </w:tc>
        <w:tc>
          <w:tcPr>
            <w:tcW w:w="5528" w:type="dxa"/>
            <w:vAlign w:val="center"/>
          </w:tcPr>
          <w:p>
            <w:pPr>
              <w:pStyle w:val="42"/>
            </w:pPr>
            <w:r>
              <w:t>管控要求</w:t>
            </w:r>
          </w:p>
        </w:tc>
        <w:tc>
          <w:tcPr>
            <w:tcW w:w="4040" w:type="dxa"/>
            <w:vAlign w:val="center"/>
          </w:tcPr>
          <w:p>
            <w:pPr>
              <w:pStyle w:val="42"/>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5" w:hRule="atLeast"/>
          <w:jc w:val="center"/>
        </w:trPr>
        <w:tc>
          <w:tcPr>
            <w:tcW w:w="856" w:type="dxa"/>
            <w:vMerge w:val="restart"/>
            <w:vAlign w:val="center"/>
          </w:tcPr>
          <w:p>
            <w:pPr>
              <w:pStyle w:val="42"/>
            </w:pPr>
            <w:r>
              <w:t>ZH50011520002</w:t>
            </w:r>
          </w:p>
        </w:tc>
        <w:tc>
          <w:tcPr>
            <w:tcW w:w="992" w:type="dxa"/>
            <w:vMerge w:val="restart"/>
            <w:vAlign w:val="center"/>
          </w:tcPr>
          <w:p>
            <w:pPr>
              <w:pStyle w:val="42"/>
            </w:pPr>
            <w:r>
              <w:t>长寿区重点管控单元-长江长寿上游段</w:t>
            </w:r>
          </w:p>
        </w:tc>
        <w:tc>
          <w:tcPr>
            <w:tcW w:w="992" w:type="dxa"/>
            <w:vMerge w:val="restart"/>
            <w:vAlign w:val="center"/>
          </w:tcPr>
          <w:p>
            <w:pPr>
              <w:pStyle w:val="42"/>
            </w:pPr>
            <w:r>
              <w:t>重点管控单元2</w:t>
            </w:r>
          </w:p>
        </w:tc>
        <w:tc>
          <w:tcPr>
            <w:tcW w:w="1560" w:type="dxa"/>
            <w:vAlign w:val="center"/>
          </w:tcPr>
          <w:p>
            <w:pPr>
              <w:pStyle w:val="42"/>
            </w:pPr>
            <w:r>
              <w:t>空间布局约束</w:t>
            </w:r>
          </w:p>
        </w:tc>
        <w:tc>
          <w:tcPr>
            <w:tcW w:w="5528" w:type="dxa"/>
            <w:vAlign w:val="center"/>
          </w:tcPr>
          <w:p>
            <w:pPr>
              <w:pStyle w:val="42"/>
            </w:pPr>
            <w:r>
              <w:t>1.严格环境准入。禁止引入产业政策鼓励类外的染料类项目；进一步优化集中供热布局，统筹集中供热；严格限制新建、扩建可能对长寿中心城区大气产生影响的燃用重污染燃料的工业项目；A标准分区禁止引入钢铁、水泥等大气污染严重的项目，邻近凤城街道的区域不宜新建扩建化工项目；D标准分区、川维家属区片区周边产业应严格管控，防止恶臭气体扰民；长江干支流1公里范围内禁止新建、扩建化工、纺织、造纸等存在污染风险的工业项目。</w:t>
            </w:r>
          </w:p>
          <w:p>
            <w:pPr>
              <w:pStyle w:val="42"/>
            </w:pPr>
            <w:r>
              <w:t>2.合理规划工业用地布局。邻近长寿城区、晏家街道、D标准分区、川维家属区等居民区的工业用地不应规划布置污染重和风险大的工业项目。</w:t>
            </w:r>
          </w:p>
          <w:p>
            <w:pPr>
              <w:pStyle w:val="42"/>
            </w:pPr>
            <w:r>
              <w:t>3.加强菩提山和牛心山的生态环境保护，充分发挥其生态屏障作用。</w:t>
            </w:r>
          </w:p>
        </w:tc>
        <w:tc>
          <w:tcPr>
            <w:tcW w:w="4040" w:type="dxa"/>
            <w:vAlign w:val="center"/>
          </w:tcPr>
          <w:p>
            <w:pPr>
              <w:pStyle w:val="42"/>
            </w:pPr>
            <w:r>
              <w:t>项目位于晏家组团</w:t>
            </w:r>
            <w:r>
              <w:rPr>
                <w:rFonts w:hint="eastAsia"/>
              </w:rPr>
              <w:t>G标准分区，建设性质为新建，综合利用卡贝乐公司甲醇装置弛放气、补充部分天然气为原料合成氨，运行过程产生的蒸汽来源于园区集中供热或余热回收，不属于</w:t>
            </w:r>
            <w:r>
              <w:t>对长寿中心城区大气产生影响的燃用重污染燃料的工业项目</w:t>
            </w:r>
            <w:r>
              <w:rPr>
                <w:rFonts w:hint="eastAsia"/>
              </w:rPr>
              <w:t>，</w:t>
            </w:r>
            <w:r>
              <w:t>且项目距离长江约</w:t>
            </w:r>
            <w:r>
              <w:rPr>
                <w:rFonts w:hint="eastAsia"/>
              </w:rPr>
              <w:t>6.3公里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continue"/>
            <w:vAlign w:val="center"/>
          </w:tcPr>
          <w:p>
            <w:pPr>
              <w:pStyle w:val="42"/>
            </w:pPr>
          </w:p>
        </w:tc>
        <w:tc>
          <w:tcPr>
            <w:tcW w:w="992" w:type="dxa"/>
            <w:vMerge w:val="continue"/>
            <w:vAlign w:val="center"/>
          </w:tcPr>
          <w:p>
            <w:pPr>
              <w:pStyle w:val="42"/>
            </w:pPr>
          </w:p>
        </w:tc>
        <w:tc>
          <w:tcPr>
            <w:tcW w:w="992" w:type="dxa"/>
            <w:vMerge w:val="continue"/>
            <w:vAlign w:val="center"/>
          </w:tcPr>
          <w:p>
            <w:pPr>
              <w:pStyle w:val="42"/>
            </w:pPr>
          </w:p>
        </w:tc>
        <w:tc>
          <w:tcPr>
            <w:tcW w:w="1560" w:type="dxa"/>
            <w:vAlign w:val="center"/>
          </w:tcPr>
          <w:p>
            <w:pPr>
              <w:pStyle w:val="42"/>
            </w:pPr>
            <w:r>
              <w:t>污染物排放管控</w:t>
            </w:r>
          </w:p>
        </w:tc>
        <w:tc>
          <w:tcPr>
            <w:tcW w:w="5528" w:type="dxa"/>
            <w:vAlign w:val="center"/>
          </w:tcPr>
          <w:p>
            <w:pPr>
              <w:pStyle w:val="42"/>
            </w:pPr>
            <w:r>
              <w:t>1.园区的集中供热燃煤锅炉按国家及地方相关要求，有序推进超低排放改造。</w:t>
            </w:r>
          </w:p>
          <w:p>
            <w:pPr>
              <w:pStyle w:val="42"/>
            </w:pPr>
            <w:r>
              <w:t>2.有机化工、医药制造等VOCs重点行业开展污染物排放自动监测试点，逐步建立与生态环境部门联网监测体系。</w:t>
            </w:r>
          </w:p>
          <w:p>
            <w:pPr>
              <w:pStyle w:val="42"/>
            </w:pPr>
            <w:r>
              <w:t>3.固体废弃物应分类收集，优先进行综合利用。做好生产区、罐区、渣场等区域的地面防渗工作，防止污染地下水和土壤。</w:t>
            </w:r>
          </w:p>
          <w:p>
            <w:pPr>
              <w:pStyle w:val="42"/>
            </w:pPr>
            <w:r>
              <w:t>4.禁止在四大家鱼水产种质资源保护区内新建排污口。</w:t>
            </w:r>
          </w:p>
        </w:tc>
        <w:tc>
          <w:tcPr>
            <w:tcW w:w="4040" w:type="dxa"/>
            <w:vAlign w:val="center"/>
          </w:tcPr>
          <w:p>
            <w:pPr>
              <w:pStyle w:val="42"/>
            </w:pPr>
            <w:r>
              <w:t>项目</w:t>
            </w:r>
            <w:r>
              <w:rPr>
                <w:rFonts w:hint="eastAsia"/>
              </w:rPr>
              <w:t>固体废物分类收集，危险废物送有资质单位处置，生活垃圾由环卫部门收集，项目不新增废水排污口，废水经废水处理站处理达标后排入园区污水处理厂处理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continue"/>
            <w:vAlign w:val="center"/>
          </w:tcPr>
          <w:p>
            <w:pPr>
              <w:pStyle w:val="42"/>
            </w:pPr>
          </w:p>
        </w:tc>
        <w:tc>
          <w:tcPr>
            <w:tcW w:w="992" w:type="dxa"/>
            <w:vMerge w:val="continue"/>
            <w:vAlign w:val="center"/>
          </w:tcPr>
          <w:p>
            <w:pPr>
              <w:pStyle w:val="42"/>
            </w:pPr>
          </w:p>
        </w:tc>
        <w:tc>
          <w:tcPr>
            <w:tcW w:w="992" w:type="dxa"/>
            <w:vMerge w:val="continue"/>
            <w:vAlign w:val="center"/>
          </w:tcPr>
          <w:p>
            <w:pPr>
              <w:pStyle w:val="42"/>
            </w:pPr>
          </w:p>
        </w:tc>
        <w:tc>
          <w:tcPr>
            <w:tcW w:w="1560" w:type="dxa"/>
            <w:vAlign w:val="center"/>
          </w:tcPr>
          <w:p>
            <w:pPr>
              <w:pStyle w:val="42"/>
            </w:pPr>
            <w:r>
              <w:t>环境风险防控</w:t>
            </w:r>
          </w:p>
        </w:tc>
        <w:tc>
          <w:tcPr>
            <w:tcW w:w="5528" w:type="dxa"/>
            <w:vAlign w:val="center"/>
          </w:tcPr>
          <w:p>
            <w:pPr>
              <w:pStyle w:val="42"/>
            </w:pPr>
            <w:r>
              <w:t>1.对涉及重大危险源的区域，应建立片区级风险防范体系；园区及相关企业严格按照要求开展环境风险评估，制定应急预案，并开展应急演练，不断完善环境风险防范体系建设，积极防范风险事件。</w:t>
            </w:r>
          </w:p>
          <w:p>
            <w:pPr>
              <w:pStyle w:val="42"/>
            </w:pPr>
            <w:r>
              <w:t>2.逐步推动高风险工业企业参加环境污染责任保险。</w:t>
            </w:r>
          </w:p>
          <w:p>
            <w:pPr>
              <w:pStyle w:val="42"/>
            </w:pPr>
            <w:r>
              <w:t>3.江河沿岸严格控制危化品仓储设施建设，严格按规范运输化工原料及产品。</w:t>
            </w:r>
          </w:p>
          <w:p>
            <w:pPr>
              <w:pStyle w:val="42"/>
            </w:pPr>
            <w:r>
              <w:t>4.土壤污染重点监管单位应严格控制有毒有害物质排放，建立土壤污染隐患排查制度，保证持续有效防止有毒有害物质渗漏、流失、扬散。</w:t>
            </w:r>
          </w:p>
          <w:p>
            <w:pPr>
              <w:pStyle w:val="42"/>
            </w:pPr>
            <w:r>
              <w:t>5.新建涉及有毒有害、重金属的工业项目，生产废水的管网应采取“可视化”措施；推动现有涉及有毒有害、重金属的工业项目，生产废水的管网进行“可视化”改造。</w:t>
            </w:r>
          </w:p>
        </w:tc>
        <w:tc>
          <w:tcPr>
            <w:tcW w:w="4040" w:type="dxa"/>
            <w:vAlign w:val="center"/>
          </w:tcPr>
          <w:p>
            <w:pPr>
              <w:pStyle w:val="42"/>
            </w:pPr>
            <w:r>
              <w:rPr>
                <w:rFonts w:hint="eastAsia"/>
              </w:rPr>
              <w:t>项目位于晏家组团G标准分区，片区设置风险防范体系，企业将严格</w:t>
            </w:r>
            <w:r>
              <w:t>按照要求开展环境风险评估，制定应急预案，并开展应急演练，不断完善环境风险防范体系建设，积极防范风险事件。</w:t>
            </w:r>
          </w:p>
          <w:p>
            <w:pPr>
              <w:pStyle w:val="42"/>
            </w:pPr>
            <w:r>
              <w:rPr>
                <w:rFonts w:hint="eastAsia"/>
              </w:rPr>
              <w:t>拟建项目生产废水管网“可视化”。</w:t>
            </w:r>
          </w:p>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continue"/>
            <w:vAlign w:val="center"/>
          </w:tcPr>
          <w:p>
            <w:pPr>
              <w:pStyle w:val="42"/>
            </w:pPr>
          </w:p>
        </w:tc>
        <w:tc>
          <w:tcPr>
            <w:tcW w:w="992" w:type="dxa"/>
            <w:vMerge w:val="continue"/>
            <w:vAlign w:val="center"/>
          </w:tcPr>
          <w:p>
            <w:pPr>
              <w:pStyle w:val="42"/>
            </w:pPr>
          </w:p>
        </w:tc>
        <w:tc>
          <w:tcPr>
            <w:tcW w:w="992" w:type="dxa"/>
            <w:vMerge w:val="continue"/>
            <w:vAlign w:val="center"/>
          </w:tcPr>
          <w:p>
            <w:pPr>
              <w:pStyle w:val="42"/>
            </w:pPr>
          </w:p>
        </w:tc>
        <w:tc>
          <w:tcPr>
            <w:tcW w:w="1560" w:type="dxa"/>
            <w:vAlign w:val="center"/>
          </w:tcPr>
          <w:p>
            <w:pPr>
              <w:pStyle w:val="42"/>
            </w:pPr>
            <w:r>
              <w:t>资源开发效率要求</w:t>
            </w:r>
          </w:p>
        </w:tc>
        <w:tc>
          <w:tcPr>
            <w:tcW w:w="5528" w:type="dxa"/>
            <w:vAlign w:val="center"/>
          </w:tcPr>
          <w:p>
            <w:pPr>
              <w:pStyle w:val="42"/>
            </w:pPr>
            <w:r>
              <w:t>1.倡导循环经济，优化化工行业产业链，提高产业集群化水平、资源综合利用效率和清洁生产水平。</w:t>
            </w:r>
          </w:p>
          <w:p>
            <w:pPr>
              <w:pStyle w:val="42"/>
            </w:pPr>
            <w:r>
              <w:t>2.逐步推进沿岸老旧码头功能整合优化改造提升、临港产业转型升级和生态港口综合整治。</w:t>
            </w:r>
          </w:p>
        </w:tc>
        <w:tc>
          <w:tcPr>
            <w:tcW w:w="4040" w:type="dxa"/>
            <w:vAlign w:val="center"/>
          </w:tcPr>
          <w:p>
            <w:pPr>
              <w:pStyle w:val="42"/>
            </w:pPr>
            <w:r>
              <w:rPr>
                <w:rFonts w:hint="eastAsia"/>
              </w:rPr>
              <w:t>拟建项目综合利用卡贝乐公司甲醇装置弛放气、补充部分天然气为原料合成氨，本身属于循环经济项目。项目生产过程中余热回收，利用余热发电、设置热交换器；废水处理依托园区污水处理厂，倡导园区循环经济</w:t>
            </w:r>
          </w:p>
        </w:tc>
      </w:tr>
    </w:tbl>
    <w:p>
      <w:pPr>
        <w:pStyle w:val="41"/>
        <w:sectPr>
          <w:pgSz w:w="16838" w:h="11906" w:orient="landscape"/>
          <w:pgMar w:top="1800" w:right="1440" w:bottom="1800" w:left="1440" w:header="851" w:footer="992" w:gutter="0"/>
          <w:cols w:space="425" w:num="1"/>
          <w:docGrid w:type="lines" w:linePitch="326" w:charSpace="0"/>
        </w:sectPr>
      </w:pPr>
    </w:p>
    <w:p>
      <w:pPr>
        <w:ind w:firstLine="480"/>
      </w:pPr>
      <w:r>
        <w:rPr>
          <w:rFonts w:hint="eastAsia"/>
        </w:rPr>
        <w:t>（3）与规划环评“三线一单”管控要求符合性分析</w:t>
      </w:r>
    </w:p>
    <w:p>
      <w:pPr>
        <w:ind w:firstLine="480"/>
      </w:pPr>
      <w:r>
        <w:rPr>
          <w:rFonts w:hint="eastAsia"/>
        </w:rPr>
        <w:t>根据《长寿经济技术开发区晏家组团控制性详细规划环境影响报告书》（重庆市环境科学研究院）及其批复：</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生态保护红线要求</w:t>
      </w:r>
    </w:p>
    <w:p>
      <w:pPr>
        <w:ind w:firstLine="480"/>
      </w:pPr>
      <w:r>
        <w:rPr>
          <w:rFonts w:hint="eastAsia"/>
        </w:rPr>
        <w:t>结合区域主体功能定位及《重庆市生态保护红线划定方案》（渝府办发[2016]230号），根据园区规划环评结论，长寿经济技术开发区晏家组团规划范围内不涉及禁止开发区、重点生态功能区、生态敏感区、生态脆弱区、生物多样性保护优先区，以及其他对于维持生态系统结构和功能具有重要意义的自然生态用地等区域。</w:t>
      </w:r>
    </w:p>
    <w:p>
      <w:pPr>
        <w:ind w:firstLine="480"/>
      </w:pPr>
      <w:r>
        <w:rPr>
          <w:rFonts w:hint="eastAsia"/>
        </w:rPr>
        <w:t>拟建项目位于长寿经济技术开发区晏家组团G标准分区，未涉及生态保护红线。</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环境质量底线</w:t>
      </w:r>
    </w:p>
    <w:p>
      <w:pPr>
        <w:ind w:firstLine="480"/>
      </w:pPr>
      <w:r>
        <w:rPr>
          <w:rFonts w:hint="eastAsia"/>
        </w:rPr>
        <w:t>在园区开发过程中确保周边环境质量满足相应划定的环境功能要求，是园区开发的底线。根据对园区污染负荷预估及环境影响预测，长寿经济技术开发区晏家组团在本次规划期限内，其园区开发过程中可确保区域环境质量满足相应的功能要求，见表1.8.4-3。</w:t>
      </w:r>
    </w:p>
    <w:p>
      <w:pPr>
        <w:pStyle w:val="41"/>
      </w:pPr>
      <w:r>
        <w:rPr>
          <w:rFonts w:hint="eastAsia"/>
        </w:rPr>
        <w:t>表1.8.4-3  环境质量底线</w:t>
      </w:r>
    </w:p>
    <w:tbl>
      <w:tblPr>
        <w:tblStyle w:val="3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5157"/>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1" w:type="dxa"/>
            <w:vAlign w:val="center"/>
          </w:tcPr>
          <w:p>
            <w:pPr>
              <w:pStyle w:val="42"/>
            </w:pPr>
            <w:r>
              <w:t>环境要素</w:t>
            </w:r>
          </w:p>
        </w:tc>
        <w:tc>
          <w:tcPr>
            <w:tcW w:w="5157" w:type="dxa"/>
            <w:vAlign w:val="center"/>
          </w:tcPr>
          <w:p>
            <w:pPr>
              <w:pStyle w:val="42"/>
            </w:pPr>
            <w:r>
              <w:t>环境质量底线</w:t>
            </w:r>
          </w:p>
        </w:tc>
        <w:tc>
          <w:tcPr>
            <w:tcW w:w="2169" w:type="dxa"/>
            <w:vAlign w:val="center"/>
          </w:tcPr>
          <w:p>
            <w:pPr>
              <w:pStyle w:val="42"/>
            </w:pPr>
            <w:r>
              <w:t>园区开发可达性分析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pStyle w:val="42"/>
            </w:pPr>
            <w:r>
              <w:t>环境空气</w:t>
            </w:r>
          </w:p>
        </w:tc>
        <w:tc>
          <w:tcPr>
            <w:tcW w:w="5157" w:type="dxa"/>
            <w:vAlign w:val="center"/>
          </w:tcPr>
          <w:p>
            <w:pPr>
              <w:pStyle w:val="42"/>
            </w:pPr>
            <w:r>
              <w:t>根据《重庆市环境空气质量功能区划》（渝府发〔2016〕19号），规划区属环境空气功能二类区。</w:t>
            </w:r>
          </w:p>
        </w:tc>
        <w:tc>
          <w:tcPr>
            <w:tcW w:w="2169" w:type="dxa"/>
            <w:vAlign w:val="center"/>
          </w:tcPr>
          <w:p>
            <w:pPr>
              <w:pStyle w:val="42"/>
            </w:pPr>
            <w: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pStyle w:val="42"/>
            </w:pPr>
            <w:r>
              <w:t>地表水</w:t>
            </w:r>
          </w:p>
        </w:tc>
        <w:tc>
          <w:tcPr>
            <w:tcW w:w="5157" w:type="dxa"/>
            <w:vAlign w:val="center"/>
          </w:tcPr>
          <w:p>
            <w:pPr>
              <w:pStyle w:val="42"/>
            </w:pPr>
            <w:r>
              <w:t>根据《重庆市人民政府批转重庆市地表水环境功能类别调整方案的通知》（渝府发[2012]4号），长江扇沱—石沱江段为</w:t>
            </w:r>
            <w:r>
              <w:rPr>
                <w:rFonts w:hint="eastAsia"/>
              </w:rPr>
              <w:t>Ⅲ</w:t>
            </w:r>
            <w:r>
              <w:t>类水域，执行</w:t>
            </w:r>
            <w:r>
              <w:rPr>
                <w:rFonts w:hint="eastAsia"/>
              </w:rPr>
              <w:t>Ⅲ</w:t>
            </w:r>
            <w:r>
              <w:t>类水域水质标准。</w:t>
            </w:r>
          </w:p>
        </w:tc>
        <w:tc>
          <w:tcPr>
            <w:tcW w:w="2169" w:type="dxa"/>
            <w:vAlign w:val="center"/>
          </w:tcPr>
          <w:p>
            <w:pPr>
              <w:pStyle w:val="42"/>
            </w:pPr>
            <w: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pStyle w:val="42"/>
            </w:pPr>
            <w:r>
              <w:t>声环境</w:t>
            </w:r>
          </w:p>
        </w:tc>
        <w:tc>
          <w:tcPr>
            <w:tcW w:w="5157" w:type="dxa"/>
            <w:vAlign w:val="center"/>
          </w:tcPr>
          <w:p>
            <w:pPr>
              <w:pStyle w:val="42"/>
            </w:pPr>
            <w:r>
              <w:t>根据《声环境质量标准》（GB3096-2008）、《声环境功能区划分技术规范》（GB/T 15190-2014），规划区内交通干线两侧执行4a类标准，工业区执行3类标准，规划商业、居住区执行2类标准。不产生噪声扰民。</w:t>
            </w:r>
          </w:p>
        </w:tc>
        <w:tc>
          <w:tcPr>
            <w:tcW w:w="2169" w:type="dxa"/>
            <w:vAlign w:val="center"/>
          </w:tcPr>
          <w:p>
            <w:pPr>
              <w:pStyle w:val="42"/>
            </w:pPr>
            <w: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pStyle w:val="42"/>
            </w:pPr>
            <w:r>
              <w:t>地下水</w:t>
            </w:r>
          </w:p>
        </w:tc>
        <w:tc>
          <w:tcPr>
            <w:tcW w:w="5157" w:type="dxa"/>
            <w:vAlign w:val="center"/>
          </w:tcPr>
          <w:p>
            <w:pPr>
              <w:pStyle w:val="42"/>
            </w:pPr>
            <w:r>
              <w:t>满足《地下水环境质量标准》III类水质要求。</w:t>
            </w:r>
          </w:p>
        </w:tc>
        <w:tc>
          <w:tcPr>
            <w:tcW w:w="2169" w:type="dxa"/>
            <w:vAlign w:val="center"/>
          </w:tcPr>
          <w:p>
            <w:pPr>
              <w:pStyle w:val="42"/>
            </w:pPr>
            <w:r>
              <w:t>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vAlign w:val="center"/>
          </w:tcPr>
          <w:p>
            <w:pPr>
              <w:pStyle w:val="42"/>
            </w:pPr>
            <w:r>
              <w:t>土壤</w:t>
            </w:r>
          </w:p>
        </w:tc>
        <w:tc>
          <w:tcPr>
            <w:tcW w:w="5157" w:type="dxa"/>
            <w:vAlign w:val="center"/>
          </w:tcPr>
          <w:p>
            <w:pPr>
              <w:pStyle w:val="42"/>
            </w:pPr>
            <w:r>
              <w:t>满足《土壤环境质量标准》二级标准要求。</w:t>
            </w:r>
          </w:p>
        </w:tc>
        <w:tc>
          <w:tcPr>
            <w:tcW w:w="2169" w:type="dxa"/>
            <w:vAlign w:val="center"/>
          </w:tcPr>
          <w:p>
            <w:pPr>
              <w:pStyle w:val="42"/>
            </w:pPr>
            <w:r>
              <w:t>可达</w:t>
            </w:r>
          </w:p>
        </w:tc>
      </w:tr>
    </w:tbl>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资源利用及环境总量上线</w:t>
      </w:r>
    </w:p>
    <w:p>
      <w:pPr>
        <w:ind w:firstLine="480"/>
      </w:pPr>
      <w:r>
        <w:rPr>
          <w:rFonts w:hint="eastAsia"/>
        </w:rPr>
        <w:t>园区发展资源利用情况见表1.8.4-4，园区污染物排放控制情况见表1.8.4-5。</w:t>
      </w:r>
    </w:p>
    <w:p>
      <w:pPr>
        <w:ind w:firstLine="480"/>
      </w:pPr>
    </w:p>
    <w:p>
      <w:pPr>
        <w:pStyle w:val="41"/>
      </w:pPr>
      <w:r>
        <w:rPr>
          <w:rFonts w:hint="eastAsia"/>
        </w:rPr>
        <w:t>表1.8.4-4  园区发展资源利用情况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560"/>
        <w:gridCol w:w="396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5" w:type="dxa"/>
            <w:vAlign w:val="center"/>
          </w:tcPr>
          <w:p>
            <w:pPr>
              <w:pStyle w:val="42"/>
            </w:pPr>
            <w:r>
              <w:t>主题</w:t>
            </w:r>
          </w:p>
        </w:tc>
        <w:tc>
          <w:tcPr>
            <w:tcW w:w="1134" w:type="dxa"/>
            <w:vAlign w:val="center"/>
          </w:tcPr>
          <w:p>
            <w:pPr>
              <w:pStyle w:val="42"/>
            </w:pPr>
            <w:r>
              <w:t>环境要素</w:t>
            </w:r>
          </w:p>
        </w:tc>
        <w:tc>
          <w:tcPr>
            <w:tcW w:w="1560" w:type="dxa"/>
            <w:vAlign w:val="center"/>
          </w:tcPr>
          <w:p>
            <w:pPr>
              <w:pStyle w:val="42"/>
            </w:pPr>
            <w:r>
              <w:t>指标</w:t>
            </w:r>
          </w:p>
        </w:tc>
        <w:tc>
          <w:tcPr>
            <w:tcW w:w="3969" w:type="dxa"/>
            <w:vAlign w:val="center"/>
          </w:tcPr>
          <w:p>
            <w:pPr>
              <w:pStyle w:val="42"/>
            </w:pPr>
            <w:r>
              <w:t>目标值</w:t>
            </w:r>
          </w:p>
        </w:tc>
        <w:tc>
          <w:tcPr>
            <w:tcW w:w="1184" w:type="dxa"/>
            <w:vAlign w:val="center"/>
          </w:tcPr>
          <w:p>
            <w:pPr>
              <w:pStyle w:val="42"/>
            </w:pPr>
            <w:r>
              <w:t>拟建项目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42"/>
            </w:pPr>
            <w:r>
              <w:t>资源</w:t>
            </w:r>
          </w:p>
          <w:p>
            <w:pPr>
              <w:pStyle w:val="42"/>
            </w:pPr>
            <w:r>
              <w:t>利用</w:t>
            </w:r>
          </w:p>
        </w:tc>
        <w:tc>
          <w:tcPr>
            <w:tcW w:w="1134" w:type="dxa"/>
            <w:vMerge w:val="restart"/>
            <w:vAlign w:val="center"/>
          </w:tcPr>
          <w:p>
            <w:pPr>
              <w:pStyle w:val="42"/>
            </w:pPr>
            <w:r>
              <w:t>能源</w:t>
            </w:r>
          </w:p>
          <w:p>
            <w:pPr>
              <w:pStyle w:val="42"/>
            </w:pPr>
            <w:r>
              <w:t>资源</w:t>
            </w:r>
          </w:p>
        </w:tc>
        <w:tc>
          <w:tcPr>
            <w:tcW w:w="1560" w:type="dxa"/>
            <w:vMerge w:val="restart"/>
            <w:vAlign w:val="center"/>
          </w:tcPr>
          <w:p>
            <w:pPr>
              <w:pStyle w:val="42"/>
            </w:pPr>
            <w:r>
              <w:t>能耗</w:t>
            </w:r>
          </w:p>
        </w:tc>
        <w:tc>
          <w:tcPr>
            <w:tcW w:w="3969" w:type="dxa"/>
            <w:vAlign w:val="center"/>
          </w:tcPr>
          <w:p>
            <w:pPr>
              <w:pStyle w:val="42"/>
            </w:pPr>
            <w:r>
              <w:t>万元工业增加值0.68t标煤以下</w:t>
            </w:r>
          </w:p>
        </w:tc>
        <w:tc>
          <w:tcPr>
            <w:tcW w:w="1184" w:type="dxa"/>
            <w:vAlign w:val="center"/>
          </w:tcPr>
          <w:p>
            <w:pPr>
              <w:pStyle w:val="42"/>
            </w:pPr>
            <w:r>
              <w:rPr>
                <w:rFonts w:hint="eastAsia"/>
              </w:rPr>
              <w:t>0.1</w:t>
            </w:r>
            <w:r>
              <w:t>t标煤</w:t>
            </w: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continue"/>
            <w:vAlign w:val="center"/>
          </w:tcPr>
          <w:p>
            <w:pPr>
              <w:pStyle w:val="42"/>
            </w:pPr>
          </w:p>
        </w:tc>
        <w:tc>
          <w:tcPr>
            <w:tcW w:w="3969" w:type="dxa"/>
            <w:vAlign w:val="center"/>
          </w:tcPr>
          <w:p>
            <w:pPr>
              <w:pStyle w:val="42"/>
            </w:pPr>
            <w:r>
              <w:t>原油加工综合能耗降至83kg标准煤/吨</w:t>
            </w:r>
          </w:p>
        </w:tc>
        <w:tc>
          <w:tcPr>
            <w:tcW w:w="118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continue"/>
            <w:vAlign w:val="center"/>
          </w:tcPr>
          <w:p>
            <w:pPr>
              <w:pStyle w:val="42"/>
            </w:pPr>
          </w:p>
        </w:tc>
        <w:tc>
          <w:tcPr>
            <w:tcW w:w="3969" w:type="dxa"/>
            <w:vAlign w:val="center"/>
          </w:tcPr>
          <w:p>
            <w:pPr>
              <w:pStyle w:val="42"/>
            </w:pPr>
            <w:r>
              <w:t>乙烯综合能耗降至835标准煤/吨</w:t>
            </w:r>
          </w:p>
        </w:tc>
        <w:tc>
          <w:tcPr>
            <w:tcW w:w="118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Align w:val="center"/>
          </w:tcPr>
          <w:p>
            <w:pPr>
              <w:pStyle w:val="42"/>
            </w:pPr>
            <w:r>
              <w:t>每立方米天然气产出</w:t>
            </w:r>
          </w:p>
        </w:tc>
        <w:tc>
          <w:tcPr>
            <w:tcW w:w="3969" w:type="dxa"/>
            <w:vAlign w:val="center"/>
          </w:tcPr>
          <w:p>
            <w:pPr>
              <w:pStyle w:val="42"/>
            </w:pPr>
            <w:r>
              <w:t>不低于25元</w:t>
            </w:r>
          </w:p>
        </w:tc>
        <w:tc>
          <w:tcPr>
            <w:tcW w:w="118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42"/>
            </w:pPr>
            <w:r>
              <w:t>资源</w:t>
            </w:r>
          </w:p>
          <w:p>
            <w:pPr>
              <w:pStyle w:val="42"/>
            </w:pPr>
            <w:r>
              <w:t>利用</w:t>
            </w:r>
          </w:p>
        </w:tc>
        <w:tc>
          <w:tcPr>
            <w:tcW w:w="1134" w:type="dxa"/>
            <w:vMerge w:val="restart"/>
            <w:vAlign w:val="center"/>
          </w:tcPr>
          <w:p>
            <w:pPr>
              <w:pStyle w:val="42"/>
            </w:pPr>
            <w:r>
              <w:t>水资源</w:t>
            </w:r>
          </w:p>
        </w:tc>
        <w:tc>
          <w:tcPr>
            <w:tcW w:w="1560" w:type="dxa"/>
            <w:vAlign w:val="center"/>
          </w:tcPr>
          <w:p>
            <w:pPr>
              <w:pStyle w:val="42"/>
            </w:pPr>
            <w:r>
              <w:t>水资源产出率</w:t>
            </w:r>
          </w:p>
        </w:tc>
        <w:tc>
          <w:tcPr>
            <w:tcW w:w="3969" w:type="dxa"/>
            <w:vAlign w:val="center"/>
          </w:tcPr>
          <w:p>
            <w:pPr>
              <w:pStyle w:val="42"/>
            </w:pPr>
            <w:r>
              <w:t>不低于136元/立方米</w:t>
            </w:r>
          </w:p>
        </w:tc>
        <w:tc>
          <w:tcPr>
            <w:tcW w:w="1184" w:type="dxa"/>
            <w:vAlign w:val="center"/>
          </w:tcPr>
          <w:p>
            <w:pPr>
              <w:pStyle w:val="42"/>
            </w:pPr>
            <w:r>
              <w:rPr>
                <w:rFonts w:hint="eastAsia"/>
              </w:rPr>
              <w:t>910.6</w:t>
            </w:r>
            <w:r>
              <w:t>元/立方米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restart"/>
            <w:vAlign w:val="center"/>
          </w:tcPr>
          <w:p>
            <w:pPr>
              <w:pStyle w:val="42"/>
            </w:pPr>
            <w:r>
              <w:t>耗水量</w:t>
            </w:r>
          </w:p>
        </w:tc>
        <w:tc>
          <w:tcPr>
            <w:tcW w:w="3969" w:type="dxa"/>
            <w:vAlign w:val="center"/>
          </w:tcPr>
          <w:p>
            <w:pPr>
              <w:pStyle w:val="42"/>
            </w:pPr>
            <w:r>
              <w:t>单位工业增加值新鲜水耗不超过9m</w:t>
            </w:r>
            <w:r>
              <w:rPr>
                <w:vertAlign w:val="superscript"/>
              </w:rPr>
              <w:t>3</w:t>
            </w:r>
            <w:r>
              <w:t>/万元耗水总量不超过区域水资源承载力</w:t>
            </w:r>
          </w:p>
        </w:tc>
        <w:tc>
          <w:tcPr>
            <w:tcW w:w="1184" w:type="dxa"/>
            <w:vAlign w:val="center"/>
          </w:tcPr>
          <w:p>
            <w:pPr>
              <w:pStyle w:val="42"/>
            </w:pPr>
            <w:r>
              <w:rPr>
                <w:rFonts w:hint="eastAsia"/>
              </w:rPr>
              <w:t>1.1</w:t>
            </w:r>
            <w:r>
              <w:t>m</w:t>
            </w:r>
            <w:r>
              <w:rPr>
                <w:vertAlign w:val="superscript"/>
              </w:rPr>
              <w:t>3</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continue"/>
            <w:vAlign w:val="center"/>
          </w:tcPr>
          <w:p>
            <w:pPr>
              <w:pStyle w:val="42"/>
            </w:pPr>
          </w:p>
        </w:tc>
        <w:tc>
          <w:tcPr>
            <w:tcW w:w="3969" w:type="dxa"/>
            <w:vAlign w:val="center"/>
          </w:tcPr>
          <w:p>
            <w:pPr>
              <w:pStyle w:val="42"/>
            </w:pPr>
            <w:r>
              <w:t>石油炼制业取水量不超过1.5吨水/吨油</w:t>
            </w:r>
          </w:p>
        </w:tc>
        <w:tc>
          <w:tcPr>
            <w:tcW w:w="118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continue"/>
            <w:vAlign w:val="center"/>
          </w:tcPr>
          <w:p>
            <w:pPr>
              <w:pStyle w:val="42"/>
            </w:pPr>
          </w:p>
        </w:tc>
        <w:tc>
          <w:tcPr>
            <w:tcW w:w="3969" w:type="dxa"/>
            <w:vAlign w:val="center"/>
          </w:tcPr>
          <w:p>
            <w:pPr>
              <w:pStyle w:val="42"/>
            </w:pPr>
            <w:r>
              <w:t>电镀行业单位产品新鲜水用量不超过0.3t/m</w:t>
            </w:r>
            <w:r>
              <w:rPr>
                <w:vertAlign w:val="superscript"/>
              </w:rPr>
              <w:t>2</w:t>
            </w:r>
          </w:p>
        </w:tc>
        <w:tc>
          <w:tcPr>
            <w:tcW w:w="118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42"/>
            </w:pPr>
            <w:r>
              <w:t>资源</w:t>
            </w:r>
          </w:p>
          <w:p>
            <w:pPr>
              <w:pStyle w:val="42"/>
            </w:pPr>
            <w:r>
              <w:t>利用</w:t>
            </w:r>
          </w:p>
        </w:tc>
        <w:tc>
          <w:tcPr>
            <w:tcW w:w="1134" w:type="dxa"/>
            <w:vMerge w:val="restart"/>
            <w:vAlign w:val="center"/>
          </w:tcPr>
          <w:p>
            <w:pPr>
              <w:pStyle w:val="42"/>
            </w:pPr>
            <w:r>
              <w:t>水资源</w:t>
            </w:r>
          </w:p>
        </w:tc>
        <w:tc>
          <w:tcPr>
            <w:tcW w:w="1560" w:type="dxa"/>
            <w:vMerge w:val="restart"/>
            <w:vAlign w:val="center"/>
          </w:tcPr>
          <w:p>
            <w:pPr>
              <w:pStyle w:val="42"/>
            </w:pPr>
            <w:r>
              <w:t>工业用水重复利用率</w:t>
            </w:r>
          </w:p>
        </w:tc>
        <w:tc>
          <w:tcPr>
            <w:tcW w:w="3969" w:type="dxa"/>
            <w:vAlign w:val="center"/>
          </w:tcPr>
          <w:p>
            <w:pPr>
              <w:pStyle w:val="42"/>
            </w:pPr>
            <w:r>
              <w:t>不低于90%</w:t>
            </w:r>
          </w:p>
        </w:tc>
        <w:tc>
          <w:tcPr>
            <w:tcW w:w="1184" w:type="dxa"/>
            <w:vAlign w:val="center"/>
          </w:tcPr>
          <w:p>
            <w:pPr>
              <w:pStyle w:val="42"/>
            </w:pPr>
            <w:r>
              <w:rPr>
                <w:rFonts w:hint="eastAsia"/>
              </w:rPr>
              <w:t>92.72%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Merge w:val="continue"/>
            <w:vAlign w:val="center"/>
          </w:tcPr>
          <w:p>
            <w:pPr>
              <w:pStyle w:val="42"/>
            </w:pPr>
          </w:p>
        </w:tc>
        <w:tc>
          <w:tcPr>
            <w:tcW w:w="1560" w:type="dxa"/>
            <w:vMerge w:val="continue"/>
            <w:vAlign w:val="center"/>
          </w:tcPr>
          <w:p>
            <w:pPr>
              <w:pStyle w:val="42"/>
            </w:pPr>
          </w:p>
        </w:tc>
        <w:tc>
          <w:tcPr>
            <w:tcW w:w="3969" w:type="dxa"/>
            <w:vAlign w:val="center"/>
          </w:tcPr>
          <w:p>
            <w:pPr>
              <w:pStyle w:val="42"/>
            </w:pPr>
            <w:r>
              <w:t>石化和化工行业水重复利用率不低于93%</w:t>
            </w:r>
          </w:p>
        </w:tc>
        <w:tc>
          <w:tcPr>
            <w:tcW w:w="1184" w:type="dxa"/>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42"/>
            </w:pPr>
          </w:p>
        </w:tc>
        <w:tc>
          <w:tcPr>
            <w:tcW w:w="1134" w:type="dxa"/>
            <w:vAlign w:val="center"/>
          </w:tcPr>
          <w:p>
            <w:pPr>
              <w:pStyle w:val="42"/>
            </w:pPr>
            <w:r>
              <w:t>土地资源</w:t>
            </w:r>
          </w:p>
        </w:tc>
        <w:tc>
          <w:tcPr>
            <w:tcW w:w="1560" w:type="dxa"/>
            <w:vAlign w:val="center"/>
          </w:tcPr>
          <w:p>
            <w:pPr>
              <w:pStyle w:val="42"/>
            </w:pPr>
            <w:r>
              <w:t>工业用地产值</w:t>
            </w:r>
          </w:p>
        </w:tc>
        <w:tc>
          <w:tcPr>
            <w:tcW w:w="3969" w:type="dxa"/>
            <w:vAlign w:val="center"/>
          </w:tcPr>
          <w:p>
            <w:pPr>
              <w:pStyle w:val="42"/>
            </w:pPr>
            <w:r>
              <w:t>不低于100亿元/km</w:t>
            </w:r>
            <w:r>
              <w:rPr>
                <w:vertAlign w:val="superscript"/>
              </w:rPr>
              <w:t>2</w:t>
            </w:r>
          </w:p>
        </w:tc>
        <w:tc>
          <w:tcPr>
            <w:tcW w:w="1184" w:type="dxa"/>
            <w:vAlign w:val="center"/>
          </w:tcPr>
          <w:p>
            <w:pPr>
              <w:pStyle w:val="42"/>
            </w:pPr>
            <w:r>
              <w:rPr>
                <w:rFonts w:hint="eastAsia"/>
              </w:rPr>
              <w:t>153.9</w:t>
            </w:r>
            <w:r>
              <w:t>亿元/km</w:t>
            </w:r>
            <w:r>
              <w:rPr>
                <w:vertAlign w:val="superscript"/>
              </w:rPr>
              <w:t>2</w:t>
            </w:r>
          </w:p>
        </w:tc>
      </w:tr>
    </w:tbl>
    <w:p>
      <w:pPr>
        <w:pStyle w:val="41"/>
      </w:pPr>
      <w:r>
        <w:rPr>
          <w:rFonts w:hint="eastAsia"/>
        </w:rPr>
        <w:t>表1.8.3-5 园区污染物排放排放控制情况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643"/>
        <w:gridCol w:w="822"/>
        <w:gridCol w:w="1283"/>
        <w:gridCol w:w="4129"/>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Align w:val="center"/>
          </w:tcPr>
          <w:p>
            <w:pPr>
              <w:pStyle w:val="42"/>
            </w:pPr>
            <w:r>
              <w:t>主题</w:t>
            </w:r>
          </w:p>
        </w:tc>
        <w:tc>
          <w:tcPr>
            <w:tcW w:w="643" w:type="dxa"/>
            <w:vAlign w:val="center"/>
          </w:tcPr>
          <w:p>
            <w:pPr>
              <w:pStyle w:val="42"/>
            </w:pPr>
            <w:r>
              <w:t>环境</w:t>
            </w:r>
          </w:p>
          <w:p>
            <w:pPr>
              <w:pStyle w:val="42"/>
            </w:pPr>
            <w:r>
              <w:t>要素</w:t>
            </w:r>
          </w:p>
        </w:tc>
        <w:tc>
          <w:tcPr>
            <w:tcW w:w="2105" w:type="dxa"/>
            <w:gridSpan w:val="2"/>
            <w:vAlign w:val="center"/>
          </w:tcPr>
          <w:p>
            <w:pPr>
              <w:pStyle w:val="42"/>
            </w:pPr>
            <w:r>
              <w:t>指标</w:t>
            </w:r>
          </w:p>
        </w:tc>
        <w:tc>
          <w:tcPr>
            <w:tcW w:w="4129" w:type="dxa"/>
            <w:vAlign w:val="center"/>
          </w:tcPr>
          <w:p>
            <w:pPr>
              <w:pStyle w:val="42"/>
            </w:pPr>
            <w:r>
              <w:t>目标值</w:t>
            </w:r>
          </w:p>
        </w:tc>
        <w:tc>
          <w:tcPr>
            <w:tcW w:w="1024" w:type="dxa"/>
            <w:vAlign w:val="center"/>
          </w:tcPr>
          <w:p>
            <w:pPr>
              <w:pStyle w:val="42"/>
            </w:pPr>
            <w:r>
              <w:t>拟建</w:t>
            </w:r>
          </w:p>
          <w:p>
            <w:pPr>
              <w:pStyle w:val="42"/>
            </w:pPr>
            <w: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restart"/>
            <w:vAlign w:val="center"/>
          </w:tcPr>
          <w:p>
            <w:pPr>
              <w:pStyle w:val="42"/>
            </w:pPr>
            <w:r>
              <w:t>环境</w:t>
            </w:r>
          </w:p>
          <w:p>
            <w:pPr>
              <w:pStyle w:val="42"/>
            </w:pPr>
            <w:r>
              <w:t>质量</w:t>
            </w:r>
          </w:p>
        </w:tc>
        <w:tc>
          <w:tcPr>
            <w:tcW w:w="643" w:type="dxa"/>
            <w:vMerge w:val="restart"/>
            <w:vAlign w:val="center"/>
          </w:tcPr>
          <w:p>
            <w:pPr>
              <w:pStyle w:val="42"/>
            </w:pPr>
            <w:r>
              <w:t>地表水</w:t>
            </w:r>
          </w:p>
        </w:tc>
        <w:tc>
          <w:tcPr>
            <w:tcW w:w="2105" w:type="dxa"/>
            <w:gridSpan w:val="2"/>
            <w:vAlign w:val="center"/>
          </w:tcPr>
          <w:p>
            <w:pPr>
              <w:pStyle w:val="42"/>
            </w:pPr>
            <w:r>
              <w:t>废、污水达标排放率</w:t>
            </w:r>
          </w:p>
        </w:tc>
        <w:tc>
          <w:tcPr>
            <w:tcW w:w="4129" w:type="dxa"/>
            <w:vAlign w:val="center"/>
          </w:tcPr>
          <w:p>
            <w:pPr>
              <w:pStyle w:val="42"/>
            </w:pPr>
            <w:r>
              <w:t>100%</w:t>
            </w:r>
          </w:p>
        </w:tc>
        <w:tc>
          <w:tcPr>
            <w:tcW w:w="1024"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单位工业增加值废水产生量</w:t>
            </w:r>
          </w:p>
        </w:tc>
        <w:tc>
          <w:tcPr>
            <w:tcW w:w="4129" w:type="dxa"/>
            <w:vAlign w:val="center"/>
          </w:tcPr>
          <w:p>
            <w:pPr>
              <w:pStyle w:val="42"/>
            </w:pPr>
            <w:r>
              <w:t>不高于8t/万元</w:t>
            </w:r>
          </w:p>
        </w:tc>
        <w:tc>
          <w:tcPr>
            <w:tcW w:w="1024" w:type="dxa"/>
            <w:vAlign w:val="center"/>
          </w:tcPr>
          <w:p>
            <w:pPr>
              <w:pStyle w:val="42"/>
            </w:pPr>
            <w:r>
              <w:rPr>
                <w:rFonts w:hint="eastAsia"/>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restart"/>
            <w:vAlign w:val="center"/>
          </w:tcPr>
          <w:p>
            <w:pPr>
              <w:pStyle w:val="42"/>
            </w:pPr>
            <w:r>
              <w:t>水污染物排放</w:t>
            </w:r>
          </w:p>
        </w:tc>
        <w:tc>
          <w:tcPr>
            <w:tcW w:w="1283" w:type="dxa"/>
            <w:vAlign w:val="center"/>
          </w:tcPr>
          <w:p>
            <w:pPr>
              <w:pStyle w:val="42"/>
            </w:pPr>
            <w:r>
              <w:t>COD</w:t>
            </w:r>
          </w:p>
        </w:tc>
        <w:tc>
          <w:tcPr>
            <w:tcW w:w="4129" w:type="dxa"/>
            <w:vAlign w:val="center"/>
          </w:tcPr>
          <w:p>
            <w:pPr>
              <w:pStyle w:val="42"/>
            </w:pPr>
            <w:r>
              <w:t>万元工业增加值COD排放量不超过0.92kg/万元；石油炼制业COD排放量不超过0.5kg/t油；总排放量不超过水环境容量（20169t/a）及区域污染物控制总量</w:t>
            </w:r>
          </w:p>
        </w:tc>
        <w:tc>
          <w:tcPr>
            <w:tcW w:w="1024" w:type="dxa"/>
            <w:vAlign w:val="center"/>
          </w:tcPr>
          <w:p>
            <w:pPr>
              <w:pStyle w:val="42"/>
            </w:pPr>
            <w:r>
              <w:rPr>
                <w:rFonts w:hint="eastAsia"/>
              </w:rPr>
              <w:t>0.005</w:t>
            </w:r>
            <w:r>
              <w:t>kg/万元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NH</w:t>
            </w:r>
            <w:r>
              <w:rPr>
                <w:vertAlign w:val="subscript"/>
              </w:rPr>
              <w:t>3</w:t>
            </w:r>
            <w:r>
              <w:t>-N</w:t>
            </w:r>
          </w:p>
        </w:tc>
        <w:tc>
          <w:tcPr>
            <w:tcW w:w="4129" w:type="dxa"/>
            <w:vAlign w:val="center"/>
          </w:tcPr>
          <w:p>
            <w:pPr>
              <w:pStyle w:val="42"/>
            </w:pPr>
            <w:r>
              <w:t>万元工业增加值NH</w:t>
            </w:r>
            <w:r>
              <w:rPr>
                <w:vertAlign w:val="subscript"/>
              </w:rPr>
              <w:t>3</w:t>
            </w:r>
            <w:r>
              <w:t>-N排放量不超过0.046kg/万元，总排放量不超过水环境容量（1617t/a）及区域污染物控制总量</w:t>
            </w:r>
          </w:p>
        </w:tc>
        <w:tc>
          <w:tcPr>
            <w:tcW w:w="1024" w:type="dxa"/>
            <w:vAlign w:val="center"/>
          </w:tcPr>
          <w:p>
            <w:pPr>
              <w:pStyle w:val="42"/>
            </w:pPr>
            <w:r>
              <w:rPr>
                <w:rFonts w:hint="eastAsia"/>
              </w:rPr>
              <w:t>0.001</w:t>
            </w:r>
            <w:r>
              <w:t>kg/万元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苯胺类</w:t>
            </w:r>
          </w:p>
        </w:tc>
        <w:tc>
          <w:tcPr>
            <w:tcW w:w="4129" w:type="dxa"/>
            <w:vAlign w:val="center"/>
          </w:tcPr>
          <w:p>
            <w:pPr>
              <w:pStyle w:val="42"/>
            </w:pPr>
            <w:r>
              <w:t>总排放量不超过水环境容量（125t/a）</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挥发酚</w:t>
            </w:r>
          </w:p>
        </w:tc>
        <w:tc>
          <w:tcPr>
            <w:tcW w:w="4129" w:type="dxa"/>
            <w:vAlign w:val="center"/>
          </w:tcPr>
          <w:p>
            <w:pPr>
              <w:pStyle w:val="42"/>
            </w:pPr>
            <w:r>
              <w:t>总排放量不超过水环境容量（11.35t/a）</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石油类</w:t>
            </w:r>
          </w:p>
        </w:tc>
        <w:tc>
          <w:tcPr>
            <w:tcW w:w="4129" w:type="dxa"/>
            <w:vAlign w:val="center"/>
          </w:tcPr>
          <w:p>
            <w:pPr>
              <w:pStyle w:val="42"/>
            </w:pPr>
            <w:r>
              <w:t>石油炼制业石油类排放量不超过0.2kg/t油</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硫化物</w:t>
            </w:r>
          </w:p>
        </w:tc>
        <w:tc>
          <w:tcPr>
            <w:tcW w:w="4129" w:type="dxa"/>
            <w:vAlign w:val="center"/>
          </w:tcPr>
          <w:p>
            <w:pPr>
              <w:pStyle w:val="42"/>
            </w:pPr>
            <w:r>
              <w:t>石油炼制业硫化物排放量不超过0.02kg/t油</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挥发酚</w:t>
            </w:r>
          </w:p>
        </w:tc>
        <w:tc>
          <w:tcPr>
            <w:tcW w:w="4129" w:type="dxa"/>
            <w:vAlign w:val="center"/>
          </w:tcPr>
          <w:p>
            <w:pPr>
              <w:pStyle w:val="42"/>
            </w:pPr>
            <w:r>
              <w:t>石油炼制业挥发酚排放量不超过0.04kg/t油</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restart"/>
            <w:vAlign w:val="center"/>
          </w:tcPr>
          <w:p>
            <w:pPr>
              <w:pStyle w:val="42"/>
            </w:pPr>
            <w:r>
              <w:t>环境</w:t>
            </w:r>
          </w:p>
          <w:p>
            <w:pPr>
              <w:pStyle w:val="42"/>
            </w:pPr>
            <w:r>
              <w:t>空气</w:t>
            </w:r>
          </w:p>
        </w:tc>
        <w:tc>
          <w:tcPr>
            <w:tcW w:w="2105" w:type="dxa"/>
            <w:gridSpan w:val="2"/>
            <w:vAlign w:val="center"/>
          </w:tcPr>
          <w:p>
            <w:pPr>
              <w:pStyle w:val="42"/>
            </w:pPr>
            <w:r>
              <w:t>环境空气质量</w:t>
            </w:r>
          </w:p>
        </w:tc>
        <w:tc>
          <w:tcPr>
            <w:tcW w:w="4129" w:type="dxa"/>
            <w:vAlign w:val="center"/>
          </w:tcPr>
          <w:p>
            <w:pPr>
              <w:pStyle w:val="42"/>
            </w:pPr>
            <w:r>
              <w:t>环境空气质量二级标准</w:t>
            </w:r>
          </w:p>
        </w:tc>
        <w:tc>
          <w:tcPr>
            <w:tcW w:w="1024" w:type="dxa"/>
            <w:vAlign w:val="center"/>
          </w:tcPr>
          <w:p>
            <w:pPr>
              <w:pStyle w:val="42"/>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restart"/>
            <w:vAlign w:val="center"/>
          </w:tcPr>
          <w:p>
            <w:pPr>
              <w:pStyle w:val="42"/>
            </w:pPr>
            <w:r>
              <w:t>大气污染物</w:t>
            </w:r>
          </w:p>
          <w:p>
            <w:pPr>
              <w:pStyle w:val="42"/>
            </w:pPr>
            <w:r>
              <w:t>排放</w:t>
            </w:r>
          </w:p>
        </w:tc>
        <w:tc>
          <w:tcPr>
            <w:tcW w:w="1283" w:type="dxa"/>
            <w:vAlign w:val="center"/>
          </w:tcPr>
          <w:p>
            <w:pPr>
              <w:pStyle w:val="42"/>
            </w:pPr>
            <w:r>
              <w:t>SO</w:t>
            </w:r>
            <w:r>
              <w:rPr>
                <w:vertAlign w:val="subscript"/>
              </w:rPr>
              <w:t>2</w:t>
            </w:r>
          </w:p>
        </w:tc>
        <w:tc>
          <w:tcPr>
            <w:tcW w:w="4129" w:type="dxa"/>
            <w:vAlign w:val="center"/>
          </w:tcPr>
          <w:p>
            <w:pPr>
              <w:pStyle w:val="42"/>
            </w:pPr>
            <w:r>
              <w:t>万元工业增加值不超过1kg/万元；</w:t>
            </w:r>
          </w:p>
          <w:p>
            <w:pPr>
              <w:pStyle w:val="42"/>
            </w:pPr>
            <w:r>
              <w:t>总排放量不超过环境容量（15897.98t/a）及区域污染物控制总量</w:t>
            </w:r>
          </w:p>
        </w:tc>
        <w:tc>
          <w:tcPr>
            <w:tcW w:w="1024" w:type="dxa"/>
            <w:vAlign w:val="center"/>
          </w:tcPr>
          <w:p>
            <w:pPr>
              <w:pStyle w:val="42"/>
            </w:pPr>
            <w:r>
              <w:rPr>
                <w:rFonts w:hint="eastAsia"/>
              </w:rPr>
              <w:t>0.136</w:t>
            </w:r>
            <w:r>
              <w:t xml:space="preserve"> kg/万元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NO</w:t>
            </w:r>
            <w:r>
              <w:rPr>
                <w:vertAlign w:val="subscript"/>
              </w:rPr>
              <w:t>x</w:t>
            </w:r>
          </w:p>
        </w:tc>
        <w:tc>
          <w:tcPr>
            <w:tcW w:w="4129" w:type="dxa"/>
            <w:vAlign w:val="center"/>
          </w:tcPr>
          <w:p>
            <w:pPr>
              <w:pStyle w:val="42"/>
            </w:pPr>
            <w:r>
              <w:t>万元工业增加值排放量不超过1.72kg/万元，总排放量不超过环境容量（13248.32t/a）及区域污染物控制总量</w:t>
            </w:r>
          </w:p>
        </w:tc>
        <w:tc>
          <w:tcPr>
            <w:tcW w:w="1024" w:type="dxa"/>
            <w:vAlign w:val="center"/>
          </w:tcPr>
          <w:p>
            <w:pPr>
              <w:pStyle w:val="42"/>
            </w:pPr>
            <w:r>
              <w:rPr>
                <w:rFonts w:hint="eastAsia"/>
              </w:rPr>
              <w:t>1.70</w:t>
            </w:r>
            <w:r>
              <w:t xml:space="preserve"> kg/万元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822" w:type="dxa"/>
            <w:vMerge w:val="continue"/>
            <w:vAlign w:val="center"/>
          </w:tcPr>
          <w:p>
            <w:pPr>
              <w:pStyle w:val="42"/>
            </w:pPr>
          </w:p>
        </w:tc>
        <w:tc>
          <w:tcPr>
            <w:tcW w:w="1283" w:type="dxa"/>
            <w:vAlign w:val="center"/>
          </w:tcPr>
          <w:p>
            <w:pPr>
              <w:pStyle w:val="42"/>
            </w:pPr>
            <w:r>
              <w:t>PM</w:t>
            </w:r>
            <w:r>
              <w:rPr>
                <w:vertAlign w:val="subscript"/>
              </w:rPr>
              <w:t>10</w:t>
            </w:r>
          </w:p>
        </w:tc>
        <w:tc>
          <w:tcPr>
            <w:tcW w:w="4129" w:type="dxa"/>
            <w:vAlign w:val="center"/>
          </w:tcPr>
          <w:p>
            <w:pPr>
              <w:pStyle w:val="42"/>
            </w:pPr>
            <w:r>
              <w:t>不超过环境容量（18547.65t/a）</w:t>
            </w:r>
          </w:p>
        </w:tc>
        <w:tc>
          <w:tcPr>
            <w:tcW w:w="1024"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废气达标排放率</w:t>
            </w:r>
          </w:p>
        </w:tc>
        <w:tc>
          <w:tcPr>
            <w:tcW w:w="4129" w:type="dxa"/>
            <w:vAlign w:val="center"/>
          </w:tcPr>
          <w:p>
            <w:pPr>
              <w:pStyle w:val="42"/>
            </w:pPr>
            <w:r>
              <w:t>100%</w:t>
            </w:r>
          </w:p>
        </w:tc>
        <w:tc>
          <w:tcPr>
            <w:tcW w:w="1024"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工业区与居民区的临近度</w:t>
            </w:r>
          </w:p>
        </w:tc>
        <w:tc>
          <w:tcPr>
            <w:tcW w:w="4129" w:type="dxa"/>
            <w:vAlign w:val="center"/>
          </w:tcPr>
          <w:p>
            <w:pPr>
              <w:pStyle w:val="42"/>
            </w:pPr>
            <w:r>
              <w:t>满足防护距离要求</w:t>
            </w:r>
          </w:p>
        </w:tc>
        <w:tc>
          <w:tcPr>
            <w:tcW w:w="1024" w:type="dxa"/>
            <w:vAlign w:val="center"/>
          </w:tcPr>
          <w:p>
            <w:pPr>
              <w:pStyle w:val="42"/>
            </w:pPr>
            <w: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restart"/>
            <w:vAlign w:val="center"/>
          </w:tcPr>
          <w:p>
            <w:pPr>
              <w:pStyle w:val="42"/>
            </w:pPr>
            <w:r>
              <w:t>固体</w:t>
            </w:r>
          </w:p>
          <w:p>
            <w:pPr>
              <w:pStyle w:val="42"/>
            </w:pPr>
            <w:r>
              <w:t>废物</w:t>
            </w:r>
          </w:p>
        </w:tc>
        <w:tc>
          <w:tcPr>
            <w:tcW w:w="2105" w:type="dxa"/>
            <w:gridSpan w:val="2"/>
            <w:vAlign w:val="center"/>
          </w:tcPr>
          <w:p>
            <w:pPr>
              <w:pStyle w:val="42"/>
            </w:pPr>
            <w:r>
              <w:t>单位工业增加值固废产生量</w:t>
            </w:r>
          </w:p>
        </w:tc>
        <w:tc>
          <w:tcPr>
            <w:tcW w:w="4129" w:type="dxa"/>
            <w:vAlign w:val="center"/>
          </w:tcPr>
          <w:p>
            <w:pPr>
              <w:pStyle w:val="42"/>
            </w:pPr>
            <w:r>
              <w:t>不超过0.1t/万元</w:t>
            </w:r>
          </w:p>
        </w:tc>
        <w:tc>
          <w:tcPr>
            <w:tcW w:w="1024" w:type="dxa"/>
            <w:vAlign w:val="center"/>
          </w:tcPr>
          <w:p>
            <w:pPr>
              <w:pStyle w:val="42"/>
            </w:pPr>
            <w:r>
              <w:rPr>
                <w:rFonts w:hint="eastAsia"/>
              </w:rPr>
              <w:t>0.01</w:t>
            </w:r>
            <w:r>
              <w:t>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工业固体废物综合利用率</w:t>
            </w:r>
          </w:p>
        </w:tc>
        <w:tc>
          <w:tcPr>
            <w:tcW w:w="4129" w:type="dxa"/>
            <w:vAlign w:val="center"/>
          </w:tcPr>
          <w:p>
            <w:pPr>
              <w:pStyle w:val="42"/>
            </w:pPr>
            <w:r>
              <w:t>96%</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农药废弃物处置率</w:t>
            </w:r>
          </w:p>
        </w:tc>
        <w:tc>
          <w:tcPr>
            <w:tcW w:w="4129" w:type="dxa"/>
            <w:vAlign w:val="center"/>
          </w:tcPr>
          <w:p>
            <w:pPr>
              <w:pStyle w:val="42"/>
            </w:pPr>
            <w:r>
              <w:t>50%</w:t>
            </w:r>
          </w:p>
        </w:tc>
        <w:tc>
          <w:tcPr>
            <w:tcW w:w="1024"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危险废物处置率</w:t>
            </w:r>
          </w:p>
        </w:tc>
        <w:tc>
          <w:tcPr>
            <w:tcW w:w="4129" w:type="dxa"/>
            <w:vAlign w:val="center"/>
          </w:tcPr>
          <w:p>
            <w:pPr>
              <w:pStyle w:val="42"/>
            </w:pPr>
            <w:r>
              <w:t>100%</w:t>
            </w:r>
          </w:p>
        </w:tc>
        <w:tc>
          <w:tcPr>
            <w:tcW w:w="1024" w:type="dxa"/>
            <w:vAlign w:val="center"/>
          </w:tcPr>
          <w:p>
            <w:pPr>
              <w:pStyle w:val="42"/>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1" w:type="dxa"/>
            <w:vMerge w:val="continue"/>
            <w:vAlign w:val="center"/>
          </w:tcPr>
          <w:p>
            <w:pPr>
              <w:pStyle w:val="42"/>
            </w:pPr>
          </w:p>
        </w:tc>
        <w:tc>
          <w:tcPr>
            <w:tcW w:w="643" w:type="dxa"/>
            <w:vMerge w:val="continue"/>
            <w:vAlign w:val="center"/>
          </w:tcPr>
          <w:p>
            <w:pPr>
              <w:pStyle w:val="42"/>
            </w:pPr>
          </w:p>
        </w:tc>
        <w:tc>
          <w:tcPr>
            <w:tcW w:w="2105" w:type="dxa"/>
            <w:gridSpan w:val="2"/>
            <w:vAlign w:val="center"/>
          </w:tcPr>
          <w:p>
            <w:pPr>
              <w:pStyle w:val="42"/>
            </w:pPr>
            <w:r>
              <w:t>固体废物处理处置率</w:t>
            </w:r>
          </w:p>
        </w:tc>
        <w:tc>
          <w:tcPr>
            <w:tcW w:w="4129" w:type="dxa"/>
            <w:vAlign w:val="center"/>
          </w:tcPr>
          <w:p>
            <w:pPr>
              <w:pStyle w:val="42"/>
            </w:pPr>
            <w:r>
              <w:t>100%</w:t>
            </w:r>
          </w:p>
        </w:tc>
        <w:tc>
          <w:tcPr>
            <w:tcW w:w="1024" w:type="dxa"/>
            <w:vAlign w:val="center"/>
          </w:tcPr>
          <w:p>
            <w:pPr>
              <w:pStyle w:val="42"/>
            </w:pPr>
            <w:r>
              <w:t>100%</w:t>
            </w:r>
          </w:p>
        </w:tc>
      </w:tr>
    </w:tbl>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t>环境准入负面清单</w:t>
      </w:r>
    </w:p>
    <w:p>
      <w:pPr>
        <w:ind w:firstLine="480"/>
      </w:pPr>
      <w:r>
        <w:t>从保护规划区所涉各敏感目标的角度出发，对规划引进的工业项目实施限制。</w:t>
      </w:r>
    </w:p>
    <w:p>
      <w:pPr>
        <w:ind w:firstLine="480"/>
      </w:pPr>
      <w:r>
        <w:rPr>
          <w:rFonts w:ascii="宋体" w:hAnsi="宋体"/>
        </w:rPr>
        <w:t>a</w:t>
      </w:r>
      <w:r>
        <w:rPr>
          <w:rFonts w:hint="eastAsia" w:ascii="宋体" w:hAnsi="宋体"/>
        </w:rPr>
        <w:t>、</w:t>
      </w:r>
      <w:r>
        <w:t>禁止引入不符合各标准分区产业定位的项目，入区项目必须符合国家产业政策与规划区产业发展规划。优先引进属国家《产业结构调整指导目录》鼓励类、有利于促进区域资源深度转化和综合利用、有利于延伸产业链、促进规划区主导产业规模配置和壮大的产业项目。</w:t>
      </w:r>
    </w:p>
    <w:p>
      <w:pPr>
        <w:ind w:firstLine="480"/>
      </w:pPr>
      <w:r>
        <w:rPr>
          <w:rFonts w:ascii="宋体" w:hAnsi="宋体"/>
        </w:rPr>
        <w:t>b</w:t>
      </w:r>
      <w:r>
        <w:rPr>
          <w:rFonts w:hint="eastAsia" w:ascii="宋体" w:hAnsi="宋体"/>
        </w:rPr>
        <w:t>、</w:t>
      </w:r>
      <w:r>
        <w:t>新建工业项目产出强度不得低于100亿元/平方公里。</w:t>
      </w:r>
    </w:p>
    <w:p>
      <w:pPr>
        <w:ind w:firstLine="480"/>
      </w:pPr>
      <w:r>
        <w:rPr>
          <w:rFonts w:ascii="宋体" w:hAnsi="宋体"/>
        </w:rPr>
        <w:t>c</w:t>
      </w:r>
      <w:r>
        <w:rPr>
          <w:rFonts w:hint="eastAsia" w:ascii="宋体" w:hAnsi="宋体"/>
        </w:rPr>
        <w:t>、</w:t>
      </w:r>
      <w:r>
        <w:t>防止恶臭污染严重企业入驻；</w:t>
      </w:r>
    </w:p>
    <w:p>
      <w:pPr>
        <w:ind w:firstLine="480"/>
      </w:pPr>
      <w:r>
        <w:rPr>
          <w:rFonts w:hint="eastAsia" w:ascii="宋体" w:hAnsi="宋体"/>
        </w:rPr>
        <w:t>d、</w:t>
      </w:r>
      <w:r>
        <w:t>严格限制新建、扩建可能对长寿中心城区大气产生影响的燃用煤、重油等重污染燃料的工业项目</w:t>
      </w:r>
    </w:p>
    <w:p>
      <w:pPr>
        <w:ind w:firstLine="480"/>
      </w:pPr>
      <w:r>
        <w:rPr>
          <w:rFonts w:hint="eastAsia" w:ascii="宋体" w:hAnsi="宋体"/>
        </w:rPr>
        <w:t>e、</w:t>
      </w:r>
      <w:r>
        <w:t>入驻农药类项目须符合国家及地方相关产业政策，建议优先引进鼓励类项目；引进染料类项目须为国家鼓励类项目，其余项目禁止引入。</w:t>
      </w:r>
    </w:p>
    <w:p>
      <w:pPr>
        <w:ind w:firstLine="480"/>
      </w:pPr>
      <w:r>
        <w:rPr>
          <w:rFonts w:ascii="宋体" w:hAnsi="宋体"/>
        </w:rPr>
        <w:t>f</w:t>
      </w:r>
      <w:r>
        <w:rPr>
          <w:rFonts w:hint="eastAsia" w:ascii="宋体" w:hAnsi="宋体"/>
        </w:rPr>
        <w:t>、</w:t>
      </w:r>
      <w:r>
        <w:t>凡属《产业结构调整指导目录（2011年本）》（2013年修订）中淘汰类、限制类项目严禁进入，现有限制类项目只限进行技术改造升级。</w:t>
      </w:r>
    </w:p>
    <w:p>
      <w:pPr>
        <w:ind w:firstLine="480"/>
      </w:pPr>
      <w:r>
        <w:rPr>
          <w:rFonts w:ascii="宋体" w:hAnsi="宋体"/>
        </w:rPr>
        <w:t>g</w:t>
      </w:r>
      <w:r>
        <w:rPr>
          <w:rFonts w:hint="eastAsia" w:ascii="宋体" w:hAnsi="宋体"/>
        </w:rPr>
        <w:t>、</w:t>
      </w:r>
      <w:r>
        <w:t>禁止劳动保护、“三废”治理不能达到国家标准的项目；技术落后、项目清洁生产水平不能达到国内先进清洁生产水平的项目。</w:t>
      </w:r>
    </w:p>
    <w:p>
      <w:pPr>
        <w:ind w:firstLine="480"/>
      </w:pPr>
      <w:r>
        <w:rPr>
          <w:rFonts w:ascii="宋体" w:hAnsi="宋体"/>
        </w:rPr>
        <w:t>h</w:t>
      </w:r>
      <w:r>
        <w:rPr>
          <w:rFonts w:hint="eastAsia" w:ascii="宋体" w:hAnsi="宋体"/>
        </w:rPr>
        <w:t>、</w:t>
      </w:r>
      <w:r>
        <w:t>规划区引入的工业企业应充分考虑其对D标准分区、川维家属区片区的影响，优化布局、落实防护距离和污染防治措施；A标准分区禁止引入大气污染严重的项目。</w:t>
      </w:r>
    </w:p>
    <w:p>
      <w:pPr>
        <w:ind w:firstLine="480"/>
      </w:pPr>
      <w:r>
        <w:rPr>
          <w:rFonts w:ascii="宋体" w:hAnsi="宋体"/>
        </w:rPr>
        <w:t>i</w:t>
      </w:r>
      <w:r>
        <w:rPr>
          <w:rFonts w:hint="eastAsia" w:ascii="宋体" w:hAnsi="宋体"/>
        </w:rPr>
        <w:t>、</w:t>
      </w:r>
      <w:r>
        <w:t>关于煤质的要求：禁止建设燃煤火电。除大型石化、化工产业外，其余企业禁止自备热电项目。新建热电项目，以热定电。</w:t>
      </w:r>
    </w:p>
    <w:p>
      <w:pPr>
        <w:ind w:firstLine="480"/>
      </w:pPr>
      <w:r>
        <w:t>根据项目入区条件，对入区项目划分以下几类：</w:t>
      </w:r>
    </w:p>
    <w:p>
      <w:pPr>
        <w:ind w:firstLine="480"/>
      </w:pPr>
      <w:r>
        <w:rPr>
          <w:rFonts w:ascii="宋体" w:hAnsi="宋体"/>
        </w:rPr>
        <w:t>a</w:t>
      </w:r>
      <w:r>
        <w:rPr>
          <w:rFonts w:hint="eastAsia" w:ascii="宋体" w:hAnsi="宋体"/>
        </w:rPr>
        <w:t>、</w:t>
      </w:r>
      <w:r>
        <w:t>鼓励类</w:t>
      </w:r>
    </w:p>
    <w:p>
      <w:pPr>
        <w:ind w:firstLine="480"/>
      </w:pPr>
      <w:r>
        <w:t>在满足产业定位的前提下，优先引进《产业结构调整指导目录(201</w:t>
      </w:r>
      <w:r>
        <w:rPr>
          <w:rFonts w:hint="eastAsia"/>
        </w:rPr>
        <w:t>9</w:t>
      </w:r>
      <w:r>
        <w:t>年本）》、《外商投资产业指导目录(2011年修订)》中的“鼓励类”项目。不排斥符合产业政策，并属于完善产业链构建循环经济及规划区相关配套企业入驻。</w:t>
      </w:r>
    </w:p>
    <w:p>
      <w:pPr>
        <w:ind w:firstLine="480"/>
      </w:pPr>
      <w:r>
        <w:rPr>
          <w:rFonts w:ascii="宋体" w:hAnsi="宋体"/>
        </w:rPr>
        <w:t>b</w:t>
      </w:r>
      <w:r>
        <w:rPr>
          <w:rFonts w:hint="eastAsia" w:ascii="宋体" w:hAnsi="宋体"/>
        </w:rPr>
        <w:t>、</w:t>
      </w:r>
      <w:r>
        <w:t>限制类</w:t>
      </w:r>
    </w:p>
    <w:p>
      <w:pPr>
        <w:ind w:firstLine="480"/>
      </w:pPr>
      <w:r>
        <w:t>严格限制引进《产业结构调整指导目录(201</w:t>
      </w:r>
      <w:r>
        <w:rPr>
          <w:rFonts w:hint="eastAsia"/>
        </w:rPr>
        <w:t>9</w:t>
      </w:r>
      <w:r>
        <w:t>年本)》(修订)、《外商投资产业指导目录(2011年修订)》中所列的限制类项目。</w:t>
      </w:r>
    </w:p>
    <w:p>
      <w:pPr>
        <w:ind w:firstLine="480"/>
      </w:pPr>
      <w:r>
        <w:rPr>
          <w:rFonts w:ascii="宋体" w:hAnsi="宋体"/>
        </w:rPr>
        <w:t>c</w:t>
      </w:r>
      <w:r>
        <w:rPr>
          <w:rFonts w:hint="eastAsia" w:ascii="宋体" w:hAnsi="宋体"/>
        </w:rPr>
        <w:t>、</w:t>
      </w:r>
      <w:r>
        <w:t>禁止类</w:t>
      </w:r>
    </w:p>
    <w:p>
      <w:pPr>
        <w:ind w:firstLine="480"/>
      </w:pPr>
      <w:r>
        <w:t>禁止引进《产业结构调整指导目录(201</w:t>
      </w:r>
      <w:r>
        <w:rPr>
          <w:rFonts w:hint="eastAsia"/>
        </w:rPr>
        <w:t>9</w:t>
      </w:r>
      <w:r>
        <w:t>年本)》(修订)、《外商投资产业指导目录（2011年修订）》中所列“淘汰类”项目；禁止引进《限制用地项目目录（2012年本）》和《禁止用地项目目录（2012年本）》中所列项目。禁止引进涉及《部分工业行业淘汰落后生产工艺装备和产品指导目录(2010年本）》的项目；禁止引进存在重大环境安全隐患的工业项目；不得采用国家和重庆市淘汰的或禁止使用的工艺、技术和设备；禁止引进生产工艺或污染防治技术不成熟的项目。</w:t>
      </w:r>
    </w:p>
    <w:p>
      <w:pPr>
        <w:ind w:firstLine="480"/>
      </w:pPr>
      <w:r>
        <w:rPr>
          <w:rFonts w:ascii="宋体" w:hAnsi="宋体"/>
        </w:rPr>
        <w:t>d</w:t>
      </w:r>
      <w:r>
        <w:rPr>
          <w:rFonts w:hint="eastAsia" w:ascii="宋体" w:hAnsi="宋体"/>
        </w:rPr>
        <w:t>、</w:t>
      </w:r>
      <w:r>
        <w:t>允许类</w:t>
      </w:r>
    </w:p>
    <w:p>
      <w:pPr>
        <w:ind w:firstLine="480"/>
      </w:pPr>
      <w:r>
        <w:t>除上述禁止、限制、鼓励类以外，晏家组团各标准分区同时也不排斥本规划区主导产业的上下游企业、循环经济项目以及与规划区主业不相禁忌和不矛盾、不形成交叉影响的企业。</w:t>
      </w:r>
    </w:p>
    <w:p>
      <w:pPr>
        <w:ind w:firstLine="480"/>
      </w:pPr>
      <w:r>
        <w:t>拟建项目为《产业结构调整指导目录(201</w:t>
      </w:r>
      <w:r>
        <w:rPr>
          <w:rFonts w:hint="eastAsia"/>
        </w:rPr>
        <w:t>9</w:t>
      </w:r>
      <w:r>
        <w:t>年本）》中的“允许类”，符合国家产业政策，清洁生产达到国内先进水平，有利于推动长寿经济技术开发区晏家组团的良好发展。拟建项目符合“生态保护红线、环境质量底线、资源利用上线和环境准入负面清单”等要求。</w:t>
      </w:r>
    </w:p>
    <w:p>
      <w:pPr>
        <w:pStyle w:val="5"/>
      </w:pPr>
      <w:r>
        <w:rPr>
          <w:rFonts w:hint="eastAsia"/>
        </w:rPr>
        <w:t>1.8.4.4与《长寿区企业安全环保标准化建设工作指导意见》（长寿府办发[2018]182号）符合性分析</w:t>
      </w:r>
    </w:p>
    <w:p>
      <w:pPr>
        <w:ind w:firstLine="480"/>
      </w:pPr>
      <w:r>
        <w:rPr>
          <w:rFonts w:hint="eastAsia"/>
        </w:rPr>
        <w:t>拟建项目与《长寿区企业安全环保标准化建设工作指导意见》（长寿府办发[2018]182号）符合性分析见表1.8.4-5。</w:t>
      </w:r>
    </w:p>
    <w:p>
      <w:pPr>
        <w:pStyle w:val="41"/>
      </w:pPr>
      <w:r>
        <w:rPr>
          <w:rFonts w:hint="eastAsia"/>
        </w:rPr>
        <w:t>表1.8.4-5 与《长寿区企业安全环保标准化建设工作指导意见》的符合性分析一览表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6"/>
        <w:gridCol w:w="3911"/>
        <w:gridCol w:w="3109"/>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10" w:type="pct"/>
            <w:vAlign w:val="center"/>
          </w:tcPr>
          <w:p>
            <w:pPr>
              <w:pStyle w:val="42"/>
            </w:pPr>
            <w:r>
              <w:t>序号</w:t>
            </w:r>
          </w:p>
        </w:tc>
        <w:tc>
          <w:tcPr>
            <w:tcW w:w="2339" w:type="pct"/>
            <w:vAlign w:val="center"/>
          </w:tcPr>
          <w:p>
            <w:pPr>
              <w:pStyle w:val="42"/>
            </w:pPr>
            <w:r>
              <w:rPr>
                <w:rFonts w:hint="eastAsia"/>
              </w:rPr>
              <w:t>环境治理</w:t>
            </w:r>
            <w:r>
              <w:t>要求</w:t>
            </w:r>
          </w:p>
        </w:tc>
        <w:tc>
          <w:tcPr>
            <w:tcW w:w="1859" w:type="pct"/>
            <w:vAlign w:val="center"/>
          </w:tcPr>
          <w:p>
            <w:pPr>
              <w:pStyle w:val="42"/>
            </w:pPr>
            <w:r>
              <w:t>项目情况</w:t>
            </w:r>
          </w:p>
        </w:tc>
        <w:tc>
          <w:tcPr>
            <w:tcW w:w="392" w:type="pct"/>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restart"/>
            <w:vAlign w:val="center"/>
          </w:tcPr>
          <w:p>
            <w:pPr>
              <w:pStyle w:val="42"/>
            </w:pPr>
            <w:r>
              <w:t>（一）源头管理</w:t>
            </w:r>
          </w:p>
        </w:tc>
        <w:tc>
          <w:tcPr>
            <w:tcW w:w="2339" w:type="pct"/>
            <w:vAlign w:val="center"/>
          </w:tcPr>
          <w:p>
            <w:pPr>
              <w:pStyle w:val="42"/>
            </w:pPr>
            <w:r>
              <w:t>24．应采取先进装备设施、技术工艺和方法，加强过程控制。</w:t>
            </w:r>
          </w:p>
        </w:tc>
        <w:tc>
          <w:tcPr>
            <w:tcW w:w="1859" w:type="pct"/>
            <w:vAlign w:val="center"/>
          </w:tcPr>
          <w:p>
            <w:pPr>
              <w:pStyle w:val="42"/>
            </w:pPr>
            <w:r>
              <w:t>项目技术成熟</w:t>
            </w:r>
            <w:r>
              <w:rPr>
                <w:rFonts w:hint="eastAsia"/>
              </w:rPr>
              <w:t>、</w:t>
            </w:r>
            <w:r>
              <w:t>生产工艺先进</w:t>
            </w:r>
            <w:r>
              <w:rPr>
                <w:rFonts w:hint="eastAsia"/>
              </w:rPr>
              <w:t>，全过程控制</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25．所有流体物质采用储罐化储存，管道化输送，密闭化、连续化、自控化生产等方式减少废气的产生及排放。</w:t>
            </w:r>
          </w:p>
        </w:tc>
        <w:tc>
          <w:tcPr>
            <w:tcW w:w="1859" w:type="pct"/>
            <w:vAlign w:val="center"/>
          </w:tcPr>
          <w:p>
            <w:pPr>
              <w:pStyle w:val="42"/>
            </w:pPr>
            <w:r>
              <w:rPr>
                <w:rFonts w:hint="eastAsia"/>
              </w:rPr>
              <w:t>项目业态CO</w:t>
            </w:r>
            <w:r>
              <w:rPr>
                <w:rFonts w:hint="eastAsia"/>
                <w:vertAlign w:val="subscript"/>
              </w:rPr>
              <w:t>2</w:t>
            </w:r>
            <w:r>
              <w:rPr>
                <w:rFonts w:hint="eastAsia"/>
              </w:rPr>
              <w:t>和液氨</w:t>
            </w:r>
            <w:r>
              <w:t>采用</w:t>
            </w:r>
            <w:r>
              <w:rPr>
                <w:rFonts w:hint="eastAsia"/>
              </w:rPr>
              <w:t>储罐储存、</w:t>
            </w:r>
            <w:r>
              <w:t>管道输送，密闭、连续、自控化</w:t>
            </w:r>
            <w:r>
              <w:rPr>
                <w:rFonts w:hint="eastAsia"/>
              </w:rPr>
              <w:t>控制，</w:t>
            </w:r>
            <w:r>
              <w:t>有效的减少废气的产生及排放</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26．易挥发化学品必须采用带呼吸阀的储罐、储槽等密闭系统储存，以减少废气无组织排放。</w:t>
            </w:r>
          </w:p>
        </w:tc>
        <w:tc>
          <w:tcPr>
            <w:tcW w:w="1859" w:type="pct"/>
            <w:vAlign w:val="center"/>
          </w:tcPr>
          <w:p>
            <w:pPr>
              <w:pStyle w:val="42"/>
            </w:pPr>
            <w:r>
              <w:rPr>
                <w:rFonts w:hint="eastAsia"/>
              </w:rPr>
              <w:t>/</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27．液体化学品装卸必须采用装有与配套槽车或类似容器匹配的平衡管的装卸系统。</w:t>
            </w:r>
          </w:p>
        </w:tc>
        <w:tc>
          <w:tcPr>
            <w:tcW w:w="1859" w:type="pct"/>
            <w:vAlign w:val="center"/>
          </w:tcPr>
          <w:p>
            <w:pPr>
              <w:pStyle w:val="42"/>
            </w:pPr>
            <w:r>
              <w:rPr>
                <w:rFonts w:hint="eastAsia"/>
              </w:rPr>
              <w:t>拟建项目液氨直接通过管道输送至卡贝乐公司液氨储罐</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28．储罐呼吸气须进行收集处理；确有必要采用桶装原料，须用负压或抽吸式方式输送。</w:t>
            </w:r>
          </w:p>
        </w:tc>
        <w:tc>
          <w:tcPr>
            <w:tcW w:w="1859" w:type="pct"/>
            <w:vAlign w:val="center"/>
          </w:tcPr>
          <w:p>
            <w:pPr>
              <w:pStyle w:val="42"/>
            </w:pPr>
            <w:r>
              <w:rPr>
                <w:rFonts w:hint="eastAsia"/>
              </w:rPr>
              <w:t>/</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restart"/>
            <w:vAlign w:val="center"/>
          </w:tcPr>
          <w:p>
            <w:pPr>
              <w:pStyle w:val="42"/>
            </w:pPr>
            <w:r>
              <w:t>（二）废水收集处置</w:t>
            </w:r>
          </w:p>
        </w:tc>
        <w:tc>
          <w:tcPr>
            <w:tcW w:w="2339" w:type="pct"/>
            <w:vAlign w:val="center"/>
          </w:tcPr>
          <w:p>
            <w:pPr>
              <w:pStyle w:val="42"/>
            </w:pPr>
            <w:r>
              <w:t>29．企业生产污水应按照清污分流、雨污分流、污污分流的原则做好废水的分类收集工作，提倡分类收集，分质处理。</w:t>
            </w:r>
          </w:p>
        </w:tc>
        <w:tc>
          <w:tcPr>
            <w:tcW w:w="1859" w:type="pct"/>
            <w:vAlign w:val="center"/>
          </w:tcPr>
          <w:p>
            <w:pPr>
              <w:pStyle w:val="42"/>
            </w:pPr>
            <w:r>
              <w:t>采取清污分流、雨污分流、污污分流，分类收集，分质处理</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30．企业原则上只能设置一个雨水排口和一个污水排口；排污口必须按国家和重庆市的相关规范要求设置采样、流量测定等要求建设；一类污染物等国家和地方有特别管控要求的，应严格按要求在车间或设施排放口实现达标排放。</w:t>
            </w:r>
          </w:p>
        </w:tc>
        <w:tc>
          <w:tcPr>
            <w:tcW w:w="1859" w:type="pct"/>
            <w:vAlign w:val="center"/>
          </w:tcPr>
          <w:p>
            <w:pPr>
              <w:pStyle w:val="42"/>
            </w:pPr>
            <w:r>
              <w:rPr>
                <w:rFonts w:hint="eastAsia"/>
              </w:rPr>
              <w:t>厂区</w:t>
            </w:r>
            <w:r>
              <w:t>设置一个雨水排口和一个污水排口；排污口按国家和重庆市的相关规范要求设置采样、流量测定等要求建设</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31．企业生产废水（含实验室废水、地面清洗水等）、生活污水（食堂、厕所等）全部收集进入本企业污水处理系统，处理达到接纳要求后通过管网系统输送至集中式污水处理厂。</w:t>
            </w:r>
          </w:p>
        </w:tc>
        <w:tc>
          <w:tcPr>
            <w:tcW w:w="1859" w:type="pct"/>
            <w:vAlign w:val="center"/>
          </w:tcPr>
          <w:p>
            <w:pPr>
              <w:pStyle w:val="42"/>
            </w:pPr>
            <w:r>
              <w:t>企业生产废水、生活污水全部进入污水处理系统，处理达到接纳要求后通过管网系统输送至</w:t>
            </w:r>
            <w:r>
              <w:rPr>
                <w:rFonts w:hint="eastAsia"/>
              </w:rPr>
              <w:t>中法</w:t>
            </w:r>
            <w:r>
              <w:t>污水处理厂</w:t>
            </w:r>
            <w:r>
              <w:rPr>
                <w:rFonts w:hint="eastAsia"/>
              </w:rPr>
              <w:t>处理</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32．新入驻项目生产污水必须实现污水管网可视化（采用上管架、地面铺设或地沟铺设等方式），并应设置污水名称、流向标识等；污水管网材质须选用防腐蚀防渗材质，在本指导意见发布前已建成的化工企业，在2020年底前全部完成生产污水管网可视化改造。</w:t>
            </w:r>
          </w:p>
        </w:tc>
        <w:tc>
          <w:tcPr>
            <w:tcW w:w="1859" w:type="pct"/>
            <w:vAlign w:val="center"/>
          </w:tcPr>
          <w:p>
            <w:pPr>
              <w:pStyle w:val="42"/>
            </w:pPr>
            <w:r>
              <w:t>生产废水实现管网可视化，并设置污水名称、流向标识等；污水管网材质选用防腐蚀防渗材质</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33．有清净下水排放的企业，须采用专管排入雨水总排口，不得和雨水共用同一套管网，应在接入雨水总排口前设置观测井；清净下水和雨水收集管网须选用防腐蚀防渗材质。</w:t>
            </w:r>
          </w:p>
        </w:tc>
        <w:tc>
          <w:tcPr>
            <w:tcW w:w="1859" w:type="pct"/>
            <w:vAlign w:val="center"/>
          </w:tcPr>
          <w:p>
            <w:pPr>
              <w:pStyle w:val="42"/>
            </w:pPr>
            <w:r>
              <w:rPr>
                <w:rFonts w:hint="eastAsia"/>
              </w:rPr>
              <w:t>/</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34．规范建设雨水排放设施，最终排放口与外部水体间安装切断设施。需设置雨污切换装置的企业，应配套建设足够容积的雨水收集池，雨污切换阀常态下切向收集池端，确保地面冲洗水、前15分钟的初期雨水得到全部收集。</w:t>
            </w:r>
          </w:p>
        </w:tc>
        <w:tc>
          <w:tcPr>
            <w:tcW w:w="1859" w:type="pct"/>
            <w:vAlign w:val="center"/>
          </w:tcPr>
          <w:p>
            <w:pPr>
              <w:pStyle w:val="42"/>
            </w:pPr>
            <w:r>
              <w:t>雨水排放口与外部水体间安装切断设施</w:t>
            </w:r>
            <w:r>
              <w:rPr>
                <w:rFonts w:hint="eastAsia"/>
              </w:rPr>
              <w:t>，</w:t>
            </w:r>
            <w:r>
              <w:t>建设</w:t>
            </w:r>
            <w:r>
              <w:rPr>
                <w:rFonts w:hint="eastAsia"/>
              </w:rPr>
              <w:t>有效容积1850</w:t>
            </w:r>
            <w:r>
              <w:t>m</w:t>
            </w:r>
            <w:r>
              <w:rPr>
                <w:vertAlign w:val="superscript"/>
              </w:rPr>
              <w:t>3</w:t>
            </w:r>
            <w:r>
              <w:t>的</w:t>
            </w:r>
            <w:r>
              <w:rPr>
                <w:rFonts w:hint="eastAsia"/>
              </w:rPr>
              <w:t>事故池</w:t>
            </w:r>
            <w:r>
              <w:t>，雨污切换阀常态下切向收集池端，确保地面冲洗水、前15分钟的初期雨水得到全部收集</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restart"/>
            <w:vAlign w:val="center"/>
          </w:tcPr>
          <w:p>
            <w:pPr>
              <w:pStyle w:val="42"/>
            </w:pPr>
            <w:r>
              <w:t>（三）废气收集处理</w:t>
            </w:r>
          </w:p>
        </w:tc>
        <w:tc>
          <w:tcPr>
            <w:tcW w:w="2339" w:type="pct"/>
            <w:vAlign w:val="center"/>
          </w:tcPr>
          <w:p>
            <w:pPr>
              <w:pStyle w:val="42"/>
            </w:pPr>
            <w:r>
              <w:t>35．废气应分类收集、分质处理，采用各种成熟的工艺和设备处理各类废气。</w:t>
            </w:r>
          </w:p>
        </w:tc>
        <w:tc>
          <w:tcPr>
            <w:tcW w:w="1859" w:type="pct"/>
            <w:vAlign w:val="center"/>
          </w:tcPr>
          <w:p>
            <w:pPr>
              <w:pStyle w:val="42"/>
            </w:pPr>
            <w:r>
              <w:rPr>
                <w:rFonts w:hint="eastAsia"/>
              </w:rPr>
              <w:t>一段转化炉以清洁能源天然气、同时补充部分回用气为原料，能实现达标排放</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36．企业装卸、投料、出料、固液分离、物料转移、反应过程等生产环节产生的废气和真空泵废气，储槽区呼吸口废气，污水站废气，危险废物储存场所产生的废气等全部收集送配套废气处理设施。</w:t>
            </w:r>
          </w:p>
        </w:tc>
        <w:tc>
          <w:tcPr>
            <w:tcW w:w="1859" w:type="pct"/>
            <w:vAlign w:val="center"/>
          </w:tcPr>
          <w:p>
            <w:pPr>
              <w:pStyle w:val="42"/>
            </w:pPr>
            <w:r>
              <w:t>企业装卸、投料、出料、固液分离、物料转移、反应过程等生产环节产生的废气和真空泵废气，储槽区呼吸口废气，污水站废气，危险废物储存场所产生的废气等</w:t>
            </w:r>
            <w:r>
              <w:rPr>
                <w:rFonts w:hint="eastAsia"/>
              </w:rPr>
              <w:t>均</w:t>
            </w:r>
            <w:r>
              <w:t>全部收集送配套废气处理设施</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37．非水溶性组分的废气不得仅采用吸收方式处理，禁止将高浓度废气直接与大风量、低浓度废气混合稀释排放。</w:t>
            </w:r>
          </w:p>
        </w:tc>
        <w:tc>
          <w:tcPr>
            <w:tcW w:w="1859" w:type="pct"/>
            <w:vAlign w:val="center"/>
          </w:tcPr>
          <w:p>
            <w:pPr>
              <w:pStyle w:val="42"/>
            </w:pPr>
            <w:r>
              <w:rPr>
                <w:rFonts w:hint="eastAsia"/>
              </w:rPr>
              <w:t>/</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38．各企业应合理选择废气末端治理工艺路线，优先考虑焚烧处理方式，不能焚烧的，要根据废气浓度和性状差异采用碱吸收、酸吸收、冷凝等其他适用的新技术，不推荐使用活性炭吸附、光催化氧化和低温等离子等低效处理技术。采样监测平台和采样孔需满足《固定源废气监测技术规范》（HJT 397－2007），废气处理系统应按国家和地方要求采用监控手段，实现稳定达标排放且不造成臭气扰民。若发生臭气扰民，应立即停产，进行臭气深度治理整改。</w:t>
            </w:r>
          </w:p>
        </w:tc>
        <w:tc>
          <w:tcPr>
            <w:tcW w:w="1859" w:type="pct"/>
            <w:vAlign w:val="center"/>
          </w:tcPr>
          <w:p>
            <w:pPr>
              <w:pStyle w:val="42"/>
            </w:pPr>
            <w:r>
              <w:t>废气处理系统按国家和地方要求采用监控手段，实现稳定达标排放</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restart"/>
            <w:vAlign w:val="center"/>
          </w:tcPr>
          <w:p>
            <w:pPr>
              <w:pStyle w:val="42"/>
            </w:pPr>
            <w:r>
              <w:t>（四）固废处理</w:t>
            </w:r>
          </w:p>
        </w:tc>
        <w:tc>
          <w:tcPr>
            <w:tcW w:w="2339" w:type="pct"/>
            <w:vAlign w:val="center"/>
          </w:tcPr>
          <w:p>
            <w:pPr>
              <w:pStyle w:val="42"/>
            </w:pPr>
            <w:r>
              <w:t>39．企业的各类固废处理应符合减量化、无害化、资源化的要求，首先应考虑综合利用，之后再分类存放，转移处置应遵守国家和重庆市有关规定。</w:t>
            </w:r>
          </w:p>
        </w:tc>
        <w:tc>
          <w:tcPr>
            <w:tcW w:w="1859" w:type="pct"/>
            <w:vAlign w:val="center"/>
          </w:tcPr>
          <w:p>
            <w:pPr>
              <w:pStyle w:val="42"/>
            </w:pPr>
            <w:r>
              <w:rPr>
                <w:rFonts w:hint="eastAsia"/>
              </w:rPr>
              <w:t>产生的危险废物主要交有资质单位处置，</w:t>
            </w:r>
            <w:r>
              <w:t>转移处置遵守国家和重庆市有关规定。</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40．固废废物产生、贮存和包装容器必须设置规范的标识标签；危险废物暂存库建设须满足《危险废物贮存污染控制标准》（GB18597-2001），重点完成危废暂存库房面的防扬散、防渗漏、防腐蚀、防流失、废液导排系统等设施建设。</w:t>
            </w:r>
          </w:p>
        </w:tc>
        <w:tc>
          <w:tcPr>
            <w:tcW w:w="1859" w:type="pct"/>
            <w:vAlign w:val="center"/>
          </w:tcPr>
          <w:p>
            <w:pPr>
              <w:pStyle w:val="42"/>
            </w:pPr>
            <w:r>
              <w:rPr>
                <w:rFonts w:hint="eastAsia"/>
              </w:rPr>
              <w:t>危险</w:t>
            </w:r>
            <w:r>
              <w:t>废物产生、贮存和包装容器设置规范的标识标签；危险废物暂存库建设满足《危险废物贮存污染控制标准》要求，危废暂存</w:t>
            </w:r>
            <w:r>
              <w:rPr>
                <w:rFonts w:hint="eastAsia"/>
              </w:rPr>
              <w:t>间采取</w:t>
            </w:r>
            <w:r>
              <w:t>防扬散、防渗漏、防腐蚀、防流失</w:t>
            </w:r>
            <w:r>
              <w:rPr>
                <w:rFonts w:hint="eastAsia"/>
              </w:rPr>
              <w:t>等措施，</w:t>
            </w:r>
            <w:r>
              <w:t>设置废液导排系统等</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41．产生危险废物的单位，必须按照国家有关规定转移处置危险废物，不得擅自倾倒、堆放。转移危险废物的，必须按照相关规定填写危险废物转移联单，并及时上报环保部门。</w:t>
            </w:r>
          </w:p>
        </w:tc>
        <w:tc>
          <w:tcPr>
            <w:tcW w:w="1859" w:type="pct"/>
            <w:vAlign w:val="center"/>
          </w:tcPr>
          <w:p>
            <w:pPr>
              <w:pStyle w:val="42"/>
            </w:pPr>
            <w:r>
              <w:rPr>
                <w:rFonts w:hint="eastAsia"/>
              </w:rPr>
              <w:t>项目</w:t>
            </w:r>
            <w:r>
              <w:t>危险废物</w:t>
            </w:r>
            <w:r>
              <w:rPr>
                <w:rFonts w:hint="eastAsia"/>
              </w:rPr>
              <w:t>委托资质单位处置</w:t>
            </w:r>
            <w:r>
              <w:t>，按照国家有关规定转移处置危险废物，转移危险废物按照相关规定填写危险废物转移联单，并及时上报环保部门。</w:t>
            </w:r>
          </w:p>
        </w:tc>
        <w:tc>
          <w:tcPr>
            <w:tcW w:w="392"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vMerge w:val="continue"/>
            <w:vAlign w:val="center"/>
          </w:tcPr>
          <w:p>
            <w:pPr>
              <w:pStyle w:val="42"/>
            </w:pPr>
          </w:p>
        </w:tc>
        <w:tc>
          <w:tcPr>
            <w:tcW w:w="2339" w:type="pct"/>
            <w:vAlign w:val="center"/>
          </w:tcPr>
          <w:p>
            <w:pPr>
              <w:pStyle w:val="42"/>
            </w:pPr>
            <w:r>
              <w:t>42．建立、健全固废档案；建立定期核查制度；危险废物自行处置的企业应参照《危险废物集中焚烧处置工程建设技术规范》等规范和标准的要求，强化环境监测，确保利用处置设施稳定达标排放。对自建焚烧处置设施的企业，需安装在线监测设施和DCS控制系统，并对主要污染物的实时监测数据进行信息公开，接受群众监督。</w:t>
            </w:r>
          </w:p>
        </w:tc>
        <w:tc>
          <w:tcPr>
            <w:tcW w:w="1859" w:type="pct"/>
            <w:vAlign w:val="center"/>
          </w:tcPr>
          <w:p>
            <w:pPr>
              <w:pStyle w:val="42"/>
            </w:pPr>
            <w:r>
              <w:t>建立、健全固废档案</w:t>
            </w:r>
          </w:p>
        </w:tc>
        <w:tc>
          <w:tcPr>
            <w:tcW w:w="392" w:type="pct"/>
            <w:vAlign w:val="center"/>
          </w:tcPr>
          <w:p>
            <w:pPr>
              <w:pStyle w:val="42"/>
            </w:pPr>
            <w:r>
              <w:t>符合</w:t>
            </w:r>
          </w:p>
        </w:tc>
      </w:tr>
    </w:tbl>
    <w:p>
      <w:pPr>
        <w:ind w:firstLine="480"/>
      </w:pPr>
      <w:r>
        <w:rPr>
          <w:rFonts w:hint="eastAsia"/>
        </w:rPr>
        <w:t>由表1.8.4-5可知，拟建项目的建设符合《长寿区企业安全环保标准化建设工作指导意见》相关要求。</w:t>
      </w:r>
    </w:p>
    <w:p>
      <w:pPr>
        <w:pStyle w:val="4"/>
        <w:spacing w:before="156" w:after="156"/>
      </w:pPr>
      <w:bookmarkStart w:id="38" w:name="_Toc84844220"/>
      <w:r>
        <w:rPr>
          <w:rFonts w:hint="eastAsia"/>
        </w:rPr>
        <w:t>1.8.5相关环保政策符合性分析</w:t>
      </w:r>
      <w:bookmarkEnd w:id="38"/>
    </w:p>
    <w:p>
      <w:pPr>
        <w:pStyle w:val="5"/>
      </w:pPr>
      <w:r>
        <w:rPr>
          <w:rFonts w:hint="eastAsia"/>
        </w:rPr>
        <w:t>1.8.5.1与《大气污染防治行动计划》、《重庆市人民政府关于贯彻落实大气污染防治行动计划的实施意见》、《重庆市大气污染防治条例》符合性分析</w:t>
      </w:r>
    </w:p>
    <w:p>
      <w:pPr>
        <w:ind w:firstLine="480"/>
      </w:pPr>
      <w:r>
        <w:rPr>
          <w:rFonts w:hint="eastAsia"/>
        </w:rPr>
        <w:t>拟建项目与《大气污染防治行动计划》、《重庆市人民政府关于贯彻落实大气污染防治行动计划的实施意见》和《重庆市大气污染防治条例》的符合性详见下表1.8.5-1。</w:t>
      </w:r>
    </w:p>
    <w:p>
      <w:pPr>
        <w:ind w:firstLine="480"/>
      </w:pPr>
      <w:r>
        <w:rPr>
          <w:rFonts w:hint="eastAsia"/>
        </w:rPr>
        <w:t>拟建项目位于长寿经济技术开发区晏家组团G标准分区，由表1.8.4-1可知，严格执行“三同时”制度，废气污染物得到有效的处置，符合《大气污染防治行动计划》及《重庆市人民政府关于贯彻落实大气污染防治行动计划的实施意见》相关要求。</w:t>
      </w:r>
    </w:p>
    <w:p>
      <w:pPr>
        <w:pStyle w:val="5"/>
      </w:pPr>
      <w:r>
        <w:rPr>
          <w:rFonts w:hint="eastAsia"/>
        </w:rPr>
        <w:t>1.8.5.2与《水污染防治行动计划》及《重庆市人民政府关于印发贯彻落实国务院水污染防治行动计划实施方案的通知》符合性分析</w:t>
      </w:r>
    </w:p>
    <w:p>
      <w:pPr>
        <w:ind w:firstLine="480"/>
      </w:pPr>
      <w:r>
        <w:rPr>
          <w:rFonts w:hint="eastAsia"/>
        </w:rPr>
        <w:t>项目与《水污染防治行动计划》及《重庆市人民政府关于印发贯彻落实国务院水污染防治行动计划实施方案的通知》的符合性分析见表1.8.4-2。</w:t>
      </w:r>
    </w:p>
    <w:p>
      <w:pPr>
        <w:ind w:firstLine="480"/>
      </w:pPr>
      <w:r>
        <w:rPr>
          <w:rFonts w:hint="eastAsia"/>
        </w:rPr>
        <w:t>拟建项目位于长寿经济技术开发区晏家组团G标准分区，由表1.8.4-2可知，采取节水措施，强化水资源管理，符合《水污染防治行动计划》及《重庆市人民政府关于印发贯彻落实国务院水污染防治行动计划实施方案的通知》相关要求。</w:t>
      </w:r>
    </w:p>
    <w:p>
      <w:pPr>
        <w:pStyle w:val="5"/>
      </w:pPr>
      <w:r>
        <w:rPr>
          <w:rFonts w:hint="eastAsia"/>
        </w:rPr>
        <w:t>1.8.5.3与《土壤污染防治行动计划》及《重庆市人民政府关于印发重庆市贯彻落实土壤污染防治行动计划工作方案的通知》符合性分析</w:t>
      </w:r>
    </w:p>
    <w:p>
      <w:pPr>
        <w:ind w:firstLine="480"/>
      </w:pPr>
      <w:r>
        <w:rPr>
          <w:rFonts w:hint="eastAsia"/>
        </w:rPr>
        <w:t>拟建项目与《土壤污染防治行动计划》及《重庆市人民政府关于印发重庆市贯彻落实土壤污染防治行动计划工作方案的通知》的符合性分析见表1.8.4-3。</w:t>
      </w:r>
    </w:p>
    <w:p>
      <w:pPr>
        <w:ind w:firstLine="480"/>
        <w:sectPr>
          <w:pgSz w:w="11906" w:h="16838"/>
          <w:pgMar w:top="1440" w:right="1800" w:bottom="1440" w:left="1800" w:header="851" w:footer="992" w:gutter="0"/>
          <w:cols w:space="425" w:num="1"/>
          <w:docGrid w:type="lines" w:linePitch="312" w:charSpace="0"/>
        </w:sectPr>
      </w:pPr>
      <w:r>
        <w:rPr>
          <w:rFonts w:hint="eastAsia"/>
        </w:rPr>
        <w:t>拟建项目长寿经开区晏家组团G标准分区，由表1.8.4-3可知，项目所在地属于工业用地，生产过程中尽量实施固体废物的综合利用，危险废物实施规范化管理，符合《土壤污染防治行动计划》及《重庆市人民政府关于印发重庆市贯彻落实土壤污染防治行动计划工作方案的通知》相关要求。</w:t>
      </w:r>
    </w:p>
    <w:p>
      <w:pPr>
        <w:pStyle w:val="41"/>
      </w:pPr>
      <w:r>
        <w:rPr>
          <w:rFonts w:hint="eastAsia"/>
        </w:rPr>
        <w:t>表1.8.5-1与《大气污染防治行动计划》及《重庆市人民政府关于贯彻落实大气污染防治行动计划的实施意见》的符合性对照表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1"/>
        <w:gridCol w:w="6956"/>
        <w:gridCol w:w="5104"/>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5" w:type="pct"/>
            <w:vAlign w:val="center"/>
          </w:tcPr>
          <w:p>
            <w:pPr>
              <w:pStyle w:val="42"/>
            </w:pPr>
            <w:r>
              <w:t>条例</w:t>
            </w:r>
          </w:p>
        </w:tc>
        <w:tc>
          <w:tcPr>
            <w:tcW w:w="2490" w:type="pct"/>
            <w:vAlign w:val="center"/>
          </w:tcPr>
          <w:p>
            <w:pPr>
              <w:pStyle w:val="42"/>
            </w:pPr>
            <w:r>
              <w:t>准入条件要求</w:t>
            </w:r>
          </w:p>
        </w:tc>
        <w:tc>
          <w:tcPr>
            <w:tcW w:w="1827" w:type="pct"/>
            <w:vAlign w:val="center"/>
          </w:tcPr>
          <w:p>
            <w:pPr>
              <w:pStyle w:val="42"/>
            </w:pPr>
            <w:r>
              <w:t>实际情况</w:t>
            </w:r>
          </w:p>
        </w:tc>
        <w:tc>
          <w:tcPr>
            <w:tcW w:w="178" w:type="pct"/>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505" w:type="pct"/>
            <w:vAlign w:val="center"/>
          </w:tcPr>
          <w:p>
            <w:pPr>
              <w:pStyle w:val="42"/>
            </w:pPr>
            <w:r>
              <w:t>大气污染防治行动计划</w:t>
            </w:r>
          </w:p>
        </w:tc>
        <w:tc>
          <w:tcPr>
            <w:tcW w:w="2490" w:type="pct"/>
            <w:vAlign w:val="center"/>
          </w:tcPr>
          <w:p>
            <w:pPr>
              <w:pStyle w:val="42"/>
            </w:pPr>
            <w:r>
              <w:t>按照主体功能区规划要求，合理确定重点产业发展布局、结构和规模，重大项目原则上布局在优化开发区和重点开发区。所有新、改、扩建项目，必须全部进行环境影响评价，未通过环境影响评价审批的，一律不准开工建设。</w:t>
            </w:r>
          </w:p>
        </w:tc>
        <w:tc>
          <w:tcPr>
            <w:tcW w:w="1827" w:type="pct"/>
            <w:vAlign w:val="center"/>
          </w:tcPr>
          <w:p>
            <w:pPr>
              <w:pStyle w:val="42"/>
            </w:pPr>
            <w:r>
              <w:rPr>
                <w:rFonts w:hint="eastAsia"/>
              </w:rPr>
              <w:t>拟建</w:t>
            </w:r>
            <w:r>
              <w:t>项目位于长寿经济技术开发区晏家组团</w:t>
            </w:r>
            <w:r>
              <w:rPr>
                <w:rFonts w:hint="eastAsia"/>
              </w:rPr>
              <w:t>G</w:t>
            </w:r>
            <w:r>
              <w:t>标准分区，</w:t>
            </w:r>
            <w:r>
              <w:rPr>
                <w:rFonts w:hint="eastAsia"/>
              </w:rPr>
              <w:t>项目严格按要求进行环境影响评价，通过环境影响审批后再开工建设</w:t>
            </w:r>
          </w:p>
        </w:tc>
        <w:tc>
          <w:tcPr>
            <w:tcW w:w="178"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5" w:type="pct"/>
            <w:vMerge w:val="restart"/>
            <w:vAlign w:val="center"/>
          </w:tcPr>
          <w:p>
            <w:pPr>
              <w:pStyle w:val="42"/>
            </w:pPr>
            <w:r>
              <w:t>《重庆市人民政府关于贯彻落实大气污染防治行动计划的实施意见》</w:t>
            </w:r>
          </w:p>
        </w:tc>
        <w:tc>
          <w:tcPr>
            <w:tcW w:w="2490" w:type="pct"/>
            <w:vAlign w:val="center"/>
          </w:tcPr>
          <w:p>
            <w:pPr>
              <w:pStyle w:val="42"/>
            </w:pPr>
            <w:r>
              <w:t>所有涉及大气污染的新建、改建、扩建项目，必须依法开展环境影响评价；未通过环境影响评价审批的，一律不准开工建设。</w:t>
            </w:r>
          </w:p>
        </w:tc>
        <w:tc>
          <w:tcPr>
            <w:tcW w:w="1827" w:type="pct"/>
            <w:vAlign w:val="center"/>
          </w:tcPr>
          <w:p>
            <w:pPr>
              <w:pStyle w:val="42"/>
            </w:pPr>
            <w:r>
              <w:rPr>
                <w:rFonts w:hint="eastAsia"/>
              </w:rPr>
              <w:t>项目严格按要求进行环境影响评价，通过环境影响审批后再开工建设</w:t>
            </w:r>
          </w:p>
        </w:tc>
        <w:tc>
          <w:tcPr>
            <w:tcW w:w="178"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5" w:type="pct"/>
            <w:vMerge w:val="continue"/>
            <w:vAlign w:val="center"/>
          </w:tcPr>
          <w:p>
            <w:pPr>
              <w:pStyle w:val="42"/>
            </w:pPr>
          </w:p>
        </w:tc>
        <w:tc>
          <w:tcPr>
            <w:tcW w:w="2490" w:type="pct"/>
            <w:vAlign w:val="center"/>
          </w:tcPr>
          <w:p>
            <w:pPr>
              <w:pStyle w:val="42"/>
            </w:pPr>
            <w:r>
              <w:t>在化工、制药等产业集聚区，通过集中建设热电联产机组，逐步淘汰燃煤锅炉。</w:t>
            </w:r>
          </w:p>
        </w:tc>
        <w:tc>
          <w:tcPr>
            <w:tcW w:w="1827" w:type="pct"/>
            <w:vAlign w:val="center"/>
          </w:tcPr>
          <w:p>
            <w:pPr>
              <w:pStyle w:val="42"/>
            </w:pPr>
            <w:r>
              <w:rPr>
                <w:rFonts w:hint="eastAsia"/>
              </w:rPr>
              <w:t>拟建</w:t>
            </w:r>
            <w:r>
              <w:t>项目不设置燃煤锅炉，</w:t>
            </w:r>
            <w:r>
              <w:rPr>
                <w:rFonts w:hint="eastAsia"/>
              </w:rPr>
              <w:t>供热依托</w:t>
            </w:r>
            <w:r>
              <w:t>园区集中建设热电站</w:t>
            </w:r>
            <w:r>
              <w:rPr>
                <w:rFonts w:hint="eastAsia"/>
              </w:rPr>
              <w:t>和项目废热锅炉</w:t>
            </w:r>
          </w:p>
        </w:tc>
        <w:tc>
          <w:tcPr>
            <w:tcW w:w="178"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5" w:type="pct"/>
            <w:vMerge w:val="restart"/>
            <w:vAlign w:val="center"/>
          </w:tcPr>
          <w:p>
            <w:pPr>
              <w:pStyle w:val="42"/>
            </w:pPr>
            <w:r>
              <w:t>《重庆市大气污染防治条例》</w:t>
            </w:r>
          </w:p>
        </w:tc>
        <w:tc>
          <w:tcPr>
            <w:tcW w:w="2490" w:type="pct"/>
            <w:vAlign w:val="center"/>
          </w:tcPr>
          <w:p>
            <w:pPr>
              <w:pStyle w:val="42"/>
            </w:pPr>
            <w:r>
              <w:t>市、区县（自治县）人民政府应当采取措施，调整能源结构，推广清洁能源的生产使用和资源循环利用，控制大气污染物排放。</w:t>
            </w:r>
          </w:p>
          <w:p>
            <w:pPr>
              <w:pStyle w:val="42"/>
            </w:pPr>
            <w:r>
              <w:t>市人民政府发布产业禁投清单，控制高污染、高耗能行业新增产能，压缩过剩产能，淘汰落后产能。新建排放大气污染物的工业项目，除必须单独布局以外，应当按照相关规定进入相应工业园区。</w:t>
            </w:r>
          </w:p>
          <w:p>
            <w:pPr>
              <w:pStyle w:val="42"/>
            </w:pPr>
            <w:r>
              <w:t>市人民政府划定大气污染防治重点控制区域和一般控制区域。在重点控制区域内禁止新建和扩建燃煤火电、化工、水泥、采（碎）石场、烧结砖瓦窑以及燃煤锅炉等项目；在一般控制区域限制建设大气污染严重的项目。</w:t>
            </w:r>
          </w:p>
        </w:tc>
        <w:tc>
          <w:tcPr>
            <w:tcW w:w="1827" w:type="pct"/>
            <w:vAlign w:val="center"/>
          </w:tcPr>
          <w:p>
            <w:pPr>
              <w:pStyle w:val="42"/>
            </w:pPr>
            <w:r>
              <w:rPr>
                <w:rFonts w:hint="eastAsia"/>
              </w:rPr>
              <w:t>拟建</w:t>
            </w:r>
            <w:r>
              <w:t>项目大气污染物采用严格的污染控制措施，不属于《重庆市产业投资准入工作手册》（渝发改投[2018]541号）中的</w:t>
            </w:r>
            <w:r>
              <w:rPr>
                <w:rFonts w:hint="eastAsia"/>
              </w:rPr>
              <w:t>不予准入和限值准入</w:t>
            </w:r>
            <w:r>
              <w:t>项目。</w:t>
            </w:r>
          </w:p>
          <w:p>
            <w:pPr>
              <w:pStyle w:val="42"/>
            </w:pPr>
            <w:r>
              <w:rPr>
                <w:rFonts w:hint="eastAsia"/>
              </w:rPr>
              <w:t>拟建</w:t>
            </w:r>
            <w:r>
              <w:t>项目位于位于长寿经济技术开发区晏家组团</w:t>
            </w:r>
            <w:r>
              <w:rPr>
                <w:rFonts w:hint="eastAsia"/>
              </w:rPr>
              <w:t>G</w:t>
            </w:r>
            <w:r>
              <w:t>标准分区，属于大气污染防治的一般控制区，项目不属于大气污染严重的项目。</w:t>
            </w:r>
          </w:p>
        </w:tc>
        <w:tc>
          <w:tcPr>
            <w:tcW w:w="178"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5" w:type="pct"/>
            <w:vMerge w:val="continue"/>
            <w:vAlign w:val="center"/>
          </w:tcPr>
          <w:p>
            <w:pPr>
              <w:pStyle w:val="42"/>
            </w:pPr>
          </w:p>
        </w:tc>
        <w:tc>
          <w:tcPr>
            <w:tcW w:w="2490" w:type="pct"/>
            <w:vAlign w:val="center"/>
          </w:tcPr>
          <w:p>
            <w:pPr>
              <w:pStyle w:val="42"/>
            </w:pPr>
            <w:r>
              <w:t>市、区县（自治县）人民政府应当在城市建成区和其他需要保护的区域划定高污染燃料禁燃区。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1827" w:type="pct"/>
            <w:vAlign w:val="center"/>
          </w:tcPr>
          <w:p>
            <w:pPr>
              <w:pStyle w:val="42"/>
            </w:pPr>
            <w:r>
              <w:rPr>
                <w:rFonts w:hint="eastAsia"/>
              </w:rPr>
              <w:t>拟建</w:t>
            </w:r>
            <w:r>
              <w:t>项目位于位于长寿经济技术开发区晏家组团</w:t>
            </w:r>
            <w:r>
              <w:rPr>
                <w:rFonts w:hint="eastAsia"/>
              </w:rPr>
              <w:t>G</w:t>
            </w:r>
            <w:r>
              <w:t>标准分区，不属于划定的需要保护的禁燃区域。</w:t>
            </w:r>
          </w:p>
        </w:tc>
        <w:tc>
          <w:tcPr>
            <w:tcW w:w="178" w:type="pct"/>
            <w:vAlign w:val="center"/>
          </w:tcPr>
          <w:p>
            <w:pPr>
              <w:pStyle w:val="42"/>
            </w:pPr>
            <w:r>
              <w:t>符合</w:t>
            </w:r>
          </w:p>
        </w:tc>
      </w:tr>
    </w:tbl>
    <w:p>
      <w:pPr>
        <w:pStyle w:val="41"/>
      </w:pPr>
      <w:r>
        <w:t>表</w:t>
      </w:r>
      <w:r>
        <w:rPr>
          <w:rFonts w:hint="eastAsia"/>
        </w:rPr>
        <w:t>1.8.5-2</w:t>
      </w:r>
      <w:r>
        <w:t>项目与《水污染防治行动计划》及《重庆市人民政府关于印发贯彻落实国务院水污染防治行动计划实施方案的通知》的符合性分析对照表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7158"/>
        <w:gridCol w:w="4303"/>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Align w:val="center"/>
          </w:tcPr>
          <w:p>
            <w:pPr>
              <w:pStyle w:val="42"/>
            </w:pPr>
            <w:r>
              <w:t>条例</w:t>
            </w:r>
          </w:p>
        </w:tc>
        <w:tc>
          <w:tcPr>
            <w:tcW w:w="2525" w:type="pct"/>
            <w:vAlign w:val="center"/>
          </w:tcPr>
          <w:p>
            <w:pPr>
              <w:pStyle w:val="42"/>
            </w:pPr>
            <w:r>
              <w:t>准入条件要求</w:t>
            </w:r>
          </w:p>
        </w:tc>
        <w:tc>
          <w:tcPr>
            <w:tcW w:w="1518" w:type="pct"/>
            <w:vAlign w:val="center"/>
          </w:tcPr>
          <w:p>
            <w:pPr>
              <w:pStyle w:val="42"/>
            </w:pPr>
            <w:r>
              <w:t>项目实际情况</w:t>
            </w:r>
          </w:p>
        </w:tc>
        <w:tc>
          <w:tcPr>
            <w:tcW w:w="394" w:type="pct"/>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restart"/>
            <w:vAlign w:val="center"/>
          </w:tcPr>
          <w:p>
            <w:pPr>
              <w:pStyle w:val="42"/>
            </w:pPr>
            <w:r>
              <w:t>水污染防治行动计划</w:t>
            </w:r>
          </w:p>
        </w:tc>
        <w:tc>
          <w:tcPr>
            <w:tcW w:w="2525" w:type="pct"/>
            <w:vAlign w:val="center"/>
          </w:tcPr>
          <w:p>
            <w:pPr>
              <w:pStyle w:val="42"/>
            </w:pPr>
            <w:r>
              <w:t>强化经济技术开发区、高新技术产业开发区、出口加工区等工业集聚区污染治理。集聚区内工业废水必须经预处理达到集中处理要求，方可进入污水集中处理设施。</w:t>
            </w:r>
          </w:p>
        </w:tc>
        <w:tc>
          <w:tcPr>
            <w:tcW w:w="1518" w:type="pct"/>
            <w:vAlign w:val="center"/>
          </w:tcPr>
          <w:p>
            <w:pPr>
              <w:pStyle w:val="42"/>
            </w:pPr>
            <w:r>
              <w:t>拟建项目生产废水、公辅设施排水和生活污水经厂内污水处理站预处理后排入园区污水处理厂进一步处理。</w:t>
            </w:r>
          </w:p>
        </w:tc>
        <w:tc>
          <w:tcPr>
            <w:tcW w:w="394"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continue"/>
            <w:vAlign w:val="center"/>
          </w:tcPr>
          <w:p>
            <w:pPr>
              <w:pStyle w:val="42"/>
            </w:pPr>
          </w:p>
        </w:tc>
        <w:tc>
          <w:tcPr>
            <w:tcW w:w="2525" w:type="pct"/>
            <w:vAlign w:val="center"/>
          </w:tcPr>
          <w:p>
            <w:pPr>
              <w:pStyle w:val="42"/>
            </w:pPr>
            <w:r>
              <w:t>重大项目原则上布局在优化开发区和重点开发区，并符合城乡规划和土地利用总体规划。七大重点流域干流沿岸，要严格控制石油加工、化学原料和化学制品制造、医药制造、化学纤维制造、有色金属冶炼、纺织印染等项目环境风险，合理布局生产装置及危险化学品仓储等设施。</w:t>
            </w:r>
          </w:p>
        </w:tc>
        <w:tc>
          <w:tcPr>
            <w:tcW w:w="1518" w:type="pct"/>
            <w:vAlign w:val="center"/>
          </w:tcPr>
          <w:p>
            <w:pPr>
              <w:pStyle w:val="42"/>
            </w:pPr>
            <w:r>
              <w:t>拟建项目位于长寿经济技术开发区晏家组团</w:t>
            </w:r>
            <w:r>
              <w:rPr>
                <w:rFonts w:hint="eastAsia"/>
              </w:rPr>
              <w:t>G</w:t>
            </w:r>
            <w:r>
              <w:t>标准分区，并符合城乡规划和土地利用总体规划</w:t>
            </w:r>
          </w:p>
        </w:tc>
        <w:tc>
          <w:tcPr>
            <w:tcW w:w="394"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continue"/>
            <w:vAlign w:val="center"/>
          </w:tcPr>
          <w:p>
            <w:pPr>
              <w:pStyle w:val="42"/>
            </w:pPr>
          </w:p>
        </w:tc>
        <w:tc>
          <w:tcPr>
            <w:tcW w:w="2525" w:type="pct"/>
            <w:vAlign w:val="center"/>
          </w:tcPr>
          <w:p>
            <w:pPr>
              <w:pStyle w:val="42"/>
            </w:pPr>
            <w:r>
              <w:t>实施最严格水资源管理。健全取用水总量控制指标体系。</w:t>
            </w:r>
          </w:p>
        </w:tc>
        <w:tc>
          <w:tcPr>
            <w:tcW w:w="1518" w:type="pct"/>
            <w:vAlign w:val="center"/>
          </w:tcPr>
          <w:p>
            <w:pPr>
              <w:pStyle w:val="42"/>
            </w:pPr>
            <w:r>
              <w:t>采取节水措施，强化水资源管理</w:t>
            </w:r>
          </w:p>
        </w:tc>
        <w:tc>
          <w:tcPr>
            <w:tcW w:w="394"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restart"/>
            <w:vAlign w:val="center"/>
          </w:tcPr>
          <w:p>
            <w:pPr>
              <w:pStyle w:val="42"/>
            </w:pPr>
            <w:r>
              <w:t>《重庆市人民政府关于印发贯彻落实国务院水污染防治行动计划实施方案的通知》</w:t>
            </w:r>
          </w:p>
        </w:tc>
        <w:tc>
          <w:tcPr>
            <w:tcW w:w="2525" w:type="pct"/>
            <w:vAlign w:val="center"/>
          </w:tcPr>
          <w:p>
            <w:pPr>
              <w:pStyle w:val="42"/>
            </w:pPr>
            <w:r>
              <w:t>在长江鱼嘴以上江段及其一级支流汇入口上游20公里、嘉陵江及其一级支流汇入口上游20公里、集中式饮用水水源取水口上游20公里范围内的沿岸地区（江河50年一遇洪水位向陆域一侧1公里范围内），禁止新建、扩建排放重金属（铬、镉、汞、砷、铅等五类重金属，下同）、剧毒物质和持久性有机污染物的工业项目。</w:t>
            </w:r>
          </w:p>
        </w:tc>
        <w:tc>
          <w:tcPr>
            <w:tcW w:w="1518" w:type="pct"/>
            <w:vAlign w:val="center"/>
          </w:tcPr>
          <w:p>
            <w:pPr>
              <w:pStyle w:val="42"/>
            </w:pPr>
            <w:r>
              <w:t>拟建项目位于长寿经济技术开发区晏家组团</w:t>
            </w:r>
            <w:r>
              <w:rPr>
                <w:rFonts w:hint="eastAsia"/>
              </w:rPr>
              <w:t>G</w:t>
            </w:r>
            <w:r>
              <w:t>标准分区，处于长江、嘉陵江主城江段下游</w:t>
            </w:r>
          </w:p>
        </w:tc>
        <w:tc>
          <w:tcPr>
            <w:tcW w:w="394"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Merge w:val="continue"/>
            <w:vAlign w:val="center"/>
          </w:tcPr>
          <w:p>
            <w:pPr>
              <w:pStyle w:val="42"/>
            </w:pPr>
          </w:p>
        </w:tc>
        <w:tc>
          <w:tcPr>
            <w:tcW w:w="2525" w:type="pct"/>
            <w:vAlign w:val="center"/>
          </w:tcPr>
          <w:p>
            <w:pPr>
              <w:pStyle w:val="42"/>
            </w:pPr>
            <w:r>
              <w:t>严格控制影响库区水体的化学需氧量、氨氮、总氮、总磷及重金属等污染物总量。新建、改建、扩建涉及上述污染物排放的建设项目，应进入工业园区或工业集中区，并满足水环境质量以及污染物总量控制要求，符合工业企业环境准入规定，取得排污权指标。</w:t>
            </w:r>
          </w:p>
        </w:tc>
        <w:tc>
          <w:tcPr>
            <w:tcW w:w="1518" w:type="pct"/>
            <w:vAlign w:val="center"/>
          </w:tcPr>
          <w:p>
            <w:pPr>
              <w:pStyle w:val="42"/>
            </w:pPr>
            <w:r>
              <w:t>拟建项目位于长寿经济技术开发区晏家组团</w:t>
            </w:r>
            <w:r>
              <w:rPr>
                <w:rFonts w:hint="eastAsia"/>
              </w:rPr>
              <w:t>G</w:t>
            </w:r>
            <w:r>
              <w:t>标准分区，符合工业企业环境准入规定，依法取得排污权指标</w:t>
            </w:r>
          </w:p>
        </w:tc>
        <w:tc>
          <w:tcPr>
            <w:tcW w:w="394" w:type="pct"/>
            <w:vAlign w:val="center"/>
          </w:tcPr>
          <w:p>
            <w:pPr>
              <w:pStyle w:val="42"/>
            </w:pPr>
            <w:r>
              <w:t>符合</w:t>
            </w:r>
          </w:p>
        </w:tc>
      </w:tr>
    </w:tbl>
    <w:p>
      <w:pPr>
        <w:pStyle w:val="41"/>
      </w:pPr>
      <w:r>
        <w:t>表</w:t>
      </w:r>
      <w:r>
        <w:rPr>
          <w:rFonts w:hint="eastAsia"/>
        </w:rPr>
        <w:t>1.8.5-3</w:t>
      </w:r>
      <w:r>
        <w:t>与《土壤污染防治行动计划》及《重庆市人民政府关于印发重庆市贯彻落实土壤污染防治行动计划工作方案的通知》的符合性分析表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6489"/>
        <w:gridCol w:w="3892"/>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22" w:type="pct"/>
            <w:vAlign w:val="center"/>
          </w:tcPr>
          <w:p>
            <w:pPr>
              <w:pStyle w:val="42"/>
            </w:pPr>
            <w:r>
              <w:t>序号</w:t>
            </w:r>
          </w:p>
        </w:tc>
        <w:tc>
          <w:tcPr>
            <w:tcW w:w="2289" w:type="pct"/>
            <w:vAlign w:val="center"/>
          </w:tcPr>
          <w:p>
            <w:pPr>
              <w:pStyle w:val="42"/>
            </w:pPr>
            <w:r>
              <w:t>准入条件要求</w:t>
            </w:r>
          </w:p>
        </w:tc>
        <w:tc>
          <w:tcPr>
            <w:tcW w:w="1373" w:type="pct"/>
            <w:vAlign w:val="center"/>
          </w:tcPr>
          <w:p>
            <w:pPr>
              <w:pStyle w:val="42"/>
            </w:pPr>
            <w:r>
              <w:t>项目情况</w:t>
            </w:r>
          </w:p>
        </w:tc>
        <w:tc>
          <w:tcPr>
            <w:tcW w:w="516" w:type="pct"/>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restart"/>
            <w:vAlign w:val="center"/>
          </w:tcPr>
          <w:p>
            <w:pPr>
              <w:pStyle w:val="42"/>
            </w:pPr>
            <w:r>
              <w:t>土壤污染防治行动计划</w:t>
            </w:r>
          </w:p>
        </w:tc>
        <w:tc>
          <w:tcPr>
            <w:tcW w:w="2289" w:type="pct"/>
            <w:vAlign w:val="center"/>
          </w:tcPr>
          <w:p>
            <w:pPr>
              <w:pStyle w:val="42"/>
            </w:pPr>
            <w:r>
              <w:t>严格控制在优先保护类耕地集中区域新建有色金属冶炼、石油加工、化工、焦化、电镀、制革等行业企业，现有相关行业企业要采用新技术、新工艺，加快提标升级改造步伐。</w:t>
            </w:r>
          </w:p>
        </w:tc>
        <w:tc>
          <w:tcPr>
            <w:tcW w:w="1373" w:type="pct"/>
            <w:vAlign w:val="center"/>
          </w:tcPr>
          <w:p>
            <w:pPr>
              <w:pStyle w:val="42"/>
            </w:pPr>
            <w:r>
              <w:rPr>
                <w:rFonts w:hint="eastAsia"/>
              </w:rPr>
              <w:t>拟建</w:t>
            </w:r>
            <w:r>
              <w:t>项目位于长寿经开区晏家组团</w:t>
            </w:r>
            <w:r>
              <w:rPr>
                <w:rFonts w:hint="eastAsia"/>
              </w:rPr>
              <w:t>G</w:t>
            </w:r>
            <w:r>
              <w:t>标准分区，</w:t>
            </w:r>
            <w:r>
              <w:rPr>
                <w:rFonts w:hint="eastAsia"/>
              </w:rPr>
              <w:t>项目所在地</w:t>
            </w:r>
            <w:r>
              <w:t>属于工业用地</w:t>
            </w:r>
            <w:r>
              <w:rPr>
                <w:rFonts w:hint="eastAsia"/>
              </w:rPr>
              <w:t>。</w:t>
            </w:r>
          </w:p>
        </w:tc>
        <w:tc>
          <w:tcPr>
            <w:tcW w:w="516"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continue"/>
            <w:vAlign w:val="center"/>
          </w:tcPr>
          <w:p>
            <w:pPr>
              <w:pStyle w:val="42"/>
            </w:pPr>
          </w:p>
        </w:tc>
        <w:tc>
          <w:tcPr>
            <w:tcW w:w="2289" w:type="pct"/>
            <w:vAlign w:val="center"/>
          </w:tcPr>
          <w:p>
            <w:pPr>
              <w:pStyle w:val="42"/>
            </w:pPr>
            <w:r>
              <w:t>排放重点污染物的建设项目，在开展环境影响评价时，要增加对土壤环境影响的评价内容，并提出防范土壤污染的具体措施。</w:t>
            </w:r>
          </w:p>
        </w:tc>
        <w:tc>
          <w:tcPr>
            <w:tcW w:w="1373" w:type="pct"/>
            <w:vAlign w:val="center"/>
          </w:tcPr>
          <w:p>
            <w:pPr>
              <w:pStyle w:val="42"/>
            </w:pPr>
            <w:r>
              <w:t>项目不排放排放重点污染物</w:t>
            </w:r>
            <w:r>
              <w:rPr>
                <w:rFonts w:hint="eastAsia"/>
              </w:rPr>
              <w:t>。</w:t>
            </w:r>
          </w:p>
        </w:tc>
        <w:tc>
          <w:tcPr>
            <w:tcW w:w="516"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continue"/>
            <w:vAlign w:val="center"/>
          </w:tcPr>
          <w:p>
            <w:pPr>
              <w:pStyle w:val="42"/>
            </w:pPr>
          </w:p>
        </w:tc>
        <w:tc>
          <w:tcPr>
            <w:tcW w:w="2289" w:type="pct"/>
            <w:vAlign w:val="center"/>
          </w:tcPr>
          <w:p>
            <w:pPr>
              <w:pStyle w:val="42"/>
            </w:pPr>
            <w:r>
              <w:t>加强工业固体废物综合利用。</w:t>
            </w:r>
          </w:p>
        </w:tc>
        <w:tc>
          <w:tcPr>
            <w:tcW w:w="1373" w:type="pct"/>
            <w:vAlign w:val="center"/>
          </w:tcPr>
          <w:p>
            <w:pPr>
              <w:pStyle w:val="42"/>
            </w:pPr>
            <w:r>
              <w:t>危险废物交</w:t>
            </w:r>
            <w:r>
              <w:rPr>
                <w:rFonts w:hint="eastAsia"/>
              </w:rPr>
              <w:t>有</w:t>
            </w:r>
            <w:r>
              <w:t>资质单位处理</w:t>
            </w:r>
            <w:r>
              <w:rPr>
                <w:rFonts w:hint="eastAsia"/>
              </w:rPr>
              <w:t>。</w:t>
            </w:r>
          </w:p>
        </w:tc>
        <w:tc>
          <w:tcPr>
            <w:tcW w:w="516"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restart"/>
            <w:vAlign w:val="center"/>
          </w:tcPr>
          <w:p>
            <w:pPr>
              <w:pStyle w:val="42"/>
            </w:pPr>
            <w:r>
              <w:rPr>
                <w:rFonts w:hint="eastAsia"/>
              </w:rPr>
              <w:t>重庆市人民政府关于印发重庆市贯彻落实土壤污染防治行动计划工作方案的通知</w:t>
            </w:r>
          </w:p>
        </w:tc>
        <w:tc>
          <w:tcPr>
            <w:tcW w:w="2289" w:type="pct"/>
            <w:vAlign w:val="center"/>
          </w:tcPr>
          <w:p>
            <w:pPr>
              <w:pStyle w:val="42"/>
            </w:pPr>
            <w:r>
              <w:t>鼓励工业企业聚集发展，提高土地节约集约利用水平。严格执行五大功能区域产业禁投清单，工业企业布局选址要严格落实工业项目环境准入规定，禁止在居民区、学校、医疗和养老机构等敏感区域周边新建有色金属冶炼、钢铁、焦化、化工、医药、铅酸蓄电池、电镀等重污染行业企业。</w:t>
            </w:r>
          </w:p>
        </w:tc>
        <w:tc>
          <w:tcPr>
            <w:tcW w:w="1373" w:type="pct"/>
            <w:vAlign w:val="center"/>
          </w:tcPr>
          <w:p>
            <w:pPr>
              <w:pStyle w:val="42"/>
            </w:pPr>
            <w:r>
              <w:rPr>
                <w:rFonts w:hint="eastAsia"/>
              </w:rPr>
              <w:t>拟建</w:t>
            </w:r>
            <w:r>
              <w:t>项目位于长寿经开区晏家组团</w:t>
            </w:r>
            <w:r>
              <w:rPr>
                <w:rFonts w:hint="eastAsia"/>
              </w:rPr>
              <w:t>G</w:t>
            </w:r>
            <w:r>
              <w:t>标准分区，符合禁投清单、工业项目准入规定</w:t>
            </w:r>
            <w:r>
              <w:rPr>
                <w:rFonts w:hint="eastAsia"/>
              </w:rPr>
              <w:t>。</w:t>
            </w:r>
          </w:p>
        </w:tc>
        <w:tc>
          <w:tcPr>
            <w:tcW w:w="516"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continue"/>
            <w:vAlign w:val="center"/>
          </w:tcPr>
          <w:p>
            <w:pPr>
              <w:pStyle w:val="42"/>
            </w:pPr>
          </w:p>
        </w:tc>
        <w:tc>
          <w:tcPr>
            <w:tcW w:w="2289" w:type="pct"/>
            <w:vAlign w:val="center"/>
          </w:tcPr>
          <w:p>
            <w:pPr>
              <w:pStyle w:val="42"/>
            </w:pPr>
            <w:r>
              <w:t>加强工业固体废物综合利用处置，工业园区（组团）应建设一般工业固体废物集中处置场，实施危险废物规范化管理。</w:t>
            </w:r>
          </w:p>
        </w:tc>
        <w:tc>
          <w:tcPr>
            <w:tcW w:w="1373" w:type="pct"/>
            <w:vAlign w:val="center"/>
          </w:tcPr>
          <w:p>
            <w:pPr>
              <w:pStyle w:val="42"/>
            </w:pPr>
            <w:r>
              <w:rPr>
                <w:rFonts w:hint="eastAsia"/>
              </w:rPr>
              <w:t>拟建</w:t>
            </w:r>
            <w:r>
              <w:t>项目生产过程中的危险废物实施规范化管理</w:t>
            </w:r>
            <w:r>
              <w:rPr>
                <w:rFonts w:hint="eastAsia"/>
              </w:rPr>
              <w:t>，</w:t>
            </w:r>
            <w:r>
              <w:t>交有资质的单位处置</w:t>
            </w:r>
            <w:r>
              <w:rPr>
                <w:rFonts w:hint="eastAsia"/>
              </w:rPr>
              <w:t>。</w:t>
            </w:r>
          </w:p>
        </w:tc>
        <w:tc>
          <w:tcPr>
            <w:tcW w:w="516" w:type="pct"/>
            <w:vAlign w:val="center"/>
          </w:tcPr>
          <w:p>
            <w:pPr>
              <w:pStyle w:val="42"/>
            </w:pPr>
            <w:r>
              <w:t>符合</w:t>
            </w:r>
          </w:p>
        </w:tc>
      </w:tr>
    </w:tbl>
    <w:p>
      <w:pPr>
        <w:ind w:firstLine="480"/>
        <w:sectPr>
          <w:pgSz w:w="16838" w:h="11906" w:orient="landscape"/>
          <w:pgMar w:top="1800" w:right="1440" w:bottom="1800" w:left="1440" w:header="851" w:footer="992" w:gutter="0"/>
          <w:cols w:space="425" w:num="1"/>
          <w:docGrid w:type="lines" w:linePitch="326" w:charSpace="0"/>
        </w:sectPr>
      </w:pPr>
    </w:p>
    <w:p>
      <w:pPr>
        <w:pStyle w:val="5"/>
      </w:pPr>
      <w:r>
        <w:rPr>
          <w:rFonts w:hint="eastAsia"/>
        </w:rPr>
        <w:t>1.8.5.4与《关于加强长江黄金水道环境污染防控治理的指导意见》符合性分析</w:t>
      </w:r>
    </w:p>
    <w:p>
      <w:pPr>
        <w:ind w:firstLine="480"/>
      </w:pPr>
      <w:r>
        <w:rPr>
          <w:rFonts w:hint="eastAsia"/>
        </w:rPr>
        <w:t>根据《关于加强长江黄金水道环境污染防控治理的指导意见》（发改环资[2016]370号），坚持“以水定发展”，统筹规划沿江岸线资源，严控下游高污染、高排放企业向上游转移。除在建项目外，严禁在干流及主要支流岸线1公里范围内新建布局重化工园区，严控在中上游沿岸地区新建石油化工和煤化工项目。加强沿江各类开发建设规划和规划环评工作，完善空间准入、产业准入和环境准入的负面清单管理模式，建立健全准入标准，从严审批产生有毒有害污染物的新建和改扩建项目。强化环评管理，新建、改建、扩建重点行业项目实行主要水污染物排放减量置换，严控新增污染物排放。加强高耗水行业用水定额管理，严格控制高耗水项目建设。</w:t>
      </w:r>
    </w:p>
    <w:p>
      <w:pPr>
        <w:ind w:firstLine="480"/>
      </w:pPr>
      <w:r>
        <w:rPr>
          <w:rFonts w:hint="eastAsia"/>
        </w:rPr>
        <w:t>拟建项目属于基本化学原料制造项目，位于长寿经开区晏家组团G标准分区，距长江岸线约6.3km。长寿经济技术开发区已完成规划环评跟踪评价工作（渝环函[2015]641号），项目符合园区“三线一单”管理要求，符合《关于加强长江黄金水道环境污染防控治理的指导意见》相关内容。</w:t>
      </w:r>
    </w:p>
    <w:p>
      <w:pPr>
        <w:pStyle w:val="5"/>
      </w:pPr>
      <w:r>
        <w:rPr>
          <w:rFonts w:hint="eastAsia"/>
        </w:rPr>
        <w:t>1.8.5.5与《合成氨工业污染防治技术政策》符合性分析</w:t>
      </w:r>
    </w:p>
    <w:p>
      <w:pPr>
        <w:ind w:firstLine="480"/>
      </w:pPr>
      <w:r>
        <w:rPr>
          <w:rFonts w:hint="eastAsia"/>
        </w:rPr>
        <w:t>拟建项目与《合成氨工业污染防治技术政策》符合性分析详见下表1.8.5-4。</w:t>
      </w:r>
    </w:p>
    <w:p>
      <w:pPr>
        <w:pStyle w:val="41"/>
      </w:pPr>
      <w:r>
        <w:rPr>
          <w:rFonts w:hint="eastAsia"/>
        </w:rPr>
        <w:t>表1.8.5-4 与合成氨工业污染防治技术政策符合性分析一览表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87"/>
        <w:gridCol w:w="2974"/>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序号</w:t>
            </w:r>
          </w:p>
        </w:tc>
        <w:tc>
          <w:tcPr>
            <w:tcW w:w="2163" w:type="pct"/>
            <w:vAlign w:val="center"/>
          </w:tcPr>
          <w:p>
            <w:pPr>
              <w:pStyle w:val="42"/>
              <w:adjustRightInd w:val="0"/>
              <w:textAlignment w:val="baseline"/>
            </w:pPr>
            <w:r>
              <w:rPr>
                <w:rFonts w:hint="eastAsia"/>
              </w:rPr>
              <w:t>政策要求</w:t>
            </w:r>
          </w:p>
        </w:tc>
        <w:tc>
          <w:tcPr>
            <w:tcW w:w="1745" w:type="pct"/>
            <w:vAlign w:val="center"/>
          </w:tcPr>
          <w:p>
            <w:pPr>
              <w:pStyle w:val="42"/>
              <w:adjustRightInd w:val="0"/>
              <w:textAlignment w:val="baseline"/>
            </w:pPr>
            <w:r>
              <w:rPr>
                <w:rFonts w:hint="eastAsia"/>
              </w:rPr>
              <w:t>拟建项目情况</w:t>
            </w:r>
          </w:p>
        </w:tc>
        <w:tc>
          <w:tcPr>
            <w:tcW w:w="613" w:type="pct"/>
            <w:vAlign w:val="center"/>
          </w:tcPr>
          <w:p>
            <w:pPr>
              <w:pStyle w:val="42"/>
              <w:adjustRightInd w:val="0"/>
              <w:textAlignment w:val="baseline"/>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一</w:t>
            </w:r>
          </w:p>
        </w:tc>
        <w:tc>
          <w:tcPr>
            <w:tcW w:w="4521" w:type="pct"/>
            <w:gridSpan w:val="3"/>
            <w:vAlign w:val="center"/>
          </w:tcPr>
          <w:p>
            <w:pPr>
              <w:pStyle w:val="42"/>
              <w:adjustRightInd w:val="0"/>
              <w:textAlignment w:val="baseline"/>
            </w:pPr>
            <w:r>
              <w:rPr>
                <w:rFonts w:hint="eastAsia"/>
              </w:rPr>
              <w:t>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（一）</w:t>
            </w:r>
          </w:p>
        </w:tc>
        <w:tc>
          <w:tcPr>
            <w:tcW w:w="2163" w:type="pct"/>
            <w:vAlign w:val="center"/>
          </w:tcPr>
          <w:p>
            <w:pPr>
              <w:pStyle w:val="42"/>
              <w:adjustRightInd w:val="0"/>
              <w:textAlignment w:val="baseline"/>
            </w:pPr>
            <w:r>
              <w:rPr>
                <w:rFonts w:hint="eastAsia"/>
              </w:rPr>
              <w:t>为贯彻《中华人民共和国环境保护法》等法律法规，防治环境污染，保障生态安全和人体健康，规范污染治理和管理行为，引领合成氨工业生产工艺和污染防治技术进步，促进绿色循环低碳发展，制定本技术政策。</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（二）</w:t>
            </w:r>
          </w:p>
        </w:tc>
        <w:tc>
          <w:tcPr>
            <w:tcW w:w="2163" w:type="pct"/>
            <w:vAlign w:val="center"/>
          </w:tcPr>
          <w:p>
            <w:pPr>
              <w:pStyle w:val="42"/>
              <w:adjustRightInd w:val="0"/>
              <w:textAlignment w:val="baseline"/>
            </w:pPr>
            <w:r>
              <w:rPr>
                <w:rFonts w:hint="eastAsia"/>
              </w:rPr>
              <w:t>本技术政策所称的合成氨工业是指以煤、天然气、油等为原料生产合成氨和以合成氨为原料生产尿素、硝酸铵、碳酸氢铵以及醇氨联产的生产过程。</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（三）</w:t>
            </w:r>
          </w:p>
        </w:tc>
        <w:tc>
          <w:tcPr>
            <w:tcW w:w="2163" w:type="pct"/>
            <w:vAlign w:val="center"/>
          </w:tcPr>
          <w:p>
            <w:pPr>
              <w:pStyle w:val="42"/>
              <w:adjustRightInd w:val="0"/>
              <w:textAlignment w:val="baseline"/>
            </w:pPr>
            <w:r>
              <w:rPr>
                <w:rFonts w:hint="eastAsia"/>
              </w:rPr>
              <w:t>本技术政策为指导性文件，提出了合成氨工业污染防治可采取的技术路线和技术方法，包括清洁生产、水污染防治、大气污染防治固体废物处置和综合利用、鼓励研发的新技术等内容，为合成氨工业环境保护相关规划、污染物排放标准、环境影响评价、总量控制、排污许可等环境管理和企业污染防治工作提供技术指导。</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（四）</w:t>
            </w:r>
          </w:p>
        </w:tc>
        <w:tc>
          <w:tcPr>
            <w:tcW w:w="2163" w:type="pct"/>
            <w:vAlign w:val="center"/>
          </w:tcPr>
          <w:p>
            <w:pPr>
              <w:pStyle w:val="42"/>
              <w:adjustRightInd w:val="0"/>
              <w:textAlignment w:val="baseline"/>
            </w:pPr>
            <w:r>
              <w:rPr>
                <w:rFonts w:hint="eastAsia"/>
              </w:rPr>
              <w:t>合成氨工业应加大产业结构调整力度，提高产业集中度，因地制宜，按生态环境功能区要求合理布局，加快淘汰技术水平较低的落后产能。</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（五）</w:t>
            </w:r>
          </w:p>
        </w:tc>
        <w:tc>
          <w:tcPr>
            <w:tcW w:w="2163" w:type="pct"/>
            <w:vAlign w:val="center"/>
          </w:tcPr>
          <w:p>
            <w:pPr>
              <w:pStyle w:val="42"/>
              <w:adjustRightInd w:val="0"/>
              <w:textAlignment w:val="baseline"/>
            </w:pPr>
            <w:r>
              <w:rPr>
                <w:rFonts w:hint="eastAsia"/>
              </w:rPr>
              <w:t>合成氨工业应遵循全过程污染防治的原则，实行清洁生产、末端治理、风险防范的综合防治技术路线。</w:t>
            </w:r>
          </w:p>
        </w:tc>
        <w:tc>
          <w:tcPr>
            <w:tcW w:w="1745" w:type="pct"/>
            <w:vAlign w:val="center"/>
          </w:tcPr>
          <w:p>
            <w:pPr>
              <w:pStyle w:val="42"/>
              <w:adjustRightInd w:val="0"/>
              <w:textAlignment w:val="baseline"/>
            </w:pPr>
            <w:r>
              <w:rPr>
                <w:rFonts w:hint="eastAsia"/>
              </w:rPr>
              <w:t>拟建项目遵循全过程污染防治的原则，实行清洁生产、末端治理、风险防范的综合防治技术路线</w:t>
            </w:r>
          </w:p>
        </w:tc>
        <w:tc>
          <w:tcPr>
            <w:tcW w:w="613" w:type="pct"/>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（六）</w:t>
            </w:r>
          </w:p>
        </w:tc>
        <w:tc>
          <w:tcPr>
            <w:tcW w:w="2163" w:type="pct"/>
            <w:vAlign w:val="center"/>
          </w:tcPr>
          <w:p>
            <w:pPr>
              <w:pStyle w:val="42"/>
              <w:adjustRightInd w:val="0"/>
              <w:textAlignment w:val="baseline"/>
            </w:pPr>
            <w:r>
              <w:rPr>
                <w:rFonts w:hint="eastAsia"/>
              </w:rPr>
              <w:t>合成氨生产企业应加强污染物排放全面监控，全面掌握常规及特征污染物排放的特点和规律，健全环境风险防控体系和环境应急管理制度，研发和应用达到更低排放水平的污染防治技术。</w:t>
            </w:r>
          </w:p>
        </w:tc>
        <w:tc>
          <w:tcPr>
            <w:tcW w:w="1745" w:type="pct"/>
            <w:vAlign w:val="center"/>
          </w:tcPr>
          <w:p>
            <w:pPr>
              <w:pStyle w:val="42"/>
              <w:adjustRightInd w:val="0"/>
              <w:textAlignment w:val="baseline"/>
            </w:pPr>
            <w:r>
              <w:rPr>
                <w:rFonts w:hint="eastAsia"/>
              </w:rPr>
              <w:t>重庆建峰化工股份有限公司加强污染物排放全面监控，建立健全的环境风险防控体系和环境应急管理制度</w:t>
            </w:r>
          </w:p>
        </w:tc>
        <w:tc>
          <w:tcPr>
            <w:tcW w:w="613" w:type="pct"/>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二</w:t>
            </w:r>
          </w:p>
        </w:tc>
        <w:tc>
          <w:tcPr>
            <w:tcW w:w="4521" w:type="pct"/>
            <w:gridSpan w:val="3"/>
            <w:vAlign w:val="center"/>
          </w:tcPr>
          <w:p>
            <w:pPr>
              <w:pStyle w:val="42"/>
              <w:adjustRightInd w:val="0"/>
              <w:textAlignment w:val="baseline"/>
            </w:pPr>
            <w:r>
              <w:rPr>
                <w:rFonts w:hint="eastAsia"/>
              </w:rPr>
              <w:t>清洁生产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（七）</w:t>
            </w:r>
          </w:p>
        </w:tc>
        <w:tc>
          <w:tcPr>
            <w:tcW w:w="2163" w:type="pct"/>
            <w:vAlign w:val="center"/>
          </w:tcPr>
          <w:p>
            <w:pPr>
              <w:pStyle w:val="42"/>
              <w:adjustRightInd w:val="0"/>
              <w:textAlignment w:val="baseline"/>
            </w:pPr>
            <w:r>
              <w:rPr>
                <w:rFonts w:hint="eastAsia"/>
              </w:rPr>
              <w:t>新建以煤为原料的合成氨生产项目应采用水煤浆、干煤粉等加压连续气化工艺；现有采用固定层间歇式煤气化工艺的合成氨生产企业扩建时，应采用加压连续气化工艺。</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（八）</w:t>
            </w:r>
          </w:p>
        </w:tc>
        <w:tc>
          <w:tcPr>
            <w:tcW w:w="2163" w:type="pct"/>
            <w:vAlign w:val="center"/>
          </w:tcPr>
          <w:p>
            <w:pPr>
              <w:pStyle w:val="42"/>
              <w:adjustRightInd w:val="0"/>
              <w:textAlignment w:val="baseline"/>
            </w:pPr>
            <w:r>
              <w:rPr>
                <w:rFonts w:hint="eastAsia"/>
              </w:rPr>
              <w:t>以天然气为原料的合成氨生产企业应淘汰天然气常压间歇催化转化制气生产工艺。</w:t>
            </w:r>
          </w:p>
        </w:tc>
        <w:tc>
          <w:tcPr>
            <w:tcW w:w="1745" w:type="pct"/>
            <w:vAlign w:val="center"/>
          </w:tcPr>
          <w:p>
            <w:pPr>
              <w:pStyle w:val="42"/>
              <w:adjustRightInd w:val="0"/>
              <w:textAlignment w:val="baseline"/>
            </w:pPr>
            <w:r>
              <w:rPr>
                <w:rFonts w:hint="eastAsia"/>
              </w:rPr>
              <w:t>拟建项目采用一段转化工艺制气</w:t>
            </w:r>
          </w:p>
        </w:tc>
        <w:tc>
          <w:tcPr>
            <w:tcW w:w="613" w:type="pct"/>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（九）</w:t>
            </w:r>
          </w:p>
        </w:tc>
        <w:tc>
          <w:tcPr>
            <w:tcW w:w="2163" w:type="pct"/>
            <w:vAlign w:val="center"/>
          </w:tcPr>
          <w:p>
            <w:pPr>
              <w:pStyle w:val="42"/>
              <w:adjustRightInd w:val="0"/>
              <w:textAlignment w:val="baseline"/>
            </w:pPr>
            <w:r>
              <w:rPr>
                <w:rFonts w:hint="eastAsia"/>
              </w:rPr>
              <w:t>以无烟块煤为原料采用固定层间歇式煤气化工艺的合成氨生产企业应采用碱液法半水煤气脱硫工艺技术，并配套硫磺回收装置，淘汰氨水液相半水煤气脱硫工艺。</w:t>
            </w:r>
          </w:p>
        </w:tc>
        <w:tc>
          <w:tcPr>
            <w:tcW w:w="1745" w:type="pct"/>
            <w:vAlign w:val="center"/>
          </w:tcPr>
          <w:p>
            <w:pPr>
              <w:pStyle w:val="42"/>
              <w:adjustRightInd w:val="0"/>
              <w:textAlignment w:val="baseline"/>
            </w:pPr>
            <w:r>
              <w:rPr>
                <w:rFonts w:hint="eastAsia"/>
              </w:rPr>
              <w:t>/</w:t>
            </w:r>
          </w:p>
        </w:tc>
        <w:tc>
          <w:tcPr>
            <w:tcW w:w="613"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（十）</w:t>
            </w:r>
          </w:p>
        </w:tc>
        <w:tc>
          <w:tcPr>
            <w:tcW w:w="2163" w:type="pct"/>
            <w:vAlign w:val="center"/>
          </w:tcPr>
          <w:p>
            <w:pPr>
              <w:pStyle w:val="42"/>
              <w:adjustRightInd w:val="0"/>
              <w:textAlignment w:val="baseline"/>
            </w:pPr>
            <w:r>
              <w:rPr>
                <w:rFonts w:hint="eastAsia"/>
              </w:rPr>
              <w:t>合成氨生产企业应采用一氧化碳低温、宽温耐硫变换及适宜于一氧化碳含量较高情况的等温变换工艺，淘汰一氧化碳常压变换及全中温变换（高温变换）工艺。</w:t>
            </w:r>
          </w:p>
        </w:tc>
        <w:tc>
          <w:tcPr>
            <w:tcW w:w="1745" w:type="pct"/>
            <w:vAlign w:val="center"/>
          </w:tcPr>
          <w:p>
            <w:pPr>
              <w:pStyle w:val="42"/>
              <w:adjustRightInd w:val="0"/>
              <w:textAlignment w:val="baseline"/>
            </w:pPr>
            <w:r>
              <w:rPr>
                <w:rFonts w:hint="eastAsia"/>
              </w:rPr>
              <w:t>本工程采用一氧化碳在2.3MPa条件下高温变换工艺</w:t>
            </w:r>
          </w:p>
        </w:tc>
        <w:tc>
          <w:tcPr>
            <w:tcW w:w="613" w:type="pct"/>
            <w:vAlign w:val="center"/>
          </w:tcPr>
          <w:p>
            <w:pPr>
              <w:pStyle w:val="42"/>
              <w:adjustRightInd w:val="0"/>
              <w:textAlignment w:val="baseline"/>
            </w:pPr>
            <w:r>
              <w:rPr>
                <w:rFonts w:hint="eastAsia"/>
              </w:rPr>
              <w:t>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（十一）</w:t>
            </w:r>
          </w:p>
        </w:tc>
        <w:tc>
          <w:tcPr>
            <w:tcW w:w="2163" w:type="pct"/>
            <w:vAlign w:val="center"/>
          </w:tcPr>
          <w:p>
            <w:pPr>
              <w:pStyle w:val="42"/>
              <w:adjustRightInd w:val="0"/>
              <w:textAlignment w:val="baseline"/>
            </w:pPr>
            <w:r>
              <w:rPr>
                <w:rFonts w:hint="eastAsia"/>
              </w:rPr>
              <w:t>合成氨生产企业应根据生产工艺特点和实际条件选择低温甲醇洗、变压吸附法（PSA法）、聚乙二醇二甲醚法（NHD法）、甲基二乙醇胺法（MDEA法）、碳酸丙烯酯法（PC法）等原料气脱碳技术。</w:t>
            </w:r>
          </w:p>
        </w:tc>
        <w:tc>
          <w:tcPr>
            <w:tcW w:w="1745" w:type="pct"/>
            <w:vAlign w:val="center"/>
          </w:tcPr>
          <w:p>
            <w:pPr>
              <w:pStyle w:val="42"/>
              <w:adjustRightInd w:val="0"/>
              <w:textAlignment w:val="baseline"/>
            </w:pPr>
            <w:r>
              <w:rPr>
                <w:rFonts w:hint="eastAsia"/>
              </w:rPr>
              <w:t>拟建项目采用变压吸附法（PSA法）脱碳技术</w:t>
            </w:r>
          </w:p>
        </w:tc>
        <w:tc>
          <w:tcPr>
            <w:tcW w:w="613" w:type="pct"/>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三</w:t>
            </w:r>
          </w:p>
        </w:tc>
        <w:tc>
          <w:tcPr>
            <w:tcW w:w="4521" w:type="pct"/>
            <w:gridSpan w:val="3"/>
            <w:vAlign w:val="center"/>
          </w:tcPr>
          <w:p>
            <w:pPr>
              <w:pStyle w:val="42"/>
              <w:adjustRightInd w:val="0"/>
              <w:textAlignment w:val="baseline"/>
            </w:pPr>
            <w:r>
              <w:rPr>
                <w:rFonts w:hint="eastAsia"/>
              </w:rPr>
              <w:t>水污染防治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（十七）</w:t>
            </w:r>
          </w:p>
        </w:tc>
        <w:tc>
          <w:tcPr>
            <w:tcW w:w="2163" w:type="pct"/>
            <w:vAlign w:val="center"/>
          </w:tcPr>
          <w:p>
            <w:pPr>
              <w:pStyle w:val="42"/>
              <w:adjustRightInd w:val="0"/>
              <w:textAlignment w:val="baseline"/>
            </w:pPr>
            <w:r>
              <w:rPr>
                <w:rFonts w:hint="eastAsia"/>
              </w:rPr>
              <w:t>合成氨生产企业应采取有效措施控制废水中氨氮、化学需氧量、总氮、总磷、悬浮物、氰化物、挥发酚、硫化物以及石油类等水污染物的排放，废水应分类收集、分质处理，企业应加强防渗措施，防止地下水污染。</w:t>
            </w:r>
          </w:p>
        </w:tc>
        <w:tc>
          <w:tcPr>
            <w:tcW w:w="1745" w:type="pct"/>
            <w:vAlign w:val="center"/>
          </w:tcPr>
          <w:p>
            <w:pPr>
              <w:pStyle w:val="42"/>
              <w:adjustRightInd w:val="0"/>
              <w:textAlignment w:val="baseline"/>
            </w:pPr>
            <w:r>
              <w:rPr>
                <w:rFonts w:hint="eastAsia"/>
              </w:rPr>
              <w:t>拟建项目废水分类收集、分质处理，加强分区防渗措施，防治地下水污染</w:t>
            </w:r>
          </w:p>
        </w:tc>
        <w:tc>
          <w:tcPr>
            <w:tcW w:w="613" w:type="pct"/>
            <w:vAlign w:val="center"/>
          </w:tcPr>
          <w:p>
            <w:pPr>
              <w:pStyle w:val="42"/>
              <w:adjustRightInd w:val="0"/>
              <w:textAlignment w:val="baseline"/>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42"/>
              <w:adjustRightInd w:val="0"/>
              <w:textAlignment w:val="baseline"/>
            </w:pPr>
            <w:r>
              <w:rPr>
                <w:rFonts w:hint="eastAsia"/>
              </w:rPr>
              <w:t>（十八）</w:t>
            </w:r>
          </w:p>
        </w:tc>
        <w:tc>
          <w:tcPr>
            <w:tcW w:w="2163" w:type="pct"/>
            <w:vAlign w:val="center"/>
          </w:tcPr>
          <w:p>
            <w:pPr>
              <w:pStyle w:val="42"/>
              <w:adjustRightInd w:val="0"/>
              <w:textAlignment w:val="baseline"/>
            </w:pPr>
            <w:r>
              <w:rPr>
                <w:rFonts w:hint="eastAsia"/>
              </w:rPr>
              <w:t>合成氨生产企业宜采用循环冷却水超低排放技术、空冷节水技术、蒸发式冷凝冷却技术等，减少废水的产生和排放</w:t>
            </w:r>
          </w:p>
        </w:tc>
        <w:tc>
          <w:tcPr>
            <w:tcW w:w="1745" w:type="pct"/>
            <w:vAlign w:val="center"/>
          </w:tcPr>
          <w:p>
            <w:pPr>
              <w:pStyle w:val="42"/>
              <w:adjustRightInd w:val="0"/>
              <w:textAlignment w:val="baseline"/>
            </w:pPr>
            <w:r>
              <w:rPr>
                <w:rFonts w:hint="eastAsia"/>
              </w:rPr>
              <w:t>本工程采用蒸发式冷凝冷却技术等，减少废水的产生和排放</w:t>
            </w:r>
          </w:p>
        </w:tc>
        <w:tc>
          <w:tcPr>
            <w:tcW w:w="613" w:type="pct"/>
            <w:vAlign w:val="center"/>
          </w:tcPr>
          <w:p>
            <w:pPr>
              <w:pStyle w:val="42"/>
              <w:adjustRightInd w:val="0"/>
              <w:textAlignment w:val="baseline"/>
            </w:pPr>
            <w:r>
              <w:rPr>
                <w:rFonts w:hint="eastAsia"/>
              </w:rPr>
              <w:t>符合</w:t>
            </w:r>
          </w:p>
        </w:tc>
      </w:tr>
    </w:tbl>
    <w:p>
      <w:pPr>
        <w:ind w:firstLine="480"/>
      </w:pPr>
      <w:r>
        <w:rPr>
          <w:rFonts w:hint="eastAsia"/>
        </w:rPr>
        <w:t>由上表1.8.4-4可知，拟建项目的建设符合《合成氨工业污染防治技术政策》相关要求。</w:t>
      </w:r>
    </w:p>
    <w:p>
      <w:pPr>
        <w:pStyle w:val="5"/>
      </w:pPr>
      <w:r>
        <w:rPr>
          <w:rFonts w:hint="eastAsia"/>
        </w:rPr>
        <w:t>1.8.5.6与《合成氨单位产品能源消耗》（GB21344-2015）符合性分析</w:t>
      </w:r>
    </w:p>
    <w:p>
      <w:pPr>
        <w:ind w:firstLine="480"/>
      </w:pPr>
      <w:r>
        <w:rPr>
          <w:rFonts w:hint="eastAsia"/>
        </w:rPr>
        <w:t>拟建项目综合利用卡贝乐公司甲醇装置弛放气、补充部分天然气为原料合成氨，根据《重庆建峰化工股份有限公司利用化工尾气制20万吨/年合成氨循环经济项目可行性研究报告》（中国成达工程有限公司编制），本工程吨氨综合能耗为1.0747吨标煤/吨产品，与《合成氨单位产品能源消耗》（GB21344-2015）符合性分析详见下表1.8.5-5。</w:t>
      </w:r>
    </w:p>
    <w:p>
      <w:pPr>
        <w:pStyle w:val="41"/>
      </w:pPr>
      <w:r>
        <w:rPr>
          <w:rFonts w:hint="eastAsia"/>
        </w:rPr>
        <w:t>表1.8.5-5项目与《合成氨单位产品能源消耗》符合性分析一览表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3685"/>
        <w:gridCol w:w="1418"/>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gridSpan w:val="2"/>
            <w:vAlign w:val="center"/>
          </w:tcPr>
          <w:p>
            <w:pPr>
              <w:pStyle w:val="42"/>
              <w:adjustRightInd w:val="0"/>
              <w:textAlignment w:val="baseline"/>
            </w:pPr>
            <w:r>
              <w:rPr>
                <w:rFonts w:hint="eastAsia"/>
              </w:rPr>
              <w:t>新建合成氨生产企业单位产品能耗准入值</w:t>
            </w:r>
          </w:p>
        </w:tc>
        <w:tc>
          <w:tcPr>
            <w:tcW w:w="1418" w:type="dxa"/>
            <w:vMerge w:val="restart"/>
            <w:vAlign w:val="center"/>
          </w:tcPr>
          <w:p>
            <w:pPr>
              <w:pStyle w:val="42"/>
              <w:adjustRightInd w:val="0"/>
              <w:textAlignment w:val="baseline"/>
            </w:pPr>
            <w:r>
              <w:rPr>
                <w:rFonts w:hint="eastAsia"/>
              </w:rPr>
              <w:t>本工程综合能耗/(kg ce/t)</w:t>
            </w:r>
          </w:p>
        </w:tc>
        <w:tc>
          <w:tcPr>
            <w:tcW w:w="759" w:type="dxa"/>
            <w:vMerge w:val="restart"/>
            <w:vAlign w:val="center"/>
          </w:tcPr>
          <w:p>
            <w:pPr>
              <w:pStyle w:val="42"/>
              <w:adjustRightInd w:val="0"/>
              <w:textAlignment w:val="baseline"/>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2"/>
              <w:adjustRightInd w:val="0"/>
              <w:textAlignment w:val="baseline"/>
            </w:pPr>
            <w:r>
              <w:rPr>
                <w:rFonts w:hint="eastAsia"/>
              </w:rPr>
              <w:t>原料类型</w:t>
            </w:r>
          </w:p>
        </w:tc>
        <w:tc>
          <w:tcPr>
            <w:tcW w:w="3685" w:type="dxa"/>
            <w:vAlign w:val="center"/>
          </w:tcPr>
          <w:p>
            <w:pPr>
              <w:pStyle w:val="42"/>
              <w:adjustRightInd w:val="0"/>
              <w:textAlignment w:val="baseline"/>
            </w:pPr>
            <w:r>
              <w:rPr>
                <w:rFonts w:hint="eastAsia"/>
              </w:rPr>
              <w:t>合成氨单位产品综合能耗/(kg ce/t)</w:t>
            </w:r>
          </w:p>
        </w:tc>
        <w:tc>
          <w:tcPr>
            <w:tcW w:w="1418" w:type="dxa"/>
            <w:vMerge w:val="continue"/>
            <w:vAlign w:val="center"/>
          </w:tcPr>
          <w:p>
            <w:pPr>
              <w:pStyle w:val="42"/>
              <w:adjustRightInd w:val="0"/>
              <w:textAlignment w:val="baseline"/>
            </w:pPr>
          </w:p>
        </w:tc>
        <w:tc>
          <w:tcPr>
            <w:tcW w:w="759" w:type="dxa"/>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2"/>
              <w:adjustRightInd w:val="0"/>
              <w:textAlignment w:val="baseline"/>
            </w:pPr>
            <w:r>
              <w:rPr>
                <w:rFonts w:hint="eastAsia"/>
              </w:rPr>
              <w:t>优质无烟块煤</w:t>
            </w:r>
          </w:p>
        </w:tc>
        <w:tc>
          <w:tcPr>
            <w:tcW w:w="3685" w:type="dxa"/>
            <w:vAlign w:val="center"/>
          </w:tcPr>
          <w:p>
            <w:pPr>
              <w:pStyle w:val="42"/>
              <w:adjustRightInd w:val="0"/>
              <w:textAlignment w:val="baseline"/>
            </w:pPr>
            <w:r>
              <w:rPr>
                <w:rFonts w:hint="eastAsia" w:ascii="宋体" w:hAnsi="宋体"/>
              </w:rPr>
              <w:t>≤</w:t>
            </w:r>
            <w:r>
              <w:rPr>
                <w:rFonts w:hint="eastAsia"/>
              </w:rPr>
              <w:t>1350</w:t>
            </w:r>
          </w:p>
        </w:tc>
        <w:tc>
          <w:tcPr>
            <w:tcW w:w="1418" w:type="dxa"/>
            <w:vAlign w:val="center"/>
          </w:tcPr>
          <w:p>
            <w:pPr>
              <w:pStyle w:val="42"/>
              <w:adjustRightInd w:val="0"/>
              <w:textAlignment w:val="baseline"/>
            </w:pPr>
            <w:r>
              <w:rPr>
                <w:rFonts w:hint="eastAsia"/>
              </w:rPr>
              <w:t>/</w:t>
            </w:r>
          </w:p>
        </w:tc>
        <w:tc>
          <w:tcPr>
            <w:tcW w:w="759" w:type="dxa"/>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2"/>
              <w:adjustRightInd w:val="0"/>
              <w:textAlignment w:val="baseline"/>
            </w:pPr>
            <w:r>
              <w:rPr>
                <w:rFonts w:hint="eastAsia"/>
              </w:rPr>
              <w:t>非优质无烟块煤、型煤</w:t>
            </w:r>
          </w:p>
        </w:tc>
        <w:tc>
          <w:tcPr>
            <w:tcW w:w="3685" w:type="dxa"/>
            <w:vAlign w:val="center"/>
          </w:tcPr>
          <w:p>
            <w:pPr>
              <w:pStyle w:val="42"/>
              <w:adjustRightInd w:val="0"/>
              <w:textAlignment w:val="baseline"/>
            </w:pPr>
            <w:r>
              <w:rPr>
                <w:rFonts w:hint="eastAsia" w:ascii="宋体" w:hAnsi="宋体"/>
              </w:rPr>
              <w:t>≤</w:t>
            </w:r>
            <w:r>
              <w:rPr>
                <w:rFonts w:hint="eastAsia"/>
              </w:rPr>
              <w:t>1550</w:t>
            </w:r>
          </w:p>
        </w:tc>
        <w:tc>
          <w:tcPr>
            <w:tcW w:w="1418" w:type="dxa"/>
            <w:vAlign w:val="center"/>
          </w:tcPr>
          <w:p>
            <w:pPr>
              <w:pStyle w:val="42"/>
              <w:adjustRightInd w:val="0"/>
              <w:textAlignment w:val="baseline"/>
            </w:pPr>
            <w:r>
              <w:rPr>
                <w:rFonts w:hint="eastAsia"/>
              </w:rPr>
              <w:t>/</w:t>
            </w:r>
          </w:p>
        </w:tc>
        <w:tc>
          <w:tcPr>
            <w:tcW w:w="759" w:type="dxa"/>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2"/>
              <w:adjustRightInd w:val="0"/>
              <w:textAlignment w:val="baseline"/>
            </w:pPr>
            <w:r>
              <w:rPr>
                <w:rFonts w:hint="eastAsia"/>
              </w:rPr>
              <w:t>粉煤（包括无烟粉煤、烟煤）</w:t>
            </w:r>
          </w:p>
        </w:tc>
        <w:tc>
          <w:tcPr>
            <w:tcW w:w="3685" w:type="dxa"/>
            <w:vAlign w:val="center"/>
          </w:tcPr>
          <w:p>
            <w:pPr>
              <w:pStyle w:val="42"/>
              <w:adjustRightInd w:val="0"/>
              <w:textAlignment w:val="baseline"/>
              <w:rPr>
                <w:rFonts w:ascii="宋体" w:hAnsi="宋体"/>
              </w:rPr>
            </w:pPr>
            <w:r>
              <w:rPr>
                <w:rFonts w:hint="eastAsia" w:ascii="宋体" w:hAnsi="宋体"/>
              </w:rPr>
              <w:t>≤1650</w:t>
            </w:r>
          </w:p>
        </w:tc>
        <w:tc>
          <w:tcPr>
            <w:tcW w:w="1418" w:type="dxa"/>
            <w:vAlign w:val="center"/>
          </w:tcPr>
          <w:p>
            <w:pPr>
              <w:pStyle w:val="42"/>
              <w:adjustRightInd w:val="0"/>
              <w:textAlignment w:val="baseline"/>
            </w:pPr>
            <w:r>
              <w:rPr>
                <w:rFonts w:hint="eastAsia"/>
              </w:rPr>
              <w:t>/</w:t>
            </w:r>
          </w:p>
        </w:tc>
        <w:tc>
          <w:tcPr>
            <w:tcW w:w="759" w:type="dxa"/>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Style w:val="42"/>
              <w:adjustRightInd w:val="0"/>
              <w:textAlignment w:val="baseline"/>
            </w:pPr>
            <w:r>
              <w:rPr>
                <w:rFonts w:hint="eastAsia"/>
              </w:rPr>
              <w:t>天然气</w:t>
            </w:r>
          </w:p>
        </w:tc>
        <w:tc>
          <w:tcPr>
            <w:tcW w:w="3685" w:type="dxa"/>
            <w:vAlign w:val="center"/>
          </w:tcPr>
          <w:p>
            <w:pPr>
              <w:pStyle w:val="42"/>
              <w:adjustRightInd w:val="0"/>
              <w:textAlignment w:val="baseline"/>
            </w:pPr>
            <w:r>
              <w:rPr>
                <w:rFonts w:hint="eastAsia" w:ascii="宋体" w:hAnsi="宋体"/>
              </w:rPr>
              <w:t>≤</w:t>
            </w:r>
            <w:r>
              <w:rPr>
                <w:rFonts w:hint="eastAsia"/>
              </w:rPr>
              <w:t>1100</w:t>
            </w:r>
          </w:p>
        </w:tc>
        <w:tc>
          <w:tcPr>
            <w:tcW w:w="1418" w:type="dxa"/>
            <w:vAlign w:val="center"/>
          </w:tcPr>
          <w:p>
            <w:pPr>
              <w:pStyle w:val="42"/>
              <w:adjustRightInd w:val="0"/>
              <w:textAlignment w:val="baseline"/>
            </w:pPr>
            <w:r>
              <w:rPr>
                <w:rFonts w:hint="eastAsia"/>
              </w:rPr>
              <w:t>1074.7</w:t>
            </w:r>
          </w:p>
        </w:tc>
        <w:tc>
          <w:tcPr>
            <w:tcW w:w="759" w:type="dxa"/>
            <w:vAlign w:val="center"/>
          </w:tcPr>
          <w:p>
            <w:pPr>
              <w:pStyle w:val="42"/>
              <w:adjustRightInd w:val="0"/>
              <w:textAlignment w:val="baseline"/>
            </w:pPr>
            <w:r>
              <w:rPr>
                <w:rFonts w:hint="eastAsia"/>
              </w:rPr>
              <w:t xml:space="preserve">符合 </w:t>
            </w:r>
          </w:p>
        </w:tc>
      </w:tr>
    </w:tbl>
    <w:p>
      <w:pPr>
        <w:ind w:firstLine="480"/>
      </w:pPr>
      <w:r>
        <w:rPr>
          <w:rFonts w:hint="eastAsia"/>
        </w:rPr>
        <w:t>由上表1.8.5-5可知，拟建项目符合《合成氨单位产品能源消耗》（GB21344-2015）中单位产品能耗准入值要求。</w:t>
      </w:r>
    </w:p>
    <w:p>
      <w:pPr>
        <w:pStyle w:val="4"/>
        <w:spacing w:before="156" w:after="156"/>
      </w:pPr>
      <w:r>
        <w:t>1.8.</w:t>
      </w:r>
      <w:r>
        <w:rPr>
          <w:rFonts w:hint="eastAsia"/>
        </w:rPr>
        <w:t>6“两高”相关政策符合性分析</w:t>
      </w:r>
    </w:p>
    <w:p>
      <w:pPr>
        <w:ind w:firstLine="480"/>
      </w:pPr>
      <w:r>
        <w:rPr>
          <w:rFonts w:hint="eastAsia"/>
        </w:rPr>
        <w:t>（1）与《关于加强高耗能、高排放建设项目生态环境源头防控的指导意见》（环环评〔2021〕45号）符合性分析</w:t>
      </w:r>
    </w:p>
    <w:p>
      <w:pPr>
        <w:ind w:firstLine="480"/>
      </w:pPr>
      <w:r>
        <w:rPr>
          <w:rFonts w:hint="eastAsia"/>
        </w:rPr>
        <w:t>拟建项目与关于加强高耗能、高排放建设项目生态环境源头防控的指导意见》（环环评〔2021〕45号）符合性分析详见下表1.8.6-1。</w:t>
      </w:r>
    </w:p>
    <w:p>
      <w:pPr>
        <w:pStyle w:val="41"/>
      </w:pPr>
      <w:r>
        <w:rPr>
          <w:rFonts w:hint="eastAsia"/>
        </w:rPr>
        <w:t>表1.8</w:t>
      </w:r>
      <w:r>
        <w:t>.</w:t>
      </w:r>
      <w:r>
        <w:rPr>
          <w:rFonts w:hint="eastAsia"/>
        </w:rPr>
        <w:t>6-1</w:t>
      </w:r>
      <w:r>
        <w:t xml:space="preserve">  </w:t>
      </w:r>
      <w:r>
        <w:rPr>
          <w:rFonts w:hint="eastAsia"/>
        </w:rPr>
        <w:t>与《关于加强高耗能、高排放建设项目生态环境源头防控的指导意见》</w:t>
      </w:r>
    </w:p>
    <w:p>
      <w:pPr>
        <w:pStyle w:val="41"/>
      </w:pPr>
      <w:r>
        <w:rPr>
          <w:rFonts w:hint="eastAsia"/>
        </w:rPr>
        <w:t>的符合性分析表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995"/>
        <w:gridCol w:w="2978"/>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2" w:type="pct"/>
            <w:vAlign w:val="center"/>
          </w:tcPr>
          <w:p>
            <w:pPr>
              <w:pStyle w:val="42"/>
              <w:spacing w:line="300" w:lineRule="exact"/>
              <w:rPr>
                <w:rStyle w:val="63"/>
                <w:sz w:val="18"/>
                <w:szCs w:val="18"/>
              </w:rPr>
            </w:pPr>
            <w:r>
              <w:rPr>
                <w:rStyle w:val="63"/>
                <w:rFonts w:hint="eastAsia"/>
                <w:sz w:val="18"/>
                <w:szCs w:val="18"/>
              </w:rPr>
              <w:t>条款</w:t>
            </w:r>
          </w:p>
        </w:tc>
        <w:tc>
          <w:tcPr>
            <w:tcW w:w="2344" w:type="pct"/>
            <w:vAlign w:val="center"/>
          </w:tcPr>
          <w:p>
            <w:pPr>
              <w:pStyle w:val="42"/>
              <w:spacing w:line="300" w:lineRule="exact"/>
              <w:rPr>
                <w:rStyle w:val="63"/>
                <w:sz w:val="18"/>
                <w:szCs w:val="18"/>
              </w:rPr>
            </w:pPr>
            <w:r>
              <w:rPr>
                <w:rStyle w:val="63"/>
                <w:sz w:val="18"/>
                <w:szCs w:val="18"/>
              </w:rPr>
              <w:t>要求</w:t>
            </w:r>
          </w:p>
        </w:tc>
        <w:tc>
          <w:tcPr>
            <w:tcW w:w="1747" w:type="pct"/>
            <w:vAlign w:val="center"/>
          </w:tcPr>
          <w:p>
            <w:pPr>
              <w:pStyle w:val="42"/>
              <w:spacing w:line="300" w:lineRule="exact"/>
              <w:rPr>
                <w:rStyle w:val="63"/>
                <w:sz w:val="18"/>
                <w:szCs w:val="18"/>
              </w:rPr>
            </w:pPr>
            <w:r>
              <w:rPr>
                <w:rStyle w:val="63"/>
                <w:sz w:val="18"/>
                <w:szCs w:val="18"/>
              </w:rPr>
              <w:t>项目情况</w:t>
            </w:r>
          </w:p>
        </w:tc>
        <w:tc>
          <w:tcPr>
            <w:tcW w:w="517" w:type="pct"/>
            <w:vAlign w:val="center"/>
          </w:tcPr>
          <w:p>
            <w:pPr>
              <w:pStyle w:val="42"/>
              <w:spacing w:line="300" w:lineRule="exact"/>
              <w:rPr>
                <w:rStyle w:val="63"/>
                <w:sz w:val="18"/>
                <w:szCs w:val="18"/>
              </w:rPr>
            </w:pPr>
            <w:r>
              <w:rPr>
                <w:rStyle w:val="63"/>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vAlign w:val="center"/>
          </w:tcPr>
          <w:p>
            <w:pPr>
              <w:pStyle w:val="42"/>
              <w:spacing w:line="300" w:lineRule="exact"/>
              <w:rPr>
                <w:rStyle w:val="63"/>
                <w:sz w:val="18"/>
                <w:szCs w:val="18"/>
              </w:rPr>
            </w:pPr>
            <w:r>
              <w:rPr>
                <w:rStyle w:val="63"/>
                <w:rFonts w:hint="eastAsia"/>
                <w:sz w:val="18"/>
                <w:szCs w:val="18"/>
              </w:rPr>
              <w:t>二、严格“两高”项目环评审批</w:t>
            </w:r>
          </w:p>
        </w:tc>
        <w:tc>
          <w:tcPr>
            <w:tcW w:w="2344" w:type="pct"/>
            <w:vAlign w:val="center"/>
          </w:tcPr>
          <w:p>
            <w:pPr>
              <w:pStyle w:val="42"/>
              <w:spacing w:line="300" w:lineRule="exact"/>
              <w:rPr>
                <w:rStyle w:val="63"/>
                <w:sz w:val="18"/>
                <w:szCs w:val="18"/>
              </w:rPr>
            </w:pPr>
            <w:r>
              <w:rPr>
                <w:rStyle w:val="63"/>
                <w:rFonts w:hint="eastAsia"/>
                <w:sz w:val="18"/>
                <w:szCs w:val="18"/>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747" w:type="pct"/>
            <w:vAlign w:val="center"/>
          </w:tcPr>
          <w:p>
            <w:pPr>
              <w:pStyle w:val="42"/>
              <w:spacing w:line="300" w:lineRule="exact"/>
              <w:rPr>
                <w:rStyle w:val="63"/>
                <w:sz w:val="18"/>
                <w:szCs w:val="18"/>
              </w:rPr>
            </w:pPr>
            <w:r>
              <w:rPr>
                <w:rStyle w:val="63"/>
                <w:rFonts w:hint="eastAsia"/>
                <w:sz w:val="18"/>
                <w:szCs w:val="18"/>
              </w:rPr>
              <w:t>本项目属于新建化工项目，项目的建设符合生态环境保护法律法规和相关法定规划，满足重点污染物排放总量控制、碳排放达峰目标、生态环境准入清单和相关规划环评准入条件，满足</w:t>
            </w:r>
            <w:r>
              <w:rPr>
                <w:rFonts w:hint="eastAsia"/>
                <w:sz w:val="18"/>
                <w:szCs w:val="18"/>
              </w:rPr>
              <w:t>《合成氨工业污染防治技术政策》相关要求</w:t>
            </w:r>
            <w:r>
              <w:rPr>
                <w:rStyle w:val="63"/>
                <w:rFonts w:hint="eastAsia"/>
                <w:sz w:val="18"/>
                <w:szCs w:val="18"/>
              </w:rPr>
              <w:t>。</w:t>
            </w:r>
          </w:p>
          <w:p>
            <w:pPr>
              <w:pStyle w:val="42"/>
              <w:spacing w:line="300" w:lineRule="exact"/>
              <w:rPr>
                <w:rStyle w:val="63"/>
                <w:sz w:val="18"/>
                <w:szCs w:val="18"/>
              </w:rPr>
            </w:pPr>
            <w:r>
              <w:rPr>
                <w:rStyle w:val="63"/>
                <w:rFonts w:hint="eastAsia"/>
                <w:sz w:val="18"/>
                <w:szCs w:val="18"/>
              </w:rPr>
              <w:t>项目选址于依法合规设立并经规划环评的</w:t>
            </w:r>
            <w:r>
              <w:rPr>
                <w:rFonts w:hint="eastAsia"/>
                <w:sz w:val="18"/>
                <w:szCs w:val="18"/>
              </w:rPr>
              <w:t>长寿经济技术开发区。</w:t>
            </w:r>
          </w:p>
        </w:tc>
        <w:tc>
          <w:tcPr>
            <w:tcW w:w="517" w:type="pct"/>
            <w:vAlign w:val="center"/>
          </w:tcPr>
          <w:p>
            <w:pPr>
              <w:pStyle w:val="42"/>
              <w:spacing w:line="300" w:lineRule="exact"/>
              <w:rPr>
                <w:rStyle w:val="63"/>
                <w:sz w:val="18"/>
                <w:szCs w:val="18"/>
              </w:rPr>
            </w:pPr>
            <w:r>
              <w:rPr>
                <w:rStyle w:val="63"/>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vAlign w:val="center"/>
          </w:tcPr>
          <w:p>
            <w:pPr>
              <w:pStyle w:val="42"/>
              <w:spacing w:line="300" w:lineRule="exact"/>
              <w:rPr>
                <w:rStyle w:val="63"/>
                <w:sz w:val="18"/>
                <w:szCs w:val="18"/>
              </w:rPr>
            </w:pPr>
          </w:p>
        </w:tc>
        <w:tc>
          <w:tcPr>
            <w:tcW w:w="2344" w:type="pct"/>
            <w:vAlign w:val="center"/>
          </w:tcPr>
          <w:p>
            <w:pPr>
              <w:pStyle w:val="42"/>
              <w:spacing w:line="300" w:lineRule="exact"/>
              <w:rPr>
                <w:rStyle w:val="63"/>
                <w:sz w:val="18"/>
                <w:szCs w:val="18"/>
              </w:rPr>
            </w:pPr>
            <w:r>
              <w:rPr>
                <w:rStyle w:val="63"/>
                <w:rFonts w:hint="eastAsia"/>
                <w:sz w:val="18"/>
                <w:szCs w:val="18"/>
              </w:rP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1747" w:type="pct"/>
            <w:vAlign w:val="center"/>
          </w:tcPr>
          <w:p>
            <w:pPr>
              <w:pStyle w:val="42"/>
              <w:spacing w:line="300" w:lineRule="exact"/>
              <w:rPr>
                <w:rStyle w:val="63"/>
                <w:sz w:val="18"/>
                <w:szCs w:val="18"/>
              </w:rPr>
            </w:pPr>
            <w:r>
              <w:rPr>
                <w:rStyle w:val="63"/>
                <w:rFonts w:hint="eastAsia"/>
                <w:sz w:val="18"/>
                <w:szCs w:val="18"/>
              </w:rPr>
              <w:t>项目所在长寿区</w:t>
            </w:r>
            <w:r>
              <w:rPr>
                <w:sz w:val="18"/>
                <w:szCs w:val="18"/>
              </w:rPr>
              <w:t>属于大气污染防治的一般控制区，</w:t>
            </w:r>
            <w:r>
              <w:rPr>
                <w:rStyle w:val="63"/>
                <w:rFonts w:hint="eastAsia"/>
                <w:sz w:val="18"/>
                <w:szCs w:val="18"/>
              </w:rPr>
              <w:t>且2</w:t>
            </w:r>
            <w:r>
              <w:rPr>
                <w:rStyle w:val="63"/>
                <w:sz w:val="18"/>
                <w:szCs w:val="18"/>
              </w:rPr>
              <w:t>020</w:t>
            </w:r>
            <w:r>
              <w:rPr>
                <w:rStyle w:val="63"/>
                <w:rFonts w:hint="eastAsia"/>
                <w:sz w:val="18"/>
                <w:szCs w:val="18"/>
              </w:rPr>
              <w:t>年环境空气质量达标，有一定的环境容量。本项目属于新建“两高”项目，新增总量指标按管理办法要求购买解决。</w:t>
            </w:r>
          </w:p>
        </w:tc>
        <w:tc>
          <w:tcPr>
            <w:tcW w:w="517" w:type="pct"/>
            <w:vAlign w:val="center"/>
          </w:tcPr>
          <w:p>
            <w:pPr>
              <w:pStyle w:val="42"/>
              <w:spacing w:line="300" w:lineRule="exact"/>
              <w:rPr>
                <w:rStyle w:val="63"/>
                <w:sz w:val="18"/>
                <w:szCs w:val="18"/>
              </w:rPr>
            </w:pPr>
            <w:r>
              <w:rPr>
                <w:rStyle w:val="63"/>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vAlign w:val="center"/>
          </w:tcPr>
          <w:p>
            <w:pPr>
              <w:pStyle w:val="42"/>
              <w:spacing w:line="300" w:lineRule="exact"/>
              <w:rPr>
                <w:rStyle w:val="63"/>
                <w:sz w:val="18"/>
                <w:szCs w:val="18"/>
              </w:rPr>
            </w:pPr>
            <w:r>
              <w:rPr>
                <w:rStyle w:val="63"/>
                <w:rFonts w:hint="eastAsia"/>
                <w:sz w:val="18"/>
                <w:szCs w:val="18"/>
              </w:rPr>
              <w:t>　三、推进“两高”行业减污降碳协同控制</w:t>
            </w:r>
          </w:p>
        </w:tc>
        <w:tc>
          <w:tcPr>
            <w:tcW w:w="2344" w:type="pct"/>
            <w:vAlign w:val="center"/>
          </w:tcPr>
          <w:p>
            <w:pPr>
              <w:pStyle w:val="42"/>
              <w:spacing w:line="300" w:lineRule="exact"/>
              <w:rPr>
                <w:rStyle w:val="63"/>
                <w:sz w:val="18"/>
                <w:szCs w:val="18"/>
              </w:rPr>
            </w:pPr>
            <w:r>
              <w:rPr>
                <w:rStyle w:val="63"/>
                <w:rFonts w:hint="eastAsia"/>
                <w:sz w:val="18"/>
                <w:szCs w:val="18"/>
              </w:rPr>
              <w:t>　（六）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747" w:type="pct"/>
            <w:vAlign w:val="center"/>
          </w:tcPr>
          <w:p>
            <w:pPr>
              <w:pStyle w:val="42"/>
              <w:spacing w:line="300" w:lineRule="exact"/>
              <w:rPr>
                <w:rStyle w:val="63"/>
                <w:sz w:val="18"/>
                <w:szCs w:val="18"/>
              </w:rPr>
            </w:pPr>
            <w:r>
              <w:rPr>
                <w:rStyle w:val="63"/>
                <w:rFonts w:hint="eastAsia"/>
                <w:sz w:val="18"/>
                <w:szCs w:val="18"/>
              </w:rPr>
              <w:t>本项目工艺技术和装备符合</w:t>
            </w:r>
            <w:r>
              <w:rPr>
                <w:rFonts w:hint="eastAsia"/>
                <w:sz w:val="18"/>
                <w:szCs w:val="18"/>
              </w:rPr>
              <w:t>《清洁生产标准 氮肥制造业》（HJ/T188-2006）一级或二级指标要求；</w:t>
            </w:r>
            <w:r>
              <w:rPr>
                <w:rStyle w:val="63"/>
                <w:rFonts w:hint="eastAsia"/>
                <w:sz w:val="18"/>
                <w:szCs w:val="18"/>
              </w:rPr>
              <w:t>单位产品物耗、能耗、水耗等达到清洁生产先进水平；依法制定了防治土壤与地下水污染的措施。</w:t>
            </w:r>
          </w:p>
          <w:p>
            <w:pPr>
              <w:pStyle w:val="42"/>
              <w:spacing w:line="300" w:lineRule="exact"/>
              <w:rPr>
                <w:rStyle w:val="63"/>
                <w:sz w:val="18"/>
                <w:szCs w:val="18"/>
              </w:rPr>
            </w:pPr>
            <w:r>
              <w:rPr>
                <w:rStyle w:val="63"/>
                <w:rFonts w:hint="eastAsia"/>
                <w:sz w:val="18"/>
                <w:szCs w:val="18"/>
              </w:rPr>
              <w:t>本项目使用电、天然气等清洁能源，设置余热回收系统，不新建锅炉；原辅料运输以管道运输为主，脱硫剂和催化剂等定期更换，采用车辆运输，条件允许情况下优先使用新能源车辆。</w:t>
            </w:r>
          </w:p>
        </w:tc>
        <w:tc>
          <w:tcPr>
            <w:tcW w:w="517" w:type="pct"/>
            <w:vAlign w:val="center"/>
          </w:tcPr>
          <w:p>
            <w:pPr>
              <w:pStyle w:val="42"/>
              <w:spacing w:line="300" w:lineRule="exact"/>
              <w:rPr>
                <w:rStyle w:val="63"/>
                <w:sz w:val="18"/>
                <w:szCs w:val="18"/>
              </w:rPr>
            </w:pPr>
            <w:r>
              <w:rPr>
                <w:rStyle w:val="63"/>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vAlign w:val="center"/>
          </w:tcPr>
          <w:p>
            <w:pPr>
              <w:pStyle w:val="42"/>
              <w:spacing w:line="300" w:lineRule="exact"/>
              <w:rPr>
                <w:rStyle w:val="63"/>
                <w:sz w:val="18"/>
                <w:szCs w:val="18"/>
              </w:rPr>
            </w:pPr>
          </w:p>
        </w:tc>
        <w:tc>
          <w:tcPr>
            <w:tcW w:w="2344" w:type="pct"/>
            <w:vAlign w:val="center"/>
          </w:tcPr>
          <w:p>
            <w:pPr>
              <w:pStyle w:val="42"/>
              <w:spacing w:line="300" w:lineRule="exact"/>
              <w:rPr>
                <w:rStyle w:val="63"/>
                <w:sz w:val="18"/>
                <w:szCs w:val="18"/>
              </w:rPr>
            </w:pPr>
            <w:r>
              <w:rPr>
                <w:rStyle w:val="63"/>
                <w:rFonts w:hint="eastAsia"/>
                <w:sz w:val="18"/>
                <w:szCs w:val="18"/>
              </w:rPr>
              <w:t>（七）将碳排放影响评价纳入环境影响评价体系。</w:t>
            </w:r>
          </w:p>
        </w:tc>
        <w:tc>
          <w:tcPr>
            <w:tcW w:w="1747" w:type="pct"/>
            <w:vAlign w:val="center"/>
          </w:tcPr>
          <w:p>
            <w:pPr>
              <w:pStyle w:val="42"/>
              <w:spacing w:line="300" w:lineRule="exact"/>
              <w:rPr>
                <w:rStyle w:val="63"/>
                <w:sz w:val="18"/>
                <w:szCs w:val="18"/>
              </w:rPr>
            </w:pPr>
            <w:r>
              <w:rPr>
                <w:rStyle w:val="63"/>
                <w:sz w:val="18"/>
                <w:szCs w:val="18"/>
              </w:rPr>
              <w:t>本项目</w:t>
            </w:r>
            <w:r>
              <w:rPr>
                <w:rStyle w:val="63"/>
                <w:rFonts w:hint="eastAsia"/>
                <w:sz w:val="18"/>
                <w:szCs w:val="18"/>
              </w:rPr>
              <w:t>环境影响报告书设置了“碳排放影响评价”章节，详见第</w:t>
            </w:r>
            <w:r>
              <w:rPr>
                <w:rStyle w:val="63"/>
                <w:sz w:val="18"/>
                <w:szCs w:val="18"/>
              </w:rPr>
              <w:t>10</w:t>
            </w:r>
            <w:r>
              <w:rPr>
                <w:rStyle w:val="63"/>
                <w:rFonts w:hint="eastAsia"/>
                <w:sz w:val="18"/>
                <w:szCs w:val="18"/>
              </w:rPr>
              <w:t>章</w:t>
            </w:r>
          </w:p>
        </w:tc>
        <w:tc>
          <w:tcPr>
            <w:tcW w:w="517" w:type="pct"/>
            <w:vAlign w:val="center"/>
          </w:tcPr>
          <w:p>
            <w:pPr>
              <w:pStyle w:val="42"/>
              <w:spacing w:line="300" w:lineRule="exact"/>
              <w:rPr>
                <w:rStyle w:val="63"/>
                <w:sz w:val="18"/>
                <w:szCs w:val="18"/>
              </w:rPr>
            </w:pPr>
            <w:r>
              <w:rPr>
                <w:rStyle w:val="63"/>
                <w:sz w:val="18"/>
                <w:szCs w:val="18"/>
              </w:rPr>
              <w:t>符合</w:t>
            </w:r>
          </w:p>
        </w:tc>
      </w:tr>
    </w:tbl>
    <w:p>
      <w:pPr>
        <w:ind w:firstLine="480"/>
      </w:pPr>
      <w:r>
        <w:rPr>
          <w:rFonts w:hint="eastAsia"/>
        </w:rPr>
        <w:t>由上表1</w:t>
      </w:r>
      <w:r>
        <w:t>.8.</w:t>
      </w:r>
      <w:r>
        <w:rPr>
          <w:rFonts w:hint="eastAsia"/>
        </w:rPr>
        <w:t>6-1分析可知，</w:t>
      </w:r>
      <w:r>
        <w:t>本项目</w:t>
      </w:r>
      <w:r>
        <w:rPr>
          <w:rFonts w:hint="eastAsia"/>
        </w:rPr>
        <w:t>符合</w:t>
      </w:r>
      <w:r>
        <w:t>《关于加强高耗能、高排放建设项目生态环境源头防控的指导意见》（环</w:t>
      </w:r>
      <w:r>
        <w:rPr>
          <w:rFonts w:hint="eastAsia"/>
        </w:rPr>
        <w:t>环</w:t>
      </w:r>
      <w:r>
        <w:t>评〔2021〕45号）</w:t>
      </w:r>
      <w:r>
        <w:rPr>
          <w:rFonts w:hint="eastAsia"/>
        </w:rPr>
        <w:t>中相关要求。</w:t>
      </w:r>
    </w:p>
    <w:p>
      <w:pPr>
        <w:ind w:firstLine="480"/>
      </w:pPr>
      <w:r>
        <w:rPr>
          <w:rFonts w:hint="eastAsia"/>
        </w:rPr>
        <w:t>（2）与《重庆市生态环境局办公室关于贯彻落实坚决遏制高能耗、高排放项目盲目发展相关要求的通知》（渝环办〔2021〕168号）符合性分析</w:t>
      </w:r>
    </w:p>
    <w:p>
      <w:pPr>
        <w:ind w:firstLine="480"/>
      </w:pPr>
      <w:r>
        <w:rPr>
          <w:rFonts w:hint="eastAsia"/>
        </w:rPr>
        <w:t>拟建项目与《重庆市生态环境局办公室关于贯彻落实坚决遏制高能耗、高排放项目盲目发展相关要求的通知》（渝环办〔2021〕168号）的符合性分析见下表1.8</w:t>
      </w:r>
      <w:r>
        <w:t>.</w:t>
      </w:r>
      <w:r>
        <w:rPr>
          <w:rFonts w:hint="eastAsia"/>
        </w:rPr>
        <w:t>6-2。</w:t>
      </w:r>
    </w:p>
    <w:p>
      <w:pPr>
        <w:pStyle w:val="41"/>
      </w:pPr>
      <w:r>
        <w:rPr>
          <w:rFonts w:hint="eastAsia"/>
        </w:rPr>
        <w:t>表1.8</w:t>
      </w:r>
      <w:r>
        <w:t>.</w:t>
      </w:r>
      <w:r>
        <w:rPr>
          <w:rFonts w:hint="eastAsia"/>
        </w:rPr>
        <w:t>6-2与《重庆市生态环境局办公室关于贯彻落实坚决遏制高能耗、高排放项目盲目发展相关要求的通知》的符合性分析表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995"/>
        <w:gridCol w:w="2978"/>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Align w:val="center"/>
          </w:tcPr>
          <w:p>
            <w:pPr>
              <w:pStyle w:val="42"/>
              <w:spacing w:line="300" w:lineRule="exact"/>
              <w:rPr>
                <w:sz w:val="18"/>
                <w:szCs w:val="18"/>
              </w:rPr>
            </w:pPr>
            <w:r>
              <w:rPr>
                <w:rFonts w:hint="eastAsia"/>
                <w:sz w:val="18"/>
                <w:szCs w:val="18"/>
              </w:rPr>
              <w:t>条款</w:t>
            </w:r>
          </w:p>
        </w:tc>
        <w:tc>
          <w:tcPr>
            <w:tcW w:w="2344" w:type="pct"/>
            <w:vAlign w:val="center"/>
          </w:tcPr>
          <w:p>
            <w:pPr>
              <w:pStyle w:val="42"/>
              <w:spacing w:line="300" w:lineRule="exact"/>
              <w:rPr>
                <w:sz w:val="18"/>
                <w:szCs w:val="18"/>
              </w:rPr>
            </w:pPr>
            <w:r>
              <w:rPr>
                <w:sz w:val="18"/>
                <w:szCs w:val="18"/>
              </w:rPr>
              <w:t>要求</w:t>
            </w:r>
          </w:p>
        </w:tc>
        <w:tc>
          <w:tcPr>
            <w:tcW w:w="1747" w:type="pct"/>
            <w:vAlign w:val="center"/>
          </w:tcPr>
          <w:p>
            <w:pPr>
              <w:pStyle w:val="42"/>
              <w:spacing w:line="300" w:lineRule="exact"/>
              <w:rPr>
                <w:sz w:val="18"/>
                <w:szCs w:val="18"/>
              </w:rPr>
            </w:pPr>
            <w:r>
              <w:rPr>
                <w:sz w:val="18"/>
                <w:szCs w:val="18"/>
              </w:rPr>
              <w:t>项目情况</w:t>
            </w:r>
          </w:p>
        </w:tc>
        <w:tc>
          <w:tcPr>
            <w:tcW w:w="517" w:type="pct"/>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vAlign w:val="center"/>
          </w:tcPr>
          <w:p>
            <w:pPr>
              <w:pStyle w:val="42"/>
              <w:spacing w:line="300" w:lineRule="exact"/>
              <w:rPr>
                <w:sz w:val="18"/>
                <w:szCs w:val="18"/>
              </w:rPr>
            </w:pPr>
            <w:r>
              <w:rPr>
                <w:rFonts w:hint="eastAsia"/>
                <w:sz w:val="18"/>
                <w:szCs w:val="18"/>
              </w:rPr>
              <w:t>三、严格“两高”项目环境准入</w:t>
            </w:r>
          </w:p>
        </w:tc>
        <w:tc>
          <w:tcPr>
            <w:tcW w:w="2344" w:type="pct"/>
            <w:vAlign w:val="center"/>
          </w:tcPr>
          <w:p>
            <w:pPr>
              <w:pStyle w:val="42"/>
              <w:spacing w:line="300" w:lineRule="exact"/>
              <w:rPr>
                <w:sz w:val="18"/>
                <w:szCs w:val="18"/>
              </w:rPr>
            </w:pPr>
            <w:r>
              <w:rPr>
                <w:rFonts w:hint="eastAsia"/>
                <w:sz w:val="18"/>
                <w:szCs w:val="18"/>
              </w:rPr>
              <w:t>（一）加强生态环境分区管控和规划约束。</w:t>
            </w:r>
          </w:p>
          <w:p>
            <w:pPr>
              <w:pStyle w:val="42"/>
              <w:spacing w:line="300" w:lineRule="exact"/>
              <w:rPr>
                <w:sz w:val="18"/>
                <w:szCs w:val="18"/>
              </w:rPr>
            </w:pPr>
            <w:r>
              <w:rPr>
                <w:rFonts w:hint="eastAsia"/>
                <w:sz w:val="18"/>
                <w:szCs w:val="18"/>
              </w:rPr>
              <w:t xml:space="preserve">深入实施“三线一单”（生态保护红线、环境质量底线、资源利用上线和生态环境准入清单），充分应用“三线一单”成果在“两高”行业产业布局和结构调整、重大项目选址中的应用。 </w:t>
            </w:r>
          </w:p>
          <w:p>
            <w:pPr>
              <w:pStyle w:val="42"/>
              <w:spacing w:line="300" w:lineRule="exact"/>
              <w:rPr>
                <w:sz w:val="18"/>
                <w:szCs w:val="18"/>
              </w:rPr>
            </w:pPr>
            <w:r>
              <w:rPr>
                <w:rFonts w:hint="eastAsia"/>
                <w:sz w:val="18"/>
                <w:szCs w:val="18"/>
              </w:rPr>
              <w:t>强化规划环评效力，严格审查涉“两高”行业的有关综合性规划和工业、能源等专项规划环评，特别对为上马“两高”项目而修编的规划，在环评审查中严格控制“两高”行业发展规模，优化规划布局、产业结构与实施时序。</w:t>
            </w:r>
          </w:p>
        </w:tc>
        <w:tc>
          <w:tcPr>
            <w:tcW w:w="1747" w:type="pct"/>
            <w:vAlign w:val="center"/>
          </w:tcPr>
          <w:p>
            <w:pPr>
              <w:pStyle w:val="42"/>
              <w:spacing w:line="300" w:lineRule="exact"/>
              <w:rPr>
                <w:sz w:val="18"/>
                <w:szCs w:val="18"/>
              </w:rPr>
            </w:pPr>
            <w:r>
              <w:rPr>
                <w:rFonts w:hint="eastAsia"/>
                <w:sz w:val="18"/>
                <w:szCs w:val="18"/>
              </w:rPr>
              <w:t>本项目选址于长寿经济技术开发区，符合重庆市、长寿区“三线一单”，符合园区规划、符合《长寿经济技术开发区晏家组团控制性详细规划环境影响报告书》及审查意见相关要求，</w:t>
            </w:r>
            <w:r>
              <w:rPr>
                <w:sz w:val="18"/>
                <w:szCs w:val="18"/>
              </w:rPr>
              <w:t>清洁生产达到国内先进水平，有利于推动长寿经济技术开发区晏家组团的良好发展。</w:t>
            </w:r>
          </w:p>
        </w:tc>
        <w:tc>
          <w:tcPr>
            <w:tcW w:w="517" w:type="pct"/>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vAlign w:val="center"/>
          </w:tcPr>
          <w:p>
            <w:pPr>
              <w:pStyle w:val="42"/>
              <w:spacing w:line="300" w:lineRule="exact"/>
              <w:rPr>
                <w:sz w:val="18"/>
                <w:szCs w:val="18"/>
              </w:rPr>
            </w:pPr>
          </w:p>
        </w:tc>
        <w:tc>
          <w:tcPr>
            <w:tcW w:w="2344" w:type="pct"/>
            <w:vAlign w:val="center"/>
          </w:tcPr>
          <w:p>
            <w:pPr>
              <w:pStyle w:val="42"/>
              <w:spacing w:line="300" w:lineRule="exact"/>
              <w:rPr>
                <w:sz w:val="18"/>
                <w:szCs w:val="18"/>
              </w:rPr>
            </w:pPr>
            <w:r>
              <w:rPr>
                <w:rFonts w:hint="eastAsia"/>
                <w:sz w:val="18"/>
                <w:szCs w:val="18"/>
              </w:rPr>
              <w:t>（二）严格“两高”项目环评审批。</w:t>
            </w:r>
          </w:p>
          <w:p>
            <w:pPr>
              <w:pStyle w:val="42"/>
              <w:spacing w:line="300" w:lineRule="exact"/>
              <w:rPr>
                <w:sz w:val="18"/>
                <w:szCs w:val="18"/>
              </w:rPr>
            </w:pPr>
            <w:r>
              <w:rPr>
                <w:rFonts w:hint="eastAsia"/>
                <w:sz w:val="18"/>
                <w:szCs w:val="18"/>
              </w:rPr>
              <w:t>严格项目准入，对不符合生态环境保护法律法规、国家产业规划、产业政策、“三线一单”、规划环评、产能置换、煤炭消费减量替代和主要污染物排放量区域削减等要求的“两高”项目，坚决不予审批。严格按照国家及我市有关规定，对钢铁、水泥熟料、平板玻璃、电解铝等行业新建、扩建项目实行产能等量或减量置换。石化、现代煤化工项目应纳入国家产业规划。严控钢铁、化工、水泥等主要用煤行业煤炭消费，新建、改扩建项目实行用煤减量替代。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747" w:type="pct"/>
            <w:vAlign w:val="center"/>
          </w:tcPr>
          <w:p>
            <w:pPr>
              <w:pStyle w:val="42"/>
              <w:spacing w:line="300" w:lineRule="exact"/>
              <w:rPr>
                <w:sz w:val="18"/>
                <w:szCs w:val="18"/>
              </w:rPr>
            </w:pPr>
            <w:r>
              <w:rPr>
                <w:rFonts w:hint="eastAsia"/>
                <w:sz w:val="18"/>
                <w:szCs w:val="18"/>
              </w:rPr>
              <w:t>拟建项目的建设符合国家产业政策和生态环境保护法律法规，符合《重庆市工业项目环境准入规定》和《重庆市发展和改革委员会关于印发重庆市产业投资准入工作手册》（渝发改投[2018]541号）、符合重庆市、长寿区“三线一单”，符合园区规划、符合《长寿经济技术开发区晏家组团控制性详细规划环境影响报告书》及审查意见相关要求；</w:t>
            </w:r>
            <w:r>
              <w:rPr>
                <w:rStyle w:val="63"/>
                <w:rFonts w:hint="eastAsia"/>
                <w:sz w:val="18"/>
                <w:szCs w:val="18"/>
              </w:rPr>
              <w:t>项目所在长寿区</w:t>
            </w:r>
            <w:r>
              <w:rPr>
                <w:sz w:val="18"/>
                <w:szCs w:val="18"/>
              </w:rPr>
              <w:t>属于大气污染防治的一般控制区，</w:t>
            </w:r>
            <w:r>
              <w:rPr>
                <w:rStyle w:val="63"/>
                <w:rFonts w:hint="eastAsia"/>
                <w:sz w:val="18"/>
                <w:szCs w:val="18"/>
              </w:rPr>
              <w:t>且2</w:t>
            </w:r>
            <w:r>
              <w:rPr>
                <w:rStyle w:val="63"/>
                <w:sz w:val="18"/>
                <w:szCs w:val="18"/>
              </w:rPr>
              <w:t>020</w:t>
            </w:r>
            <w:r>
              <w:rPr>
                <w:rStyle w:val="63"/>
                <w:rFonts w:hint="eastAsia"/>
                <w:sz w:val="18"/>
                <w:szCs w:val="18"/>
              </w:rPr>
              <w:t>年环境空气质量达标，本项目使用电、天然气等清洁能源，不涉及煤炭消费。</w:t>
            </w:r>
          </w:p>
        </w:tc>
        <w:tc>
          <w:tcPr>
            <w:tcW w:w="517"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restart"/>
            <w:vAlign w:val="center"/>
          </w:tcPr>
          <w:p>
            <w:pPr>
              <w:pStyle w:val="42"/>
              <w:spacing w:line="300" w:lineRule="exact"/>
              <w:rPr>
                <w:sz w:val="18"/>
                <w:szCs w:val="18"/>
              </w:rPr>
            </w:pPr>
            <w:r>
              <w:rPr>
                <w:rFonts w:hint="eastAsia"/>
                <w:sz w:val="18"/>
                <w:szCs w:val="18"/>
              </w:rPr>
              <w:t>　四、推进“两高”行业减污降碳协同控制</w:t>
            </w:r>
          </w:p>
        </w:tc>
        <w:tc>
          <w:tcPr>
            <w:tcW w:w="2344" w:type="pct"/>
            <w:vAlign w:val="center"/>
          </w:tcPr>
          <w:p>
            <w:pPr>
              <w:pStyle w:val="42"/>
              <w:spacing w:line="300" w:lineRule="exact"/>
              <w:rPr>
                <w:sz w:val="18"/>
                <w:szCs w:val="18"/>
              </w:rPr>
            </w:pPr>
            <w:r>
              <w:rPr>
                <w:rFonts w:hint="eastAsia"/>
                <w:sz w:val="18"/>
                <w:szCs w:val="18"/>
              </w:rPr>
              <w:t>推进“两高”行业减污降碳协同控制，新建、扩建“两高”项目应达到清洁生产先进水平，鼓励实施先进的降碳技术。要依法制定并严格落实防治土壤与地下水污染的措施。鼓励使用清洁燃料，各类建设项目原则上不新建燃煤自备锅炉。大宗物料优先采用铁路、管道或水路运输，短途接驳优先使用新能源车辆运输。</w:t>
            </w:r>
          </w:p>
        </w:tc>
        <w:tc>
          <w:tcPr>
            <w:tcW w:w="1747" w:type="pct"/>
            <w:vAlign w:val="center"/>
          </w:tcPr>
          <w:p>
            <w:pPr>
              <w:pStyle w:val="42"/>
              <w:spacing w:line="300" w:lineRule="exact"/>
              <w:rPr>
                <w:rStyle w:val="63"/>
                <w:sz w:val="18"/>
                <w:szCs w:val="18"/>
              </w:rPr>
            </w:pPr>
            <w:r>
              <w:rPr>
                <w:rStyle w:val="63"/>
                <w:rFonts w:hint="eastAsia"/>
                <w:sz w:val="18"/>
                <w:szCs w:val="18"/>
              </w:rPr>
              <w:t>本项目工艺技术和装备符合</w:t>
            </w:r>
            <w:r>
              <w:rPr>
                <w:rFonts w:hint="eastAsia"/>
                <w:sz w:val="18"/>
                <w:szCs w:val="18"/>
              </w:rPr>
              <w:t>《清洁生产标准 氮肥制造业》（HJ/T188-2006）一级或二级指标要求；</w:t>
            </w:r>
            <w:r>
              <w:rPr>
                <w:rStyle w:val="63"/>
                <w:rFonts w:hint="eastAsia"/>
                <w:sz w:val="18"/>
                <w:szCs w:val="18"/>
              </w:rPr>
              <w:t>单位产品物耗、能耗、水耗等达到清洁生产先进水平；依法制定了防治土壤与地下水污染的措施。</w:t>
            </w:r>
          </w:p>
          <w:p>
            <w:pPr>
              <w:pStyle w:val="42"/>
              <w:spacing w:line="300" w:lineRule="exact"/>
              <w:rPr>
                <w:sz w:val="18"/>
                <w:szCs w:val="18"/>
              </w:rPr>
            </w:pPr>
            <w:r>
              <w:rPr>
                <w:rStyle w:val="63"/>
                <w:rFonts w:hint="eastAsia"/>
                <w:sz w:val="18"/>
                <w:szCs w:val="18"/>
              </w:rPr>
              <w:t>本项目使用电、天然气等清洁能源，设置余热回收系统，不新建锅炉；原辅料运输以管道运输为主，脱硫剂和催化剂等定期更换，采用车辆运输，条件允许情况下优先使用新能源车辆。</w:t>
            </w:r>
          </w:p>
        </w:tc>
        <w:tc>
          <w:tcPr>
            <w:tcW w:w="517" w:type="pct"/>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Merge w:val="continue"/>
            <w:vAlign w:val="center"/>
          </w:tcPr>
          <w:p>
            <w:pPr>
              <w:pStyle w:val="42"/>
              <w:spacing w:line="300" w:lineRule="exact"/>
              <w:rPr>
                <w:sz w:val="18"/>
                <w:szCs w:val="18"/>
              </w:rPr>
            </w:pPr>
          </w:p>
        </w:tc>
        <w:tc>
          <w:tcPr>
            <w:tcW w:w="2344" w:type="pct"/>
            <w:vAlign w:val="center"/>
          </w:tcPr>
          <w:p>
            <w:pPr>
              <w:pStyle w:val="42"/>
              <w:spacing w:line="300" w:lineRule="exact"/>
              <w:rPr>
                <w:sz w:val="18"/>
                <w:szCs w:val="18"/>
              </w:rPr>
            </w:pPr>
            <w:r>
              <w:rPr>
                <w:rFonts w:hint="eastAsia"/>
                <w:sz w:val="18"/>
                <w:szCs w:val="18"/>
              </w:rPr>
              <w:t>环评融合碳评，落实源头管控。落实国家及《重庆市生态环境局关于在环评中规范开展碳排放影响评价的通知》（渝环办〔2020〕281号）《重庆市规划环境影响评价技术指南—碳排放评价（试行）》《重庆市建设项目环境影响评价技术指南—碳排放评价（试行）》等要求，在“两高”行业建设项目、两高”行业规划以及全市所有产业园区规划环评中开展碳排放评价，衔接落实碳达峰行动“1+6”方案、清洁能源替代、煤炭消费总量控制等政策要求。在环评工作中，分析碳排放现状，从产业结构、行业布局、能源利用、碳捕集封存与利用、碳排放管理等方面提出碳减排建议并测算减碳效益，推动减污降碳协同共治落地落实。</w:t>
            </w:r>
          </w:p>
        </w:tc>
        <w:tc>
          <w:tcPr>
            <w:tcW w:w="1747" w:type="pct"/>
            <w:vAlign w:val="center"/>
          </w:tcPr>
          <w:p>
            <w:pPr>
              <w:pStyle w:val="42"/>
              <w:spacing w:line="300" w:lineRule="exact"/>
              <w:rPr>
                <w:sz w:val="18"/>
                <w:szCs w:val="18"/>
              </w:rPr>
            </w:pPr>
            <w:r>
              <w:rPr>
                <w:rStyle w:val="63"/>
                <w:sz w:val="18"/>
                <w:szCs w:val="18"/>
              </w:rPr>
              <w:t>本项目</w:t>
            </w:r>
            <w:r>
              <w:rPr>
                <w:rStyle w:val="63"/>
                <w:rFonts w:hint="eastAsia"/>
                <w:sz w:val="18"/>
                <w:szCs w:val="18"/>
              </w:rPr>
              <w:t>环境影响报告书设置了“碳排放影响评价”章节，详见第</w:t>
            </w:r>
            <w:r>
              <w:rPr>
                <w:rStyle w:val="63"/>
                <w:sz w:val="18"/>
                <w:szCs w:val="18"/>
              </w:rPr>
              <w:t>10</w:t>
            </w:r>
            <w:r>
              <w:rPr>
                <w:rStyle w:val="63"/>
                <w:rFonts w:hint="eastAsia"/>
                <w:sz w:val="18"/>
                <w:szCs w:val="18"/>
              </w:rPr>
              <w:t>章</w:t>
            </w:r>
          </w:p>
        </w:tc>
        <w:tc>
          <w:tcPr>
            <w:tcW w:w="517" w:type="pct"/>
            <w:vAlign w:val="center"/>
          </w:tcPr>
          <w:p>
            <w:pPr>
              <w:pStyle w:val="42"/>
            </w:pPr>
            <w:r>
              <w:t>符合</w:t>
            </w:r>
          </w:p>
        </w:tc>
      </w:tr>
    </w:tbl>
    <w:p>
      <w:pPr>
        <w:ind w:firstLine="480"/>
      </w:pPr>
      <w:r>
        <w:rPr>
          <w:rFonts w:hint="eastAsia"/>
        </w:rPr>
        <w:t>根据上表1</w:t>
      </w:r>
      <w:r>
        <w:t>.8.</w:t>
      </w:r>
      <w:r>
        <w:rPr>
          <w:rFonts w:hint="eastAsia"/>
        </w:rPr>
        <w:t>6-</w:t>
      </w:r>
      <w:r>
        <w:t>7</w:t>
      </w:r>
      <w:r>
        <w:rPr>
          <w:rFonts w:hint="eastAsia"/>
        </w:rPr>
        <w:t>分析可知，拟建项目符合《重庆市生态环境局办公室关于贯彻落实坚决遏制高能耗、高排放项目盲目发展相关要求的通知》（渝环办〔2021〕168号）中相关要求。</w:t>
      </w:r>
    </w:p>
    <w:p>
      <w:pPr>
        <w:pStyle w:val="4"/>
        <w:spacing w:before="156" w:after="156"/>
      </w:pPr>
      <w:bookmarkStart w:id="39" w:name="_Toc84844221"/>
      <w:r>
        <w:rPr>
          <w:rFonts w:hint="eastAsia"/>
        </w:rPr>
        <w:t>1.8.7选址合理性分析</w:t>
      </w:r>
      <w:bookmarkEnd w:id="39"/>
    </w:p>
    <w:p>
      <w:pPr>
        <w:ind w:firstLine="480"/>
      </w:pPr>
      <w:r>
        <w:rPr>
          <w:rFonts w:hint="eastAsia"/>
        </w:rPr>
        <w:t>拟建项目位于长寿经济技术开发区晏家组团G标准分区，项目符合相关环保政策和区域产业发展规划；同时拟建项目所在区域环境质量较好，有环境容量；项目所排污染物均实现达标排放；项目建成实施后，评价区域环境质量维持现状，仍能满足环境质量标准及功能区划要求。项目总平面布置合理，风险可控，从环境保护的角度考虑拟建项目选址合理。</w:t>
      </w:r>
    </w:p>
    <w:p>
      <w:pPr>
        <w:ind w:firstLine="480"/>
        <w:sectPr>
          <w:pgSz w:w="11906" w:h="16838"/>
          <w:pgMar w:top="1440" w:right="1800" w:bottom="1440" w:left="1800" w:header="851" w:footer="992" w:gutter="0"/>
          <w:pgNumType w:start="1"/>
          <w:cols w:space="425" w:num="1"/>
          <w:docGrid w:type="lines" w:linePitch="312" w:charSpace="0"/>
        </w:sectPr>
      </w:pPr>
    </w:p>
    <w:p>
      <w:pPr>
        <w:pStyle w:val="2"/>
        <w:spacing w:before="156" w:after="156"/>
      </w:pPr>
      <w:bookmarkStart w:id="40" w:name="_Toc84844222"/>
      <w:r>
        <w:rPr>
          <w:rFonts w:hint="eastAsia"/>
        </w:rPr>
        <w:t>2拟建项目概况</w:t>
      </w:r>
      <w:bookmarkEnd w:id="40"/>
    </w:p>
    <w:p>
      <w:pPr>
        <w:pStyle w:val="3"/>
        <w:spacing w:before="156" w:after="156"/>
      </w:pPr>
      <w:bookmarkStart w:id="41" w:name="_Toc84844223"/>
      <w:r>
        <w:rPr>
          <w:rFonts w:hint="eastAsia"/>
        </w:rPr>
        <w:t>2.1项目基本情况</w:t>
      </w:r>
      <w:bookmarkEnd w:id="41"/>
    </w:p>
    <w:p>
      <w:pPr>
        <w:ind w:firstLine="480"/>
      </w:pPr>
      <w:r>
        <w:rPr>
          <w:rFonts w:hint="eastAsia"/>
        </w:rPr>
        <w:t>（1）项目名称：利用化工尾气制20万吨/年合成氨循环经济项目</w:t>
      </w:r>
    </w:p>
    <w:p>
      <w:pPr>
        <w:ind w:firstLine="480"/>
      </w:pPr>
      <w:r>
        <w:rPr>
          <w:rFonts w:hint="eastAsia"/>
        </w:rPr>
        <w:t>（2）建设单位：重庆建峰化工股份有限公司</w:t>
      </w:r>
    </w:p>
    <w:p>
      <w:pPr>
        <w:ind w:firstLine="480"/>
      </w:pPr>
      <w:r>
        <w:rPr>
          <w:rFonts w:hint="eastAsia"/>
        </w:rPr>
        <w:t>（3）建设地点：重庆（长寿）经济技术开发区</w:t>
      </w:r>
    </w:p>
    <w:p>
      <w:pPr>
        <w:ind w:firstLine="480"/>
      </w:pPr>
      <w:r>
        <w:rPr>
          <w:rFonts w:hint="eastAsia"/>
        </w:rPr>
        <w:t>（4）建设性质：新建</w:t>
      </w:r>
    </w:p>
    <w:p>
      <w:pPr>
        <w:ind w:firstLine="480"/>
      </w:pPr>
      <w:r>
        <w:rPr>
          <w:rFonts w:hint="eastAsia"/>
        </w:rPr>
        <w:t>（5）工程投资：</w:t>
      </w:r>
      <w:bookmarkStart w:id="42" w:name="OLE_LINK8"/>
      <w:bookmarkStart w:id="43" w:name="OLE_LINK9"/>
      <w:r>
        <w:rPr>
          <w:rFonts w:hint="eastAsia"/>
        </w:rPr>
        <w:t>60986</w:t>
      </w:r>
      <w:bookmarkEnd w:id="42"/>
      <w:bookmarkEnd w:id="43"/>
      <w:r>
        <w:rPr>
          <w:rFonts w:hint="eastAsia"/>
        </w:rPr>
        <w:t>万元，其中包括环保投资218万元</w:t>
      </w:r>
    </w:p>
    <w:p>
      <w:pPr>
        <w:ind w:firstLine="480"/>
      </w:pPr>
      <w:r>
        <w:rPr>
          <w:rFonts w:hint="eastAsia"/>
        </w:rPr>
        <w:t>（6）用地面积：49725m</w:t>
      </w:r>
      <w:r>
        <w:rPr>
          <w:rFonts w:hint="eastAsia"/>
          <w:vertAlign w:val="superscript"/>
        </w:rPr>
        <w:t>2</w:t>
      </w:r>
      <w:r>
        <w:rPr>
          <w:rFonts w:hint="eastAsia"/>
        </w:rPr>
        <w:t>，建/构筑物占地面积23549m</w:t>
      </w:r>
      <w:r>
        <w:rPr>
          <w:rFonts w:hint="eastAsia"/>
          <w:vertAlign w:val="superscript"/>
        </w:rPr>
        <w:t>2</w:t>
      </w:r>
    </w:p>
    <w:p>
      <w:pPr>
        <w:ind w:firstLine="480"/>
      </w:pPr>
      <w:r>
        <w:rPr>
          <w:rFonts w:hint="eastAsia"/>
        </w:rPr>
        <w:t>（7）主要建设内容：新建20万t/a合成氨装置1套、配套设置CO</w:t>
      </w:r>
      <w:r>
        <w:rPr>
          <w:rFonts w:hint="eastAsia"/>
          <w:vertAlign w:val="subscript"/>
        </w:rPr>
        <w:t>2</w:t>
      </w:r>
      <w:r>
        <w:rPr>
          <w:rFonts w:hint="eastAsia"/>
        </w:rPr>
        <w:t>回收装置1套，以及公辅设施和环保设施</w:t>
      </w:r>
    </w:p>
    <w:p>
      <w:pPr>
        <w:ind w:firstLine="480"/>
      </w:pPr>
      <w:r>
        <w:rPr>
          <w:rFonts w:hint="eastAsia"/>
        </w:rPr>
        <w:t>（8）生产制度：生产车间实行四班三运转，每班8小时，年运行8000小时（约333天）；</w:t>
      </w:r>
    </w:p>
    <w:p>
      <w:pPr>
        <w:ind w:firstLine="480"/>
      </w:pPr>
      <w:r>
        <w:rPr>
          <w:rFonts w:hint="eastAsia"/>
        </w:rPr>
        <w:t>（9）劳动定员：80人</w:t>
      </w:r>
    </w:p>
    <w:p>
      <w:pPr>
        <w:ind w:firstLine="480"/>
      </w:pPr>
      <w:r>
        <w:rPr>
          <w:rFonts w:hint="eastAsia"/>
        </w:rPr>
        <w:t>（10）建设工期：12个月</w:t>
      </w:r>
    </w:p>
    <w:p>
      <w:pPr>
        <w:pStyle w:val="3"/>
        <w:spacing w:before="156" w:after="156"/>
      </w:pPr>
      <w:bookmarkStart w:id="44" w:name="_Toc84844224"/>
      <w:r>
        <w:rPr>
          <w:rFonts w:hint="eastAsia"/>
        </w:rPr>
        <w:t>2.2生产规模及产品方案</w:t>
      </w:r>
      <w:bookmarkEnd w:id="44"/>
    </w:p>
    <w:p>
      <w:pPr>
        <w:ind w:firstLine="480"/>
      </w:pPr>
      <w:r>
        <w:rPr>
          <w:rFonts w:hint="eastAsia"/>
        </w:rPr>
        <w:t>拟建项目利用重庆卡贝乐化工有限责任公司甲醇装置驰放气、天然气和氮气为原料合成氨，新建合成氨装置一套和CO</w:t>
      </w:r>
      <w:r>
        <w:rPr>
          <w:rFonts w:hint="eastAsia"/>
          <w:vertAlign w:val="subscript"/>
        </w:rPr>
        <w:t>2</w:t>
      </w:r>
      <w:r>
        <w:rPr>
          <w:rFonts w:hint="eastAsia"/>
        </w:rPr>
        <w:t>回收装置一套，具体生产规模和产品方案详见下表2.2-1。</w:t>
      </w:r>
    </w:p>
    <w:p>
      <w:pPr>
        <w:ind w:firstLine="480"/>
      </w:pPr>
      <w:r>
        <w:rPr>
          <w:rFonts w:hint="eastAsia"/>
        </w:rPr>
        <w:t>拟建项目建成后产品关系详见下图2.2-1。</w:t>
      </w:r>
    </w:p>
    <w:p>
      <w:pPr>
        <w:pStyle w:val="41"/>
      </w:pPr>
      <w:r>
        <w:rPr>
          <w:rFonts w:hint="eastAsia"/>
        </w:rPr>
        <w:t>表2.2-1 拟建项目生产规模及产品方案一览表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68"/>
        <w:gridCol w:w="1701"/>
        <w:gridCol w:w="1135"/>
        <w:gridCol w:w="1418"/>
        <w:gridCol w:w="992"/>
        <w:gridCol w:w="85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序号</w:t>
            </w:r>
          </w:p>
        </w:tc>
        <w:tc>
          <w:tcPr>
            <w:tcW w:w="1331" w:type="pct"/>
            <w:gridSpan w:val="2"/>
            <w:vAlign w:val="center"/>
          </w:tcPr>
          <w:p>
            <w:pPr>
              <w:pStyle w:val="42"/>
              <w:adjustRightInd w:val="0"/>
              <w:textAlignment w:val="baseline"/>
              <w:rPr>
                <w:sz w:val="18"/>
                <w:szCs w:val="18"/>
              </w:rPr>
            </w:pPr>
            <w:r>
              <w:rPr>
                <w:rFonts w:hint="eastAsia"/>
                <w:sz w:val="18"/>
                <w:szCs w:val="18"/>
              </w:rPr>
              <w:t>产品/副产品名称</w:t>
            </w:r>
          </w:p>
        </w:tc>
        <w:tc>
          <w:tcPr>
            <w:tcW w:w="666" w:type="pct"/>
            <w:vAlign w:val="center"/>
          </w:tcPr>
          <w:p>
            <w:pPr>
              <w:pStyle w:val="42"/>
              <w:adjustRightInd w:val="0"/>
              <w:textAlignment w:val="baseline"/>
              <w:rPr>
                <w:sz w:val="18"/>
                <w:szCs w:val="18"/>
              </w:rPr>
            </w:pPr>
            <w:r>
              <w:rPr>
                <w:rFonts w:hint="eastAsia"/>
                <w:sz w:val="18"/>
                <w:szCs w:val="18"/>
              </w:rPr>
              <w:t>生产线设置</w:t>
            </w:r>
          </w:p>
        </w:tc>
        <w:tc>
          <w:tcPr>
            <w:tcW w:w="832" w:type="pct"/>
            <w:vAlign w:val="center"/>
          </w:tcPr>
          <w:p>
            <w:pPr>
              <w:pStyle w:val="42"/>
              <w:adjustRightInd w:val="0"/>
              <w:textAlignment w:val="baseline"/>
              <w:rPr>
                <w:sz w:val="18"/>
                <w:szCs w:val="18"/>
              </w:rPr>
            </w:pPr>
            <w:r>
              <w:rPr>
                <w:rFonts w:hint="eastAsia"/>
                <w:sz w:val="18"/>
                <w:szCs w:val="18"/>
              </w:rPr>
              <w:t>生产规模</w:t>
            </w:r>
          </w:p>
        </w:tc>
        <w:tc>
          <w:tcPr>
            <w:tcW w:w="582" w:type="pct"/>
            <w:vAlign w:val="center"/>
          </w:tcPr>
          <w:p>
            <w:pPr>
              <w:pStyle w:val="42"/>
              <w:adjustRightInd w:val="0"/>
              <w:textAlignment w:val="baseline"/>
              <w:rPr>
                <w:sz w:val="18"/>
                <w:szCs w:val="18"/>
              </w:rPr>
            </w:pPr>
            <w:r>
              <w:rPr>
                <w:rFonts w:hint="eastAsia"/>
                <w:sz w:val="18"/>
                <w:szCs w:val="18"/>
              </w:rPr>
              <w:t>装置</w:t>
            </w:r>
          </w:p>
          <w:p>
            <w:pPr>
              <w:pStyle w:val="42"/>
              <w:adjustRightInd w:val="0"/>
              <w:textAlignment w:val="baseline"/>
              <w:rPr>
                <w:sz w:val="18"/>
                <w:szCs w:val="18"/>
              </w:rPr>
            </w:pPr>
            <w:r>
              <w:rPr>
                <w:rFonts w:hint="eastAsia"/>
                <w:sz w:val="18"/>
                <w:szCs w:val="18"/>
              </w:rPr>
              <w:t>生产规模</w:t>
            </w:r>
          </w:p>
        </w:tc>
        <w:tc>
          <w:tcPr>
            <w:tcW w:w="499" w:type="pct"/>
            <w:vAlign w:val="center"/>
          </w:tcPr>
          <w:p>
            <w:pPr>
              <w:pStyle w:val="42"/>
              <w:adjustRightInd w:val="0"/>
              <w:textAlignment w:val="baseline"/>
              <w:rPr>
                <w:sz w:val="18"/>
                <w:szCs w:val="18"/>
              </w:rPr>
            </w:pPr>
            <w:r>
              <w:rPr>
                <w:rFonts w:hint="eastAsia"/>
                <w:sz w:val="18"/>
                <w:szCs w:val="18"/>
              </w:rPr>
              <w:t>年生产时间</w:t>
            </w:r>
          </w:p>
        </w:tc>
        <w:tc>
          <w:tcPr>
            <w:tcW w:w="695" w:type="pct"/>
            <w:vAlign w:val="center"/>
          </w:tcPr>
          <w:p>
            <w:pPr>
              <w:pStyle w:val="42"/>
              <w:adjustRightInd w:val="0"/>
              <w:textAlignment w:val="baseline"/>
              <w:rPr>
                <w:sz w:val="18"/>
                <w:szCs w:val="18"/>
              </w:rPr>
            </w:pPr>
            <w:r>
              <w:rPr>
                <w:rFonts w:hint="eastAsia"/>
                <w:sz w:val="18"/>
                <w:szCs w:val="18"/>
              </w:rPr>
              <w:t>产品方案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1</w:t>
            </w:r>
          </w:p>
        </w:tc>
        <w:tc>
          <w:tcPr>
            <w:tcW w:w="1331" w:type="pct"/>
            <w:gridSpan w:val="2"/>
            <w:vAlign w:val="center"/>
          </w:tcPr>
          <w:p>
            <w:pPr>
              <w:pStyle w:val="42"/>
              <w:adjustRightInd w:val="0"/>
              <w:textAlignment w:val="baseline"/>
              <w:rPr>
                <w:sz w:val="18"/>
                <w:szCs w:val="18"/>
              </w:rPr>
            </w:pPr>
            <w:r>
              <w:rPr>
                <w:rFonts w:hint="eastAsia"/>
                <w:sz w:val="18"/>
                <w:szCs w:val="18"/>
              </w:rPr>
              <w:t>液氨</w:t>
            </w:r>
          </w:p>
        </w:tc>
        <w:tc>
          <w:tcPr>
            <w:tcW w:w="666" w:type="pct"/>
            <w:vAlign w:val="center"/>
          </w:tcPr>
          <w:p>
            <w:pPr>
              <w:pStyle w:val="42"/>
              <w:adjustRightInd w:val="0"/>
              <w:textAlignment w:val="baseline"/>
              <w:rPr>
                <w:sz w:val="18"/>
                <w:szCs w:val="18"/>
              </w:rPr>
            </w:pPr>
            <w:r>
              <w:rPr>
                <w:rFonts w:hint="eastAsia"/>
                <w:sz w:val="18"/>
                <w:szCs w:val="18"/>
              </w:rPr>
              <w:t>合成氨生产装置1套</w:t>
            </w:r>
          </w:p>
        </w:tc>
        <w:tc>
          <w:tcPr>
            <w:tcW w:w="832" w:type="pct"/>
            <w:vAlign w:val="center"/>
          </w:tcPr>
          <w:p>
            <w:pPr>
              <w:pStyle w:val="42"/>
              <w:adjustRightInd w:val="0"/>
              <w:textAlignment w:val="baseline"/>
              <w:rPr>
                <w:sz w:val="18"/>
                <w:szCs w:val="18"/>
              </w:rPr>
            </w:pPr>
            <w:r>
              <w:rPr>
                <w:rFonts w:hint="eastAsia"/>
                <w:sz w:val="18"/>
                <w:szCs w:val="18"/>
              </w:rPr>
              <w:t>20万t/a</w:t>
            </w:r>
          </w:p>
        </w:tc>
        <w:tc>
          <w:tcPr>
            <w:tcW w:w="582" w:type="pct"/>
            <w:vAlign w:val="center"/>
          </w:tcPr>
          <w:p>
            <w:pPr>
              <w:pStyle w:val="42"/>
              <w:adjustRightInd w:val="0"/>
              <w:textAlignment w:val="baseline"/>
              <w:rPr>
                <w:sz w:val="18"/>
                <w:szCs w:val="18"/>
              </w:rPr>
            </w:pPr>
            <w:r>
              <w:rPr>
                <w:rFonts w:hint="eastAsia"/>
                <w:sz w:val="18"/>
                <w:szCs w:val="18"/>
              </w:rPr>
              <w:t>25t/h</w:t>
            </w:r>
          </w:p>
        </w:tc>
        <w:tc>
          <w:tcPr>
            <w:tcW w:w="499" w:type="pct"/>
            <w:vAlign w:val="center"/>
          </w:tcPr>
          <w:p>
            <w:pPr>
              <w:pStyle w:val="42"/>
              <w:adjustRightInd w:val="0"/>
              <w:textAlignment w:val="baseline"/>
              <w:rPr>
                <w:sz w:val="18"/>
                <w:szCs w:val="18"/>
              </w:rPr>
            </w:pPr>
            <w:r>
              <w:rPr>
                <w:rFonts w:hint="eastAsia"/>
                <w:sz w:val="18"/>
                <w:szCs w:val="18"/>
              </w:rPr>
              <w:t>8000h</w:t>
            </w:r>
          </w:p>
        </w:tc>
        <w:tc>
          <w:tcPr>
            <w:tcW w:w="695" w:type="pct"/>
            <w:vAlign w:val="center"/>
          </w:tcPr>
          <w:p>
            <w:pPr>
              <w:pStyle w:val="42"/>
              <w:adjustRightInd w:val="0"/>
              <w:textAlignment w:val="baseline"/>
              <w:rPr>
                <w:sz w:val="18"/>
                <w:szCs w:val="18"/>
              </w:rPr>
            </w:pPr>
            <w:r>
              <w:rPr>
                <w:rFonts w:hint="eastAsia"/>
                <w:sz w:val="18"/>
                <w:szCs w:val="18"/>
              </w:rPr>
              <w:t>25t/h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2</w:t>
            </w:r>
          </w:p>
        </w:tc>
        <w:tc>
          <w:tcPr>
            <w:tcW w:w="333" w:type="pct"/>
            <w:vMerge w:val="restart"/>
            <w:vAlign w:val="center"/>
          </w:tcPr>
          <w:p>
            <w:pPr>
              <w:pStyle w:val="42"/>
              <w:adjustRightInd w:val="0"/>
              <w:textAlignment w:val="baseline"/>
              <w:rPr>
                <w:sz w:val="18"/>
                <w:szCs w:val="18"/>
              </w:rPr>
            </w:pPr>
            <w:r>
              <w:rPr>
                <w:rFonts w:hint="eastAsia"/>
                <w:sz w:val="18"/>
                <w:szCs w:val="18"/>
              </w:rPr>
              <w:t>副产品</w:t>
            </w:r>
          </w:p>
        </w:tc>
        <w:tc>
          <w:tcPr>
            <w:tcW w:w="998" w:type="pct"/>
            <w:vAlign w:val="center"/>
          </w:tcPr>
          <w:p>
            <w:pPr>
              <w:pStyle w:val="42"/>
              <w:adjustRightInd w:val="0"/>
              <w:textAlignment w:val="baseline"/>
              <w:rPr>
                <w:sz w:val="18"/>
                <w:szCs w:val="18"/>
              </w:rPr>
            </w:pPr>
            <w:r>
              <w:rPr>
                <w:sz w:val="18"/>
                <w:szCs w:val="18"/>
              </w:rPr>
              <w:t>CO</w:t>
            </w:r>
            <w:r>
              <w:rPr>
                <w:sz w:val="18"/>
                <w:szCs w:val="18"/>
                <w:vertAlign w:val="subscript"/>
              </w:rPr>
              <w:t>2</w:t>
            </w:r>
            <w:r>
              <w:rPr>
                <w:rFonts w:hAnsi="华文中宋"/>
                <w:sz w:val="18"/>
                <w:szCs w:val="18"/>
              </w:rPr>
              <w:t>气体</w:t>
            </w:r>
          </w:p>
        </w:tc>
        <w:tc>
          <w:tcPr>
            <w:tcW w:w="666" w:type="pct"/>
            <w:vAlign w:val="center"/>
          </w:tcPr>
          <w:p>
            <w:pPr>
              <w:pStyle w:val="42"/>
              <w:adjustRightInd w:val="0"/>
              <w:textAlignment w:val="baseline"/>
              <w:rPr>
                <w:sz w:val="18"/>
                <w:szCs w:val="18"/>
              </w:rPr>
            </w:pPr>
            <w:r>
              <w:rPr>
                <w:rFonts w:hint="eastAsia"/>
                <w:sz w:val="18"/>
                <w:szCs w:val="18"/>
              </w:rPr>
              <w:t>/</w:t>
            </w:r>
          </w:p>
        </w:tc>
        <w:tc>
          <w:tcPr>
            <w:tcW w:w="832" w:type="pct"/>
            <w:vAlign w:val="center"/>
          </w:tcPr>
          <w:p>
            <w:pPr>
              <w:pStyle w:val="42"/>
              <w:adjustRightInd w:val="0"/>
              <w:textAlignment w:val="baseline"/>
              <w:rPr>
                <w:sz w:val="18"/>
                <w:szCs w:val="18"/>
                <w:vertAlign w:val="superscript"/>
              </w:rPr>
            </w:pPr>
            <w:r>
              <w:rPr>
                <w:rFonts w:hint="eastAsia"/>
                <w:sz w:val="18"/>
                <w:szCs w:val="18"/>
              </w:rPr>
              <w:t>7.89万t/a</w:t>
            </w:r>
          </w:p>
        </w:tc>
        <w:tc>
          <w:tcPr>
            <w:tcW w:w="582" w:type="pct"/>
            <w:vAlign w:val="center"/>
          </w:tcPr>
          <w:p>
            <w:pPr>
              <w:pStyle w:val="42"/>
              <w:adjustRightInd w:val="0"/>
              <w:textAlignment w:val="baseline"/>
              <w:rPr>
                <w:sz w:val="18"/>
                <w:szCs w:val="18"/>
              </w:rPr>
            </w:pPr>
            <w:r>
              <w:rPr>
                <w:rFonts w:hint="eastAsia"/>
                <w:sz w:val="18"/>
                <w:szCs w:val="18"/>
              </w:rPr>
              <w:t>/</w:t>
            </w:r>
          </w:p>
        </w:tc>
        <w:tc>
          <w:tcPr>
            <w:tcW w:w="499" w:type="pct"/>
            <w:vAlign w:val="center"/>
          </w:tcPr>
          <w:p>
            <w:pPr>
              <w:pStyle w:val="42"/>
              <w:adjustRightInd w:val="0"/>
              <w:textAlignment w:val="baseline"/>
              <w:rPr>
                <w:sz w:val="18"/>
                <w:szCs w:val="18"/>
              </w:rPr>
            </w:pPr>
            <w:r>
              <w:rPr>
                <w:rFonts w:hint="eastAsia"/>
                <w:sz w:val="18"/>
                <w:szCs w:val="18"/>
              </w:rPr>
              <w:t>8000h</w:t>
            </w:r>
          </w:p>
        </w:tc>
        <w:tc>
          <w:tcPr>
            <w:tcW w:w="695" w:type="pct"/>
            <w:vAlign w:val="center"/>
          </w:tcPr>
          <w:p>
            <w:pPr>
              <w:pStyle w:val="42"/>
              <w:adjustRightInd w:val="0"/>
              <w:textAlignment w:val="baseline"/>
              <w:rPr>
                <w:sz w:val="18"/>
                <w:szCs w:val="18"/>
              </w:rPr>
            </w:pPr>
            <w:r>
              <w:rPr>
                <w:rFonts w:hint="eastAsia"/>
                <w:sz w:val="18"/>
                <w:szCs w:val="18"/>
              </w:rPr>
              <w:t>5000m</w:t>
            </w:r>
            <w:r>
              <w:rPr>
                <w:rFonts w:hint="eastAsia"/>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3</w:t>
            </w:r>
          </w:p>
        </w:tc>
        <w:tc>
          <w:tcPr>
            <w:tcW w:w="333" w:type="pct"/>
            <w:vMerge w:val="continue"/>
            <w:vAlign w:val="center"/>
          </w:tcPr>
          <w:p>
            <w:pPr>
              <w:pStyle w:val="42"/>
              <w:adjustRightInd w:val="0"/>
              <w:textAlignment w:val="baseline"/>
              <w:rPr>
                <w:sz w:val="18"/>
                <w:szCs w:val="18"/>
              </w:rPr>
            </w:pPr>
          </w:p>
        </w:tc>
        <w:tc>
          <w:tcPr>
            <w:tcW w:w="998" w:type="pct"/>
            <w:vAlign w:val="center"/>
          </w:tcPr>
          <w:p>
            <w:pPr>
              <w:pStyle w:val="42"/>
              <w:adjustRightInd w:val="0"/>
              <w:textAlignment w:val="baseline"/>
              <w:rPr>
                <w:sz w:val="18"/>
                <w:szCs w:val="18"/>
                <w:lang w:bidi="he-IL"/>
              </w:rPr>
            </w:pPr>
            <w:r>
              <w:rPr>
                <w:rFonts w:hint="eastAsia"/>
                <w:sz w:val="18"/>
                <w:szCs w:val="18"/>
              </w:rPr>
              <w:t>食品级</w:t>
            </w:r>
            <w:r>
              <w:rPr>
                <w:sz w:val="18"/>
                <w:szCs w:val="18"/>
              </w:rPr>
              <w:t>干冰</w:t>
            </w:r>
          </w:p>
        </w:tc>
        <w:tc>
          <w:tcPr>
            <w:tcW w:w="666" w:type="pct"/>
            <w:vMerge w:val="restart"/>
            <w:vAlign w:val="center"/>
          </w:tcPr>
          <w:p>
            <w:pPr>
              <w:pStyle w:val="42"/>
              <w:adjustRightInd w:val="0"/>
              <w:textAlignment w:val="baseline"/>
              <w:rPr>
                <w:sz w:val="18"/>
                <w:szCs w:val="18"/>
              </w:rPr>
            </w:pPr>
            <w:r>
              <w:rPr>
                <w:rFonts w:hint="eastAsia"/>
                <w:sz w:val="18"/>
                <w:szCs w:val="18"/>
              </w:rPr>
              <w:t>CO</w:t>
            </w:r>
            <w:r>
              <w:rPr>
                <w:rFonts w:hint="eastAsia"/>
                <w:sz w:val="18"/>
                <w:szCs w:val="18"/>
                <w:vertAlign w:val="subscript"/>
              </w:rPr>
              <w:t>2</w:t>
            </w:r>
            <w:r>
              <w:rPr>
                <w:rFonts w:hint="eastAsia"/>
                <w:sz w:val="18"/>
                <w:szCs w:val="18"/>
              </w:rPr>
              <w:t>回收装置1套</w:t>
            </w:r>
          </w:p>
        </w:tc>
        <w:tc>
          <w:tcPr>
            <w:tcW w:w="832" w:type="pct"/>
            <w:vAlign w:val="center"/>
          </w:tcPr>
          <w:p>
            <w:pPr>
              <w:pStyle w:val="42"/>
              <w:adjustRightInd w:val="0"/>
              <w:textAlignment w:val="baseline"/>
              <w:rPr>
                <w:sz w:val="18"/>
                <w:szCs w:val="18"/>
              </w:rPr>
            </w:pPr>
            <w:r>
              <w:rPr>
                <w:rFonts w:hint="eastAsia"/>
                <w:sz w:val="18"/>
                <w:szCs w:val="18"/>
              </w:rPr>
              <w:t>17769.4t/a</w:t>
            </w:r>
          </w:p>
        </w:tc>
        <w:tc>
          <w:tcPr>
            <w:tcW w:w="582" w:type="pct"/>
            <w:vMerge w:val="restart"/>
            <w:vAlign w:val="center"/>
          </w:tcPr>
          <w:p>
            <w:pPr>
              <w:pStyle w:val="42"/>
              <w:adjustRightInd w:val="0"/>
              <w:textAlignment w:val="baseline"/>
              <w:rPr>
                <w:sz w:val="18"/>
                <w:szCs w:val="18"/>
              </w:rPr>
            </w:pPr>
            <w:r>
              <w:rPr>
                <w:rFonts w:hint="eastAsia"/>
                <w:sz w:val="18"/>
                <w:szCs w:val="18"/>
              </w:rPr>
              <w:t>14万t/a</w:t>
            </w:r>
          </w:p>
        </w:tc>
        <w:tc>
          <w:tcPr>
            <w:tcW w:w="499" w:type="pct"/>
            <w:vAlign w:val="center"/>
          </w:tcPr>
          <w:p>
            <w:pPr>
              <w:pStyle w:val="42"/>
              <w:adjustRightInd w:val="0"/>
              <w:textAlignment w:val="baseline"/>
              <w:rPr>
                <w:sz w:val="18"/>
                <w:szCs w:val="18"/>
              </w:rPr>
            </w:pPr>
            <w:r>
              <w:rPr>
                <w:rFonts w:hint="eastAsia"/>
                <w:sz w:val="18"/>
                <w:szCs w:val="18"/>
              </w:rPr>
              <w:t>1827h</w:t>
            </w:r>
          </w:p>
        </w:tc>
        <w:tc>
          <w:tcPr>
            <w:tcW w:w="695" w:type="pct"/>
            <w:vAlign w:val="center"/>
          </w:tcPr>
          <w:p>
            <w:pPr>
              <w:pStyle w:val="42"/>
              <w:adjustRightInd w:val="0"/>
              <w:textAlignment w:val="baseline"/>
              <w:rPr>
                <w:sz w:val="18"/>
                <w:szCs w:val="18"/>
              </w:rPr>
            </w:pPr>
            <w:r>
              <w:rPr>
                <w:rFonts w:hint="eastAsia"/>
                <w:sz w:val="18"/>
                <w:szCs w:val="18"/>
              </w:rPr>
              <w:t>9726kg/h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4</w:t>
            </w:r>
          </w:p>
        </w:tc>
        <w:tc>
          <w:tcPr>
            <w:tcW w:w="333" w:type="pct"/>
            <w:vMerge w:val="continue"/>
            <w:vAlign w:val="center"/>
          </w:tcPr>
          <w:p>
            <w:pPr>
              <w:pStyle w:val="42"/>
              <w:adjustRightInd w:val="0"/>
              <w:textAlignment w:val="baseline"/>
              <w:rPr>
                <w:sz w:val="18"/>
                <w:szCs w:val="18"/>
              </w:rPr>
            </w:pPr>
          </w:p>
        </w:tc>
        <w:tc>
          <w:tcPr>
            <w:tcW w:w="998" w:type="pct"/>
            <w:vAlign w:val="center"/>
          </w:tcPr>
          <w:p>
            <w:pPr>
              <w:pStyle w:val="42"/>
              <w:adjustRightInd w:val="0"/>
              <w:textAlignment w:val="baseline"/>
              <w:rPr>
                <w:sz w:val="18"/>
                <w:szCs w:val="18"/>
                <w:lang w:bidi="he-IL"/>
              </w:rPr>
            </w:pPr>
            <w:r>
              <w:rPr>
                <w:rFonts w:hint="eastAsia"/>
                <w:sz w:val="18"/>
                <w:szCs w:val="18"/>
              </w:rPr>
              <w:t>食品级</w:t>
            </w:r>
            <w:r>
              <w:rPr>
                <w:sz w:val="18"/>
                <w:szCs w:val="18"/>
              </w:rPr>
              <w:t>CO</w:t>
            </w:r>
            <w:r>
              <w:rPr>
                <w:sz w:val="18"/>
                <w:szCs w:val="18"/>
                <w:vertAlign w:val="subscript"/>
              </w:rPr>
              <w:t>2</w:t>
            </w:r>
            <w:r>
              <w:rPr>
                <w:sz w:val="18"/>
                <w:szCs w:val="18"/>
              </w:rPr>
              <w:t>液态</w:t>
            </w:r>
          </w:p>
        </w:tc>
        <w:tc>
          <w:tcPr>
            <w:tcW w:w="666" w:type="pct"/>
            <w:vMerge w:val="continue"/>
            <w:vAlign w:val="center"/>
          </w:tcPr>
          <w:p>
            <w:pPr>
              <w:pStyle w:val="42"/>
              <w:adjustRightInd w:val="0"/>
              <w:textAlignment w:val="baseline"/>
              <w:rPr>
                <w:sz w:val="18"/>
                <w:szCs w:val="18"/>
              </w:rPr>
            </w:pPr>
          </w:p>
        </w:tc>
        <w:tc>
          <w:tcPr>
            <w:tcW w:w="832" w:type="pct"/>
            <w:vAlign w:val="center"/>
          </w:tcPr>
          <w:p>
            <w:pPr>
              <w:pStyle w:val="42"/>
              <w:adjustRightInd w:val="0"/>
              <w:textAlignment w:val="baseline"/>
              <w:rPr>
                <w:sz w:val="18"/>
                <w:szCs w:val="18"/>
              </w:rPr>
            </w:pPr>
            <w:r>
              <w:rPr>
                <w:rFonts w:hint="eastAsia"/>
                <w:sz w:val="18"/>
                <w:szCs w:val="18"/>
              </w:rPr>
              <w:t>11992t/a</w:t>
            </w:r>
          </w:p>
        </w:tc>
        <w:tc>
          <w:tcPr>
            <w:tcW w:w="582" w:type="pct"/>
            <w:vMerge w:val="continue"/>
            <w:vAlign w:val="center"/>
          </w:tcPr>
          <w:p>
            <w:pPr>
              <w:pStyle w:val="42"/>
              <w:adjustRightInd w:val="0"/>
              <w:textAlignment w:val="baseline"/>
              <w:rPr>
                <w:sz w:val="18"/>
                <w:szCs w:val="18"/>
              </w:rPr>
            </w:pPr>
          </w:p>
        </w:tc>
        <w:tc>
          <w:tcPr>
            <w:tcW w:w="499" w:type="pct"/>
            <w:vAlign w:val="center"/>
          </w:tcPr>
          <w:p>
            <w:pPr>
              <w:pStyle w:val="42"/>
              <w:adjustRightInd w:val="0"/>
              <w:textAlignment w:val="baseline"/>
              <w:rPr>
                <w:sz w:val="18"/>
                <w:szCs w:val="18"/>
              </w:rPr>
            </w:pPr>
            <w:r>
              <w:rPr>
                <w:rFonts w:hint="eastAsia"/>
                <w:sz w:val="18"/>
                <w:szCs w:val="18"/>
              </w:rPr>
              <w:t>1233h</w:t>
            </w:r>
          </w:p>
        </w:tc>
        <w:tc>
          <w:tcPr>
            <w:tcW w:w="695" w:type="pct"/>
            <w:vAlign w:val="center"/>
          </w:tcPr>
          <w:p>
            <w:pPr>
              <w:pStyle w:val="42"/>
              <w:adjustRightInd w:val="0"/>
              <w:textAlignment w:val="baseline"/>
              <w:rPr>
                <w:sz w:val="18"/>
                <w:szCs w:val="18"/>
              </w:rPr>
            </w:pPr>
            <w:r>
              <w:rPr>
                <w:rFonts w:hint="eastAsia"/>
                <w:sz w:val="18"/>
                <w:szCs w:val="18"/>
              </w:rPr>
              <w:t>9726kg/h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vAlign w:val="center"/>
          </w:tcPr>
          <w:p>
            <w:pPr>
              <w:pStyle w:val="42"/>
              <w:adjustRightInd w:val="0"/>
              <w:textAlignment w:val="baseline"/>
              <w:rPr>
                <w:sz w:val="18"/>
                <w:szCs w:val="18"/>
              </w:rPr>
            </w:pPr>
            <w:r>
              <w:rPr>
                <w:rFonts w:hint="eastAsia"/>
                <w:sz w:val="18"/>
                <w:szCs w:val="18"/>
              </w:rPr>
              <w:t>5</w:t>
            </w:r>
          </w:p>
        </w:tc>
        <w:tc>
          <w:tcPr>
            <w:tcW w:w="333" w:type="pct"/>
            <w:vMerge w:val="continue"/>
            <w:vAlign w:val="center"/>
          </w:tcPr>
          <w:p>
            <w:pPr>
              <w:pStyle w:val="42"/>
              <w:adjustRightInd w:val="0"/>
              <w:textAlignment w:val="baseline"/>
              <w:rPr>
                <w:sz w:val="18"/>
                <w:szCs w:val="18"/>
              </w:rPr>
            </w:pPr>
          </w:p>
        </w:tc>
        <w:tc>
          <w:tcPr>
            <w:tcW w:w="998" w:type="pct"/>
            <w:vAlign w:val="center"/>
          </w:tcPr>
          <w:p>
            <w:pPr>
              <w:pStyle w:val="42"/>
              <w:adjustRightInd w:val="0"/>
              <w:textAlignment w:val="baseline"/>
              <w:rPr>
                <w:sz w:val="18"/>
                <w:szCs w:val="18"/>
                <w:lang w:bidi="he-IL"/>
              </w:rPr>
            </w:pPr>
            <w:r>
              <w:rPr>
                <w:rFonts w:hint="eastAsia"/>
                <w:sz w:val="18"/>
                <w:szCs w:val="18"/>
              </w:rPr>
              <w:t>工业级</w:t>
            </w:r>
            <w:r>
              <w:rPr>
                <w:sz w:val="18"/>
                <w:szCs w:val="18"/>
              </w:rPr>
              <w:t>CO</w:t>
            </w:r>
            <w:r>
              <w:rPr>
                <w:sz w:val="18"/>
                <w:szCs w:val="18"/>
                <w:vertAlign w:val="subscript"/>
              </w:rPr>
              <w:t>2</w:t>
            </w:r>
            <w:r>
              <w:rPr>
                <w:sz w:val="18"/>
                <w:szCs w:val="18"/>
              </w:rPr>
              <w:t>液态</w:t>
            </w:r>
          </w:p>
        </w:tc>
        <w:tc>
          <w:tcPr>
            <w:tcW w:w="666" w:type="pct"/>
            <w:vMerge w:val="continue"/>
            <w:vAlign w:val="center"/>
          </w:tcPr>
          <w:p>
            <w:pPr>
              <w:pStyle w:val="42"/>
              <w:adjustRightInd w:val="0"/>
              <w:textAlignment w:val="baseline"/>
              <w:rPr>
                <w:sz w:val="18"/>
                <w:szCs w:val="18"/>
              </w:rPr>
            </w:pPr>
          </w:p>
        </w:tc>
        <w:tc>
          <w:tcPr>
            <w:tcW w:w="832" w:type="pct"/>
            <w:vAlign w:val="center"/>
          </w:tcPr>
          <w:p>
            <w:pPr>
              <w:pStyle w:val="42"/>
              <w:adjustRightInd w:val="0"/>
              <w:textAlignment w:val="baseline"/>
              <w:rPr>
                <w:sz w:val="18"/>
                <w:szCs w:val="18"/>
              </w:rPr>
            </w:pPr>
            <w:r>
              <w:rPr>
                <w:rFonts w:hint="eastAsia"/>
                <w:sz w:val="18"/>
                <w:szCs w:val="18"/>
              </w:rPr>
              <w:t>48678.8t/a</w:t>
            </w:r>
          </w:p>
        </w:tc>
        <w:tc>
          <w:tcPr>
            <w:tcW w:w="582" w:type="pct"/>
            <w:vMerge w:val="continue"/>
            <w:vAlign w:val="center"/>
          </w:tcPr>
          <w:p>
            <w:pPr>
              <w:pStyle w:val="42"/>
              <w:adjustRightInd w:val="0"/>
              <w:textAlignment w:val="baseline"/>
              <w:rPr>
                <w:sz w:val="18"/>
                <w:szCs w:val="18"/>
              </w:rPr>
            </w:pPr>
          </w:p>
        </w:tc>
        <w:tc>
          <w:tcPr>
            <w:tcW w:w="499" w:type="pct"/>
            <w:vAlign w:val="center"/>
          </w:tcPr>
          <w:p>
            <w:pPr>
              <w:pStyle w:val="42"/>
              <w:adjustRightInd w:val="0"/>
              <w:textAlignment w:val="baseline"/>
              <w:rPr>
                <w:sz w:val="18"/>
                <w:szCs w:val="18"/>
              </w:rPr>
            </w:pPr>
            <w:r>
              <w:rPr>
                <w:rFonts w:hint="eastAsia"/>
                <w:sz w:val="18"/>
                <w:szCs w:val="18"/>
              </w:rPr>
              <w:t>4940h</w:t>
            </w:r>
          </w:p>
        </w:tc>
        <w:tc>
          <w:tcPr>
            <w:tcW w:w="695" w:type="pct"/>
            <w:vAlign w:val="center"/>
          </w:tcPr>
          <w:p>
            <w:pPr>
              <w:pStyle w:val="42"/>
              <w:adjustRightInd w:val="0"/>
              <w:textAlignment w:val="baseline"/>
              <w:rPr>
                <w:sz w:val="18"/>
                <w:szCs w:val="18"/>
              </w:rPr>
            </w:pPr>
            <w:r>
              <w:rPr>
                <w:rFonts w:hint="eastAsia"/>
                <w:sz w:val="18"/>
                <w:szCs w:val="18"/>
              </w:rPr>
              <w:t>9854kg/h</w:t>
            </w:r>
          </w:p>
        </w:tc>
      </w:tr>
    </w:tbl>
    <w:p>
      <w:pPr>
        <w:pStyle w:val="41"/>
      </w:pPr>
      <w:r>
        <w:object>
          <v:shape id="_x0000_i1025" o:spt="75" type="#_x0000_t75" style="height:189.5pt;width:401.45pt;" o:ole="t" filled="f" coordsize="21600,21600">
            <v:path/>
            <v:fill on="f" focussize="0,0"/>
            <v:stroke/>
            <v:imagedata r:id="rId53" o:title=""/>
            <o:lock v:ext="edit" aspectratio="t"/>
            <w10:wrap type="none"/>
            <w10:anchorlock/>
          </v:shape>
          <o:OLEObject Type="Embed" ProgID="Visio.Drawing.11" ShapeID="_x0000_i1025" DrawAspect="Content" ObjectID="_1468075725" r:id="rId52">
            <o:LockedField>false</o:LockedField>
          </o:OLEObject>
        </w:object>
      </w:r>
    </w:p>
    <w:p>
      <w:pPr>
        <w:pStyle w:val="3"/>
        <w:spacing w:before="156" w:after="156"/>
      </w:pPr>
      <w:bookmarkStart w:id="45" w:name="_Toc84844225"/>
      <w:r>
        <w:rPr>
          <w:rFonts w:hint="eastAsia"/>
        </w:rPr>
        <w:t>2.3产品质量标准</w:t>
      </w:r>
      <w:bookmarkEnd w:id="45"/>
    </w:p>
    <w:p>
      <w:pPr>
        <w:ind w:firstLine="480"/>
      </w:pPr>
      <w:r>
        <w:rPr>
          <w:rFonts w:hint="eastAsia"/>
        </w:rPr>
        <w:t>拟建项目液氨满足《液体无水氨》（GB/T536-2017）优等品要求；回收食品级CO</w:t>
      </w:r>
      <w:r>
        <w:rPr>
          <w:rFonts w:hint="eastAsia"/>
          <w:vertAlign w:val="subscript"/>
        </w:rPr>
        <w:t>2</w:t>
      </w:r>
      <w:r>
        <w:rPr>
          <w:rFonts w:hint="eastAsia"/>
        </w:rPr>
        <w:t>和工业级CO</w:t>
      </w:r>
      <w:r>
        <w:rPr>
          <w:rFonts w:hint="eastAsia"/>
          <w:vertAlign w:val="subscript"/>
        </w:rPr>
        <w:t>2</w:t>
      </w:r>
      <w:r>
        <w:rPr>
          <w:rFonts w:hint="eastAsia"/>
        </w:rPr>
        <w:t>分别执行《食品级液体二氧化碳标准》（GB1886.228-2016）</w:t>
      </w:r>
      <w:r>
        <w:t>液</w:t>
      </w:r>
      <w:r>
        <w:rPr>
          <w:rFonts w:hint="eastAsia"/>
        </w:rPr>
        <w:t>态</w:t>
      </w:r>
      <w:r>
        <w:t>CO</w:t>
      </w:r>
      <w:r>
        <w:rPr>
          <w:vertAlign w:val="subscript"/>
        </w:rPr>
        <w:t>2</w:t>
      </w:r>
      <w:r>
        <w:rPr>
          <w:rFonts w:hint="eastAsia"/>
        </w:rPr>
        <w:t>和《工业级液体二氧化碳》（GB/T6052-2011）</w:t>
      </w:r>
      <w:r>
        <w:t>液</w:t>
      </w:r>
      <w:r>
        <w:rPr>
          <w:rFonts w:hint="eastAsia"/>
        </w:rPr>
        <w:t>态</w:t>
      </w:r>
      <w:r>
        <w:t>CO</w:t>
      </w:r>
      <w:r>
        <w:rPr>
          <w:vertAlign w:val="subscript"/>
        </w:rPr>
        <w:t>2</w:t>
      </w:r>
      <w:r>
        <w:rPr>
          <w:rFonts w:hint="eastAsia"/>
        </w:rPr>
        <w:t>，详见下表2.3-1~表2.3-3。</w:t>
      </w:r>
    </w:p>
    <w:p>
      <w:pPr>
        <w:pStyle w:val="41"/>
      </w:pPr>
      <w:r>
        <w:rPr>
          <w:rFonts w:hint="eastAsia"/>
        </w:rPr>
        <w:t>表2.3-1液体无水氨标准要求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701"/>
        <w:gridCol w:w="1134"/>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pStyle w:val="42"/>
              <w:adjustRightInd w:val="0"/>
              <w:textAlignment w:val="baseline"/>
            </w:pPr>
            <w:r>
              <w:rPr>
                <w:rFonts w:hint="eastAsia"/>
              </w:rPr>
              <w:t>项目</w:t>
            </w:r>
          </w:p>
        </w:tc>
        <w:tc>
          <w:tcPr>
            <w:tcW w:w="4394" w:type="dxa"/>
            <w:gridSpan w:val="3"/>
            <w:vAlign w:val="center"/>
          </w:tcPr>
          <w:p>
            <w:pPr>
              <w:pStyle w:val="42"/>
              <w:adjustRightInd w:val="0"/>
              <w:textAlignment w:val="baseline"/>
            </w:pPr>
            <w:r>
              <w:rPr>
                <w:rFonts w:hint="eastAsia"/>
              </w:rPr>
              <w:t>指标</w:t>
            </w:r>
          </w:p>
        </w:tc>
        <w:tc>
          <w:tcPr>
            <w:tcW w:w="2035" w:type="dxa"/>
            <w:vMerge w:val="restart"/>
            <w:vAlign w:val="center"/>
          </w:tcPr>
          <w:p>
            <w:pPr>
              <w:pStyle w:val="42"/>
              <w:adjustRightInd w:val="0"/>
              <w:textAlignment w:val="baseline"/>
            </w:pPr>
            <w:r>
              <w:rPr>
                <w:rFonts w:hint="eastAsia"/>
              </w:rPr>
              <w:t>本项目液氨标准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vAlign w:val="center"/>
          </w:tcPr>
          <w:p>
            <w:pPr>
              <w:pStyle w:val="42"/>
              <w:adjustRightInd w:val="0"/>
              <w:textAlignment w:val="baseline"/>
            </w:pPr>
          </w:p>
        </w:tc>
        <w:tc>
          <w:tcPr>
            <w:tcW w:w="1701" w:type="dxa"/>
            <w:vAlign w:val="center"/>
          </w:tcPr>
          <w:p>
            <w:pPr>
              <w:pStyle w:val="42"/>
              <w:adjustRightInd w:val="0"/>
              <w:textAlignment w:val="baseline"/>
            </w:pPr>
            <w:r>
              <w:rPr>
                <w:rFonts w:hint="eastAsia"/>
              </w:rPr>
              <w:t>优等品</w:t>
            </w:r>
          </w:p>
        </w:tc>
        <w:tc>
          <w:tcPr>
            <w:tcW w:w="1134" w:type="dxa"/>
            <w:vAlign w:val="center"/>
          </w:tcPr>
          <w:p>
            <w:pPr>
              <w:pStyle w:val="42"/>
              <w:adjustRightInd w:val="0"/>
              <w:textAlignment w:val="baseline"/>
            </w:pPr>
            <w:r>
              <w:rPr>
                <w:rFonts w:hint="eastAsia"/>
              </w:rPr>
              <w:t>一等品</w:t>
            </w:r>
          </w:p>
        </w:tc>
        <w:tc>
          <w:tcPr>
            <w:tcW w:w="1559" w:type="dxa"/>
            <w:vAlign w:val="center"/>
          </w:tcPr>
          <w:p>
            <w:pPr>
              <w:pStyle w:val="42"/>
              <w:adjustRightInd w:val="0"/>
              <w:textAlignment w:val="baseline"/>
            </w:pPr>
            <w:r>
              <w:rPr>
                <w:rFonts w:hint="eastAsia"/>
              </w:rPr>
              <w:t>合格品</w:t>
            </w:r>
          </w:p>
        </w:tc>
        <w:tc>
          <w:tcPr>
            <w:tcW w:w="2035" w:type="dxa"/>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pStyle w:val="42"/>
              <w:adjustRightInd w:val="0"/>
              <w:textAlignment w:val="baseline"/>
            </w:pPr>
            <w:r>
              <w:rPr>
                <w:rFonts w:hint="eastAsia"/>
              </w:rPr>
              <w:t>氨含量/%，</w:t>
            </w:r>
            <w:r>
              <w:rPr>
                <w:rFonts w:hint="eastAsia" w:ascii="宋体" w:hAnsi="宋体"/>
              </w:rPr>
              <w:t>≥</w:t>
            </w:r>
          </w:p>
        </w:tc>
        <w:tc>
          <w:tcPr>
            <w:tcW w:w="1701" w:type="dxa"/>
            <w:vAlign w:val="center"/>
          </w:tcPr>
          <w:p>
            <w:pPr>
              <w:pStyle w:val="42"/>
              <w:adjustRightInd w:val="0"/>
              <w:textAlignment w:val="baseline"/>
            </w:pPr>
            <w:r>
              <w:rPr>
                <w:rFonts w:hint="eastAsia"/>
              </w:rPr>
              <w:t>99.9</w:t>
            </w:r>
          </w:p>
        </w:tc>
        <w:tc>
          <w:tcPr>
            <w:tcW w:w="1134" w:type="dxa"/>
            <w:vAlign w:val="center"/>
          </w:tcPr>
          <w:p>
            <w:pPr>
              <w:pStyle w:val="42"/>
              <w:adjustRightInd w:val="0"/>
              <w:textAlignment w:val="baseline"/>
            </w:pPr>
            <w:r>
              <w:rPr>
                <w:rFonts w:hint="eastAsia"/>
              </w:rPr>
              <w:t>99.8</w:t>
            </w:r>
          </w:p>
        </w:tc>
        <w:tc>
          <w:tcPr>
            <w:tcW w:w="1559" w:type="dxa"/>
            <w:vAlign w:val="center"/>
          </w:tcPr>
          <w:p>
            <w:pPr>
              <w:pStyle w:val="42"/>
              <w:adjustRightInd w:val="0"/>
              <w:textAlignment w:val="baseline"/>
            </w:pPr>
            <w:r>
              <w:rPr>
                <w:rFonts w:hint="eastAsia"/>
              </w:rPr>
              <w:t>99.0</w:t>
            </w:r>
          </w:p>
        </w:tc>
        <w:tc>
          <w:tcPr>
            <w:tcW w:w="2035" w:type="dxa"/>
            <w:vAlign w:val="center"/>
          </w:tcPr>
          <w:p>
            <w:pPr>
              <w:pStyle w:val="42"/>
              <w:adjustRightInd w:val="0"/>
              <w:textAlignment w:val="baseline"/>
            </w:pPr>
            <w:r>
              <w:rPr>
                <w:rFonts w:hint="eastAsia"/>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pStyle w:val="42"/>
              <w:adjustRightInd w:val="0"/>
              <w:textAlignment w:val="baseline"/>
            </w:pPr>
            <w:r>
              <w:rPr>
                <w:rFonts w:hint="eastAsia"/>
              </w:rPr>
              <w:t>残留物含量/%，</w:t>
            </w:r>
            <w:r>
              <w:rPr>
                <w:rFonts w:hint="eastAsia" w:ascii="宋体" w:hAnsi="宋体"/>
              </w:rPr>
              <w:t>≤</w:t>
            </w:r>
          </w:p>
        </w:tc>
        <w:tc>
          <w:tcPr>
            <w:tcW w:w="1701" w:type="dxa"/>
            <w:vAlign w:val="center"/>
          </w:tcPr>
          <w:p>
            <w:pPr>
              <w:pStyle w:val="42"/>
              <w:adjustRightInd w:val="0"/>
              <w:textAlignment w:val="baseline"/>
            </w:pPr>
            <w:r>
              <w:rPr>
                <w:rFonts w:hint="eastAsia"/>
              </w:rPr>
              <w:t>0.1（重量法）</w:t>
            </w:r>
          </w:p>
        </w:tc>
        <w:tc>
          <w:tcPr>
            <w:tcW w:w="1134" w:type="dxa"/>
            <w:vAlign w:val="center"/>
          </w:tcPr>
          <w:p>
            <w:pPr>
              <w:pStyle w:val="42"/>
              <w:adjustRightInd w:val="0"/>
              <w:textAlignment w:val="baseline"/>
            </w:pPr>
            <w:r>
              <w:rPr>
                <w:rFonts w:hint="eastAsia"/>
              </w:rPr>
              <w:t>0.3</w:t>
            </w:r>
          </w:p>
        </w:tc>
        <w:tc>
          <w:tcPr>
            <w:tcW w:w="1559" w:type="dxa"/>
            <w:vAlign w:val="center"/>
          </w:tcPr>
          <w:p>
            <w:pPr>
              <w:pStyle w:val="42"/>
              <w:adjustRightInd w:val="0"/>
              <w:textAlignment w:val="baseline"/>
            </w:pPr>
            <w:r>
              <w:rPr>
                <w:rFonts w:hint="eastAsia"/>
              </w:rPr>
              <w:t>1.0</w:t>
            </w:r>
          </w:p>
        </w:tc>
        <w:tc>
          <w:tcPr>
            <w:tcW w:w="2035" w:type="dxa"/>
            <w:vAlign w:val="center"/>
          </w:tcPr>
          <w:p>
            <w:pPr>
              <w:pStyle w:val="42"/>
              <w:adjustRightInd w:val="0"/>
              <w:textAlignment w:val="baseline"/>
            </w:pPr>
            <w:r>
              <w:rPr>
                <w:rFonts w:hint="eastAsia"/>
              </w:rPr>
              <w:t>0.1（重量法）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pStyle w:val="42"/>
              <w:adjustRightInd w:val="0"/>
              <w:textAlignment w:val="baseline"/>
            </w:pPr>
            <w:r>
              <w:rPr>
                <w:rFonts w:hint="eastAsia"/>
              </w:rPr>
              <w:t>水分/%，</w:t>
            </w:r>
            <w:r>
              <w:rPr>
                <w:rFonts w:hint="eastAsia" w:ascii="宋体" w:hAnsi="宋体"/>
              </w:rPr>
              <w:t>≤</w:t>
            </w:r>
          </w:p>
        </w:tc>
        <w:tc>
          <w:tcPr>
            <w:tcW w:w="1701" w:type="dxa"/>
            <w:vAlign w:val="center"/>
          </w:tcPr>
          <w:p>
            <w:pPr>
              <w:pStyle w:val="42"/>
              <w:adjustRightInd w:val="0"/>
              <w:textAlignment w:val="baseline"/>
            </w:pPr>
            <w:r>
              <w:rPr>
                <w:rFonts w:hint="eastAsia"/>
              </w:rPr>
              <w:t>0.1</w:t>
            </w:r>
          </w:p>
        </w:tc>
        <w:tc>
          <w:tcPr>
            <w:tcW w:w="1134" w:type="dxa"/>
            <w:vAlign w:val="center"/>
          </w:tcPr>
          <w:p>
            <w:pPr>
              <w:pStyle w:val="42"/>
              <w:adjustRightInd w:val="0"/>
              <w:textAlignment w:val="baseline"/>
            </w:pPr>
            <w:r>
              <w:rPr>
                <w:rFonts w:hint="eastAsia"/>
              </w:rPr>
              <w:t>--</w:t>
            </w:r>
          </w:p>
        </w:tc>
        <w:tc>
          <w:tcPr>
            <w:tcW w:w="1559" w:type="dxa"/>
            <w:vAlign w:val="center"/>
          </w:tcPr>
          <w:p>
            <w:pPr>
              <w:pStyle w:val="42"/>
              <w:adjustRightInd w:val="0"/>
              <w:textAlignment w:val="baseline"/>
            </w:pPr>
            <w:r>
              <w:rPr>
                <w:rFonts w:hint="eastAsia"/>
              </w:rPr>
              <w:t>--</w:t>
            </w:r>
          </w:p>
        </w:tc>
        <w:tc>
          <w:tcPr>
            <w:tcW w:w="2035" w:type="dxa"/>
            <w:vAlign w:val="center"/>
          </w:tcPr>
          <w:p>
            <w:pPr>
              <w:pStyle w:val="42"/>
              <w:adjustRightInd w:val="0"/>
              <w:textAlignment w:val="baseline"/>
            </w:pP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pStyle w:val="42"/>
              <w:adjustRightInd w:val="0"/>
              <w:textAlignment w:val="baseline"/>
            </w:pPr>
            <w:r>
              <w:rPr>
                <w:rFonts w:hint="eastAsia"/>
              </w:rPr>
              <w:t>油含量/（mg/kg），</w:t>
            </w:r>
            <w:r>
              <w:rPr>
                <w:rFonts w:hint="eastAsia" w:ascii="宋体" w:hAnsi="宋体"/>
              </w:rPr>
              <w:t>≤</w:t>
            </w:r>
          </w:p>
        </w:tc>
        <w:tc>
          <w:tcPr>
            <w:tcW w:w="1701" w:type="dxa"/>
            <w:vAlign w:val="center"/>
          </w:tcPr>
          <w:p>
            <w:pPr>
              <w:pStyle w:val="42"/>
              <w:adjustRightInd w:val="0"/>
              <w:textAlignment w:val="baseline"/>
            </w:pPr>
            <w:r>
              <w:rPr>
                <w:rFonts w:hint="eastAsia"/>
              </w:rPr>
              <w:t>5（重量法）</w:t>
            </w:r>
          </w:p>
          <w:p>
            <w:pPr>
              <w:pStyle w:val="42"/>
              <w:adjustRightInd w:val="0"/>
              <w:textAlignment w:val="baseline"/>
            </w:pPr>
            <w:r>
              <w:rPr>
                <w:rFonts w:hint="eastAsia"/>
              </w:rPr>
              <w:t>2（红外光谱法）</w:t>
            </w:r>
          </w:p>
        </w:tc>
        <w:tc>
          <w:tcPr>
            <w:tcW w:w="1134" w:type="dxa"/>
            <w:vAlign w:val="center"/>
          </w:tcPr>
          <w:p>
            <w:pPr>
              <w:pStyle w:val="42"/>
              <w:adjustRightInd w:val="0"/>
              <w:textAlignment w:val="baseline"/>
            </w:pPr>
            <w:r>
              <w:rPr>
                <w:rFonts w:hint="eastAsia"/>
              </w:rPr>
              <w:t>--</w:t>
            </w:r>
          </w:p>
        </w:tc>
        <w:tc>
          <w:tcPr>
            <w:tcW w:w="1559" w:type="dxa"/>
            <w:vAlign w:val="center"/>
          </w:tcPr>
          <w:p>
            <w:pPr>
              <w:pStyle w:val="42"/>
              <w:adjustRightInd w:val="0"/>
              <w:textAlignment w:val="baseline"/>
            </w:pPr>
            <w:r>
              <w:rPr>
                <w:rFonts w:hint="eastAsia"/>
              </w:rPr>
              <w:t>--</w:t>
            </w:r>
          </w:p>
        </w:tc>
        <w:tc>
          <w:tcPr>
            <w:tcW w:w="2035" w:type="dxa"/>
            <w:vAlign w:val="center"/>
          </w:tcPr>
          <w:p>
            <w:pPr>
              <w:pStyle w:val="42"/>
              <w:adjustRightInd w:val="0"/>
              <w:textAlignment w:val="baseline"/>
            </w:pPr>
            <w:r>
              <w:rPr>
                <w:rFonts w:hint="eastAsia"/>
              </w:rPr>
              <w:t>5（重量法）</w:t>
            </w:r>
          </w:p>
          <w:p>
            <w:pPr>
              <w:pStyle w:val="42"/>
              <w:adjustRightInd w:val="0"/>
              <w:textAlignment w:val="baseline"/>
            </w:pPr>
            <w:r>
              <w:rPr>
                <w:rFonts w:hint="eastAsia"/>
              </w:rPr>
              <w:t>2（红外光谱法）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pStyle w:val="42"/>
              <w:adjustRightInd w:val="0"/>
              <w:textAlignment w:val="baseline"/>
            </w:pPr>
            <w:r>
              <w:rPr>
                <w:rFonts w:hint="eastAsia"/>
              </w:rPr>
              <w:t>铁含量/（mg/kg），</w:t>
            </w:r>
            <w:r>
              <w:rPr>
                <w:rFonts w:hint="eastAsia" w:ascii="宋体" w:hAnsi="宋体"/>
              </w:rPr>
              <w:t>≤</w:t>
            </w:r>
          </w:p>
        </w:tc>
        <w:tc>
          <w:tcPr>
            <w:tcW w:w="1701" w:type="dxa"/>
            <w:vAlign w:val="center"/>
          </w:tcPr>
          <w:p>
            <w:pPr>
              <w:pStyle w:val="42"/>
              <w:adjustRightInd w:val="0"/>
              <w:textAlignment w:val="baseline"/>
            </w:pPr>
            <w:r>
              <w:rPr>
                <w:rFonts w:hint="eastAsia"/>
              </w:rPr>
              <w:t>1</w:t>
            </w:r>
          </w:p>
        </w:tc>
        <w:tc>
          <w:tcPr>
            <w:tcW w:w="1134" w:type="dxa"/>
            <w:vAlign w:val="center"/>
          </w:tcPr>
          <w:p>
            <w:pPr>
              <w:pStyle w:val="42"/>
              <w:adjustRightInd w:val="0"/>
              <w:textAlignment w:val="baseline"/>
            </w:pPr>
            <w:r>
              <w:rPr>
                <w:rFonts w:hint="eastAsia"/>
              </w:rPr>
              <w:t>--</w:t>
            </w:r>
          </w:p>
        </w:tc>
        <w:tc>
          <w:tcPr>
            <w:tcW w:w="1559" w:type="dxa"/>
            <w:vAlign w:val="center"/>
          </w:tcPr>
          <w:p>
            <w:pPr>
              <w:pStyle w:val="42"/>
              <w:adjustRightInd w:val="0"/>
              <w:textAlignment w:val="baseline"/>
            </w:pPr>
            <w:r>
              <w:rPr>
                <w:rFonts w:hint="eastAsia"/>
              </w:rPr>
              <w:t>--</w:t>
            </w:r>
          </w:p>
        </w:tc>
        <w:tc>
          <w:tcPr>
            <w:tcW w:w="2035" w:type="dxa"/>
            <w:vAlign w:val="center"/>
          </w:tcPr>
          <w:p>
            <w:pPr>
              <w:pStyle w:val="42"/>
              <w:adjustRightInd w:val="0"/>
              <w:textAlignment w:val="baseline"/>
            </w:pPr>
            <w:r>
              <w:rPr>
                <w:rFonts w:hint="eastAsia"/>
              </w:rPr>
              <w:t>1</w:t>
            </w:r>
          </w:p>
        </w:tc>
      </w:tr>
    </w:tbl>
    <w:p>
      <w:pPr>
        <w:pStyle w:val="41"/>
      </w:pPr>
      <w:r>
        <w:rPr>
          <w:rFonts w:hint="eastAsia"/>
        </w:rPr>
        <w:t>表2.3-2食品级液体二氧化碳标准</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9"/>
        <w:gridCol w:w="2038"/>
        <w:gridCol w:w="1641"/>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pct"/>
            <w:noWrap/>
            <w:vAlign w:val="center"/>
          </w:tcPr>
          <w:p>
            <w:pPr>
              <w:pStyle w:val="42"/>
            </w:pPr>
            <w:r>
              <w:t>标准代号</w:t>
            </w:r>
          </w:p>
        </w:tc>
        <w:tc>
          <w:tcPr>
            <w:tcW w:w="3182" w:type="pct"/>
            <w:gridSpan w:val="3"/>
            <w:noWrap/>
            <w:vAlign w:val="center"/>
          </w:tcPr>
          <w:p>
            <w:pPr>
              <w:pStyle w:val="42"/>
            </w:pPr>
            <w:r>
              <w:t>GB</w:t>
            </w:r>
            <w:r>
              <w:rPr>
                <w:rFonts w:hint="eastAsia"/>
                <w:sz w:val="24"/>
              </w:rPr>
              <w:t>1886.228-2016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t>项目</w:t>
            </w:r>
          </w:p>
        </w:tc>
        <w:tc>
          <w:tcPr>
            <w:tcW w:w="1196" w:type="pct"/>
            <w:noWrap/>
            <w:vAlign w:val="center"/>
          </w:tcPr>
          <w:p>
            <w:pPr>
              <w:pStyle w:val="42"/>
            </w:pPr>
            <w:r>
              <w:rPr>
                <w:rFonts w:hint="eastAsia"/>
              </w:rPr>
              <w:t>气态</w:t>
            </w:r>
            <w:r>
              <w:t>CO</w:t>
            </w:r>
            <w:r>
              <w:rPr>
                <w:vertAlign w:val="subscript"/>
              </w:rPr>
              <w:t>2</w:t>
            </w:r>
          </w:p>
        </w:tc>
        <w:tc>
          <w:tcPr>
            <w:tcW w:w="963" w:type="pct"/>
            <w:noWrap/>
            <w:vAlign w:val="center"/>
          </w:tcPr>
          <w:p>
            <w:pPr>
              <w:pStyle w:val="42"/>
            </w:pPr>
            <w:r>
              <w:t>液</w:t>
            </w:r>
            <w:r>
              <w:rPr>
                <w:rFonts w:hint="eastAsia"/>
              </w:rPr>
              <w:t>态</w:t>
            </w:r>
            <w:r>
              <w:t>CO</w:t>
            </w:r>
            <w:r>
              <w:rPr>
                <w:vertAlign w:val="subscript"/>
              </w:rPr>
              <w:t>2</w:t>
            </w:r>
          </w:p>
        </w:tc>
        <w:tc>
          <w:tcPr>
            <w:tcW w:w="1024" w:type="pct"/>
            <w:noWrap/>
            <w:vAlign w:val="center"/>
          </w:tcPr>
          <w:p>
            <w:pPr>
              <w:pStyle w:val="42"/>
            </w:pPr>
            <w:r>
              <w:rPr>
                <w:rFonts w:hint="eastAsia"/>
              </w:rPr>
              <w:t>固态</w:t>
            </w:r>
            <w:r>
              <w:t>CO</w:t>
            </w:r>
            <w:r>
              <w:rPr>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t>CO</w:t>
            </w:r>
            <w:r>
              <w:rPr>
                <w:vertAlign w:val="subscript"/>
              </w:rPr>
              <w:t>2</w:t>
            </w:r>
            <w:r>
              <w:t xml:space="preserve"> %</w:t>
            </w:r>
            <w:r>
              <w:rPr>
                <w:rFonts w:hint="eastAsia"/>
              </w:rPr>
              <w:t>含量，ψ/%，≥</w:t>
            </w:r>
          </w:p>
        </w:tc>
        <w:tc>
          <w:tcPr>
            <w:tcW w:w="1196" w:type="pct"/>
            <w:noWrap/>
            <w:vAlign w:val="center"/>
          </w:tcPr>
          <w:p>
            <w:pPr>
              <w:pStyle w:val="42"/>
            </w:pPr>
            <w:r>
              <w:t>99.9</w:t>
            </w:r>
          </w:p>
        </w:tc>
        <w:tc>
          <w:tcPr>
            <w:tcW w:w="963" w:type="pct"/>
            <w:noWrap/>
            <w:vAlign w:val="center"/>
          </w:tcPr>
          <w:p>
            <w:pPr>
              <w:pStyle w:val="42"/>
            </w:pPr>
            <w:r>
              <w:t>99.5</w:t>
            </w:r>
          </w:p>
        </w:tc>
        <w:tc>
          <w:tcPr>
            <w:tcW w:w="1024" w:type="pct"/>
            <w:noWrap/>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t>水分</w:t>
            </w:r>
            <w:r>
              <w:rPr>
                <w:rFonts w:hint="eastAsia"/>
              </w:rPr>
              <w:t>/(μl/L)， ≤</w:t>
            </w:r>
          </w:p>
        </w:tc>
        <w:tc>
          <w:tcPr>
            <w:tcW w:w="1196" w:type="pct"/>
            <w:noWrap/>
            <w:vAlign w:val="center"/>
          </w:tcPr>
          <w:p>
            <w:pPr>
              <w:pStyle w:val="42"/>
            </w:pPr>
            <w:r>
              <w:rPr>
                <w:rFonts w:hint="eastAsia"/>
              </w:rPr>
              <w:t>20</w:t>
            </w:r>
          </w:p>
        </w:tc>
        <w:tc>
          <w:tcPr>
            <w:tcW w:w="963" w:type="pct"/>
            <w:noWrap/>
            <w:vAlign w:val="center"/>
          </w:tcPr>
          <w:p>
            <w:pPr>
              <w:pStyle w:val="42"/>
            </w:pPr>
            <w:r>
              <w:rPr>
                <w:rFonts w:hint="eastAsia"/>
              </w:rPr>
              <w:t>20</w:t>
            </w:r>
          </w:p>
        </w:tc>
        <w:tc>
          <w:tcPr>
            <w:tcW w:w="1024" w:type="pct"/>
            <w:noWrap/>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氧/(μL/L)，≤</w:t>
            </w:r>
          </w:p>
        </w:tc>
        <w:tc>
          <w:tcPr>
            <w:tcW w:w="1196" w:type="pct"/>
            <w:noWrap/>
            <w:vAlign w:val="center"/>
          </w:tcPr>
          <w:p>
            <w:pPr>
              <w:pStyle w:val="42"/>
            </w:pPr>
            <w:r>
              <w:rPr>
                <w:rFonts w:hint="eastAsia"/>
              </w:rPr>
              <w:t>30</w:t>
            </w:r>
          </w:p>
        </w:tc>
        <w:tc>
          <w:tcPr>
            <w:tcW w:w="963" w:type="pct"/>
            <w:noWrap/>
            <w:vAlign w:val="center"/>
          </w:tcPr>
          <w:p>
            <w:pPr>
              <w:pStyle w:val="42"/>
            </w:pPr>
            <w:r>
              <w:rPr>
                <w:rFonts w:hint="eastAsia"/>
              </w:rPr>
              <w:t>30</w:t>
            </w:r>
          </w:p>
        </w:tc>
        <w:tc>
          <w:tcPr>
            <w:tcW w:w="1024" w:type="pct"/>
            <w:noWrap/>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二氧化碳/(μL/L)，≤</w:t>
            </w:r>
          </w:p>
        </w:tc>
        <w:tc>
          <w:tcPr>
            <w:tcW w:w="1196" w:type="pct"/>
            <w:noWrap/>
            <w:vAlign w:val="center"/>
          </w:tcPr>
          <w:p>
            <w:pPr>
              <w:pStyle w:val="42"/>
            </w:pPr>
            <w:r>
              <w:rPr>
                <w:rFonts w:hint="eastAsia"/>
              </w:rPr>
              <w:t>10</w:t>
            </w:r>
          </w:p>
        </w:tc>
        <w:tc>
          <w:tcPr>
            <w:tcW w:w="963" w:type="pct"/>
            <w:noWrap/>
            <w:vAlign w:val="center"/>
          </w:tcPr>
          <w:p>
            <w:pPr>
              <w:pStyle w:val="42"/>
            </w:pPr>
            <w:r>
              <w:rPr>
                <w:rFonts w:hint="eastAsia"/>
              </w:rPr>
              <w:t>10</w:t>
            </w:r>
          </w:p>
        </w:tc>
        <w:tc>
          <w:tcPr>
            <w:tcW w:w="1024" w:type="pct"/>
            <w:noWrap/>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t>油</w:t>
            </w:r>
            <w:r>
              <w:rPr>
                <w:rFonts w:hint="eastAsia"/>
              </w:rPr>
              <w:t>脂/(mg/kg)，≤</w:t>
            </w:r>
          </w:p>
        </w:tc>
        <w:tc>
          <w:tcPr>
            <w:tcW w:w="1196" w:type="pct"/>
            <w:noWrap/>
            <w:vAlign w:val="center"/>
          </w:tcPr>
          <w:p>
            <w:pPr>
              <w:pStyle w:val="42"/>
            </w:pPr>
            <w:r>
              <w:rPr>
                <w:rFonts w:hint="eastAsia"/>
              </w:rPr>
              <w:t>--</w:t>
            </w:r>
          </w:p>
        </w:tc>
        <w:tc>
          <w:tcPr>
            <w:tcW w:w="963" w:type="pct"/>
            <w:noWrap/>
            <w:vAlign w:val="center"/>
          </w:tcPr>
          <w:p>
            <w:pPr>
              <w:pStyle w:val="42"/>
            </w:pPr>
            <w:r>
              <w:rPr>
                <w:rFonts w:hint="eastAsia"/>
              </w:rPr>
              <w:t>5</w:t>
            </w:r>
          </w:p>
        </w:tc>
        <w:tc>
          <w:tcPr>
            <w:tcW w:w="1024" w:type="pct"/>
            <w:noWrap/>
            <w:vAlign w:val="center"/>
          </w:tcPr>
          <w:p>
            <w:pPr>
              <w:pStyle w:val="42"/>
            </w:pPr>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蒸发残渣/(mg/kg)，≤</w:t>
            </w:r>
          </w:p>
        </w:tc>
        <w:tc>
          <w:tcPr>
            <w:tcW w:w="1196" w:type="pct"/>
            <w:noWrap/>
            <w:vAlign w:val="center"/>
          </w:tcPr>
          <w:p>
            <w:pPr>
              <w:pStyle w:val="42"/>
            </w:pPr>
            <w:r>
              <w:rPr>
                <w:rFonts w:hint="eastAsia"/>
              </w:rPr>
              <w:t>--</w:t>
            </w:r>
          </w:p>
        </w:tc>
        <w:tc>
          <w:tcPr>
            <w:tcW w:w="963" w:type="pct"/>
            <w:noWrap/>
            <w:vAlign w:val="center"/>
          </w:tcPr>
          <w:p>
            <w:pPr>
              <w:pStyle w:val="42"/>
            </w:pPr>
            <w:r>
              <w:rPr>
                <w:rFonts w:hint="eastAsia"/>
              </w:rPr>
              <w:t>10</w:t>
            </w:r>
          </w:p>
        </w:tc>
        <w:tc>
          <w:tcPr>
            <w:tcW w:w="1024" w:type="pct"/>
            <w:noWrap/>
            <w:vAlign w:val="center"/>
          </w:tcPr>
          <w:p>
            <w:pPr>
              <w:pStyle w:val="42"/>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一氧化氮/(μl/L)， ≤</w:t>
            </w:r>
          </w:p>
        </w:tc>
        <w:tc>
          <w:tcPr>
            <w:tcW w:w="3182" w:type="pct"/>
            <w:gridSpan w:val="3"/>
            <w:noWrap/>
            <w:vAlign w:val="center"/>
          </w:tcPr>
          <w:p>
            <w:pPr>
              <w:pStyle w:val="42"/>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二氧化氮/(μl/L)， ≤</w:t>
            </w:r>
          </w:p>
        </w:tc>
        <w:tc>
          <w:tcPr>
            <w:tcW w:w="3182" w:type="pct"/>
            <w:gridSpan w:val="3"/>
            <w:noWrap/>
            <w:vAlign w:val="center"/>
          </w:tcPr>
          <w:p>
            <w:pPr>
              <w:pStyle w:val="42"/>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二氧化硫/(μl/L)， ≤</w:t>
            </w:r>
          </w:p>
        </w:tc>
        <w:tc>
          <w:tcPr>
            <w:tcW w:w="3182" w:type="pct"/>
            <w:gridSpan w:val="3"/>
            <w:noWrap/>
            <w:vAlign w:val="center"/>
          </w:tcPr>
          <w:p>
            <w:pPr>
              <w:pStyle w:val="42"/>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总硫/(μl/L)， ≤</w:t>
            </w:r>
          </w:p>
        </w:tc>
        <w:tc>
          <w:tcPr>
            <w:tcW w:w="3182" w:type="pct"/>
            <w:gridSpan w:val="3"/>
            <w:noWrap/>
            <w:vAlign w:val="center"/>
          </w:tcPr>
          <w:p>
            <w:pPr>
              <w:pStyle w:val="42"/>
            </w:pP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总挥发烃/(μl/L)， ≤</w:t>
            </w:r>
          </w:p>
        </w:tc>
        <w:tc>
          <w:tcPr>
            <w:tcW w:w="3182" w:type="pct"/>
            <w:gridSpan w:val="3"/>
            <w:noWrap/>
            <w:vAlign w:val="center"/>
          </w:tcPr>
          <w:p>
            <w:pPr>
              <w:pStyle w:val="42"/>
            </w:pPr>
            <w:r>
              <w:rPr>
                <w:rFonts w:hint="eastAsia"/>
              </w:rPr>
              <w:t>50(其中非甲烷烃≤20)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苯/(μl/L)， ≤</w:t>
            </w:r>
          </w:p>
        </w:tc>
        <w:tc>
          <w:tcPr>
            <w:tcW w:w="3182" w:type="pct"/>
            <w:gridSpan w:val="3"/>
            <w:noWrap/>
            <w:vAlign w:val="center"/>
          </w:tcPr>
          <w:p>
            <w:pPr>
              <w:pStyle w:val="42"/>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甲醇/(μl/L)， ≤</w:t>
            </w:r>
          </w:p>
        </w:tc>
        <w:tc>
          <w:tcPr>
            <w:tcW w:w="3182" w:type="pct"/>
            <w:gridSpan w:val="3"/>
            <w:noWrap/>
            <w:vAlign w:val="center"/>
          </w:tcPr>
          <w:p>
            <w:pPr>
              <w:pStyle w:val="42"/>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乙醛/(μl/L)， ≤</w:t>
            </w:r>
          </w:p>
        </w:tc>
        <w:tc>
          <w:tcPr>
            <w:tcW w:w="3182" w:type="pct"/>
            <w:gridSpan w:val="3"/>
            <w:noWrap/>
            <w:vAlign w:val="center"/>
          </w:tcPr>
          <w:p>
            <w:pPr>
              <w:pStyle w:val="42"/>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环氧乙烷/(μl/L)， ≤</w:t>
            </w:r>
          </w:p>
        </w:tc>
        <w:tc>
          <w:tcPr>
            <w:tcW w:w="3182" w:type="pct"/>
            <w:gridSpan w:val="3"/>
            <w:noWrap/>
            <w:vAlign w:val="center"/>
          </w:tcPr>
          <w:p>
            <w:pPr>
              <w:pStyle w:val="42"/>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氯乙烯/(μl/L)， ≤</w:t>
            </w:r>
          </w:p>
        </w:tc>
        <w:tc>
          <w:tcPr>
            <w:tcW w:w="3182" w:type="pct"/>
            <w:gridSpan w:val="3"/>
            <w:noWrap/>
            <w:vAlign w:val="center"/>
          </w:tcPr>
          <w:p>
            <w:pPr>
              <w:pStyle w:val="42"/>
            </w:pPr>
            <w:r>
              <w:rPr>
                <w:rFonts w:hint="eastAsi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氨/(μl/L)， ≤</w:t>
            </w:r>
          </w:p>
        </w:tc>
        <w:tc>
          <w:tcPr>
            <w:tcW w:w="3182" w:type="pct"/>
            <w:gridSpan w:val="3"/>
            <w:noWrap/>
            <w:vAlign w:val="center"/>
          </w:tcPr>
          <w:p>
            <w:pPr>
              <w:pStyle w:val="42"/>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8" w:type="pct"/>
            <w:noWrap/>
            <w:vAlign w:val="center"/>
          </w:tcPr>
          <w:p>
            <w:pPr>
              <w:pStyle w:val="42"/>
            </w:pPr>
            <w:r>
              <w:rPr>
                <w:rFonts w:hint="eastAsia"/>
              </w:rPr>
              <w:t>氰化氢/(μl/L)， ≤</w:t>
            </w:r>
          </w:p>
        </w:tc>
        <w:tc>
          <w:tcPr>
            <w:tcW w:w="3182" w:type="pct"/>
            <w:gridSpan w:val="3"/>
            <w:noWrap/>
            <w:vAlign w:val="center"/>
          </w:tcPr>
          <w:p>
            <w:pPr>
              <w:pStyle w:val="42"/>
            </w:pPr>
            <w:r>
              <w:rPr>
                <w:rFonts w:hint="eastAsia"/>
              </w:rPr>
              <w:t>0.5</w:t>
            </w:r>
          </w:p>
        </w:tc>
      </w:tr>
    </w:tbl>
    <w:p>
      <w:pPr>
        <w:pStyle w:val="41"/>
      </w:pPr>
      <w:r>
        <w:rPr>
          <w:rFonts w:hint="eastAsia"/>
        </w:rPr>
        <w:t>表2.3-3 工业级液体二氧化碳标准</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2038"/>
        <w:gridCol w:w="164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pct"/>
            <w:noWrap/>
            <w:vAlign w:val="center"/>
          </w:tcPr>
          <w:p>
            <w:pPr>
              <w:pStyle w:val="42"/>
            </w:pPr>
            <w:r>
              <w:t>标准代号</w:t>
            </w:r>
          </w:p>
        </w:tc>
        <w:tc>
          <w:tcPr>
            <w:tcW w:w="3183" w:type="pct"/>
            <w:gridSpan w:val="3"/>
            <w:noWrap/>
            <w:vAlign w:val="center"/>
          </w:tcPr>
          <w:p>
            <w:pPr>
              <w:pStyle w:val="42"/>
            </w:pPr>
            <w:r>
              <w:t>GB6052-2011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项目</w:t>
            </w:r>
          </w:p>
        </w:tc>
        <w:tc>
          <w:tcPr>
            <w:tcW w:w="1196" w:type="pct"/>
            <w:noWrap/>
            <w:vAlign w:val="center"/>
          </w:tcPr>
          <w:p>
            <w:pPr>
              <w:pStyle w:val="42"/>
            </w:pPr>
            <w:r>
              <w:t>优级品</w:t>
            </w:r>
          </w:p>
        </w:tc>
        <w:tc>
          <w:tcPr>
            <w:tcW w:w="963" w:type="pct"/>
            <w:noWrap/>
            <w:vAlign w:val="center"/>
          </w:tcPr>
          <w:p>
            <w:pPr>
              <w:pStyle w:val="42"/>
            </w:pPr>
            <w:r>
              <w:t>一级品</w:t>
            </w:r>
          </w:p>
        </w:tc>
        <w:tc>
          <w:tcPr>
            <w:tcW w:w="1024" w:type="pct"/>
            <w:noWrap/>
            <w:vAlign w:val="center"/>
          </w:tcPr>
          <w:p>
            <w:pPr>
              <w:pStyle w:val="42"/>
            </w:pPr>
            <w:r>
              <w:t>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CO</w:t>
            </w:r>
            <w:r>
              <w:rPr>
                <w:vertAlign w:val="subscript"/>
              </w:rPr>
              <w:t>2</w:t>
            </w:r>
            <w:r>
              <w:t xml:space="preserve"> %(体 积 )   ≥</w:t>
            </w:r>
          </w:p>
        </w:tc>
        <w:tc>
          <w:tcPr>
            <w:tcW w:w="1196" w:type="pct"/>
            <w:noWrap/>
            <w:vAlign w:val="center"/>
          </w:tcPr>
          <w:p>
            <w:pPr>
              <w:pStyle w:val="42"/>
            </w:pPr>
            <w:r>
              <w:t>99.9</w:t>
            </w:r>
          </w:p>
        </w:tc>
        <w:tc>
          <w:tcPr>
            <w:tcW w:w="963" w:type="pct"/>
            <w:noWrap/>
            <w:vAlign w:val="center"/>
          </w:tcPr>
          <w:p>
            <w:pPr>
              <w:pStyle w:val="42"/>
            </w:pPr>
            <w:r>
              <w:t>99.5</w:t>
            </w:r>
          </w:p>
        </w:tc>
        <w:tc>
          <w:tcPr>
            <w:tcW w:w="1024" w:type="pct"/>
            <w:noWrap/>
            <w:vAlign w:val="center"/>
          </w:tcPr>
          <w:p>
            <w:pPr>
              <w:pStyle w:val="42"/>
            </w:pPr>
            <w: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油 分</w:t>
            </w:r>
          </w:p>
        </w:tc>
        <w:tc>
          <w:tcPr>
            <w:tcW w:w="1196" w:type="pct"/>
            <w:noWrap/>
            <w:vAlign w:val="center"/>
          </w:tcPr>
          <w:p>
            <w:pPr>
              <w:pStyle w:val="42"/>
            </w:pPr>
            <w:r>
              <w:t>按4.4检验合格</w:t>
            </w:r>
          </w:p>
        </w:tc>
        <w:tc>
          <w:tcPr>
            <w:tcW w:w="963" w:type="pct"/>
            <w:noWrap/>
            <w:vAlign w:val="center"/>
          </w:tcPr>
          <w:p>
            <w:pPr>
              <w:pStyle w:val="42"/>
            </w:pPr>
            <w:r>
              <w:t>按4.4检验合格</w:t>
            </w:r>
          </w:p>
        </w:tc>
        <w:tc>
          <w:tcPr>
            <w:tcW w:w="1024" w:type="pct"/>
            <w:noWrap/>
            <w:vAlign w:val="center"/>
          </w:tcPr>
          <w:p>
            <w:pPr>
              <w:pStyle w:val="42"/>
            </w:pPr>
            <w:r>
              <w:t>按4.4检验合格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CO,H2S,PH3及机还原物</w:t>
            </w:r>
          </w:p>
        </w:tc>
        <w:tc>
          <w:tcPr>
            <w:tcW w:w="1196" w:type="pct"/>
            <w:noWrap/>
            <w:vAlign w:val="center"/>
          </w:tcPr>
          <w:p>
            <w:pPr>
              <w:pStyle w:val="42"/>
            </w:pPr>
            <w:r>
              <w:t>按4.6检验合格</w:t>
            </w:r>
          </w:p>
        </w:tc>
        <w:tc>
          <w:tcPr>
            <w:tcW w:w="963" w:type="pct"/>
            <w:noWrap/>
            <w:vAlign w:val="center"/>
          </w:tcPr>
          <w:p>
            <w:pPr>
              <w:pStyle w:val="42"/>
            </w:pPr>
            <w:r>
              <w:t>按4.6检验合格</w:t>
            </w:r>
          </w:p>
        </w:tc>
        <w:tc>
          <w:tcPr>
            <w:tcW w:w="1024" w:type="pct"/>
            <w:noWrap/>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气味</w:t>
            </w:r>
          </w:p>
        </w:tc>
        <w:tc>
          <w:tcPr>
            <w:tcW w:w="1196" w:type="pct"/>
            <w:noWrap/>
            <w:vAlign w:val="center"/>
          </w:tcPr>
          <w:p>
            <w:pPr>
              <w:pStyle w:val="42"/>
            </w:pPr>
            <w:r>
              <w:t>无异味</w:t>
            </w:r>
          </w:p>
        </w:tc>
        <w:tc>
          <w:tcPr>
            <w:tcW w:w="963" w:type="pct"/>
            <w:noWrap/>
            <w:vAlign w:val="center"/>
          </w:tcPr>
          <w:p>
            <w:pPr>
              <w:pStyle w:val="42"/>
            </w:pPr>
            <w:r>
              <w:t>无异味</w:t>
            </w:r>
          </w:p>
        </w:tc>
        <w:tc>
          <w:tcPr>
            <w:tcW w:w="1024" w:type="pct"/>
            <w:noWrap/>
            <w:vAlign w:val="center"/>
          </w:tcPr>
          <w:p>
            <w:pPr>
              <w:pStyle w:val="42"/>
            </w:pPr>
            <w:r>
              <w:t>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 xml:space="preserve">水 分 露 点/ </w:t>
            </w:r>
            <w:r>
              <w:rPr>
                <w:rFonts w:hint="eastAsia" w:ascii="宋体" w:hAnsi="宋体" w:cs="宋体"/>
              </w:rPr>
              <w:t>℃</w:t>
            </w:r>
            <w:r>
              <w:t xml:space="preserve">  ≤</w:t>
            </w:r>
          </w:p>
        </w:tc>
        <w:tc>
          <w:tcPr>
            <w:tcW w:w="1196" w:type="pct"/>
            <w:noWrap/>
            <w:vAlign w:val="center"/>
          </w:tcPr>
          <w:p>
            <w:pPr>
              <w:pStyle w:val="42"/>
            </w:pPr>
            <w:r>
              <w:t>-65</w:t>
            </w:r>
          </w:p>
        </w:tc>
        <w:tc>
          <w:tcPr>
            <w:tcW w:w="963" w:type="pct"/>
            <w:noWrap/>
            <w:vAlign w:val="center"/>
          </w:tcPr>
          <w:p>
            <w:pPr>
              <w:pStyle w:val="42"/>
            </w:pPr>
            <w:r>
              <w:t>-60</w:t>
            </w:r>
          </w:p>
        </w:tc>
        <w:tc>
          <w:tcPr>
            <w:tcW w:w="1024" w:type="pct"/>
            <w:noWrap/>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pct"/>
            <w:noWrap/>
            <w:vAlign w:val="center"/>
          </w:tcPr>
          <w:p>
            <w:pPr>
              <w:pStyle w:val="42"/>
            </w:pPr>
            <w:r>
              <w:t>游 离 水</w:t>
            </w:r>
          </w:p>
        </w:tc>
        <w:tc>
          <w:tcPr>
            <w:tcW w:w="1196" w:type="pct"/>
            <w:noWrap/>
            <w:vAlign w:val="center"/>
          </w:tcPr>
          <w:p>
            <w:pPr>
              <w:pStyle w:val="42"/>
            </w:pPr>
            <w:r>
              <w:t>-</w:t>
            </w:r>
          </w:p>
        </w:tc>
        <w:tc>
          <w:tcPr>
            <w:tcW w:w="963" w:type="pct"/>
            <w:noWrap/>
            <w:vAlign w:val="center"/>
          </w:tcPr>
          <w:p>
            <w:pPr>
              <w:pStyle w:val="42"/>
            </w:pPr>
            <w:r>
              <w:t>-</w:t>
            </w:r>
          </w:p>
        </w:tc>
        <w:tc>
          <w:tcPr>
            <w:tcW w:w="1024" w:type="pct"/>
            <w:noWrap/>
            <w:vAlign w:val="center"/>
          </w:tcPr>
          <w:p>
            <w:pPr>
              <w:pStyle w:val="42"/>
            </w:pPr>
            <w:r>
              <w:t>无</w:t>
            </w:r>
          </w:p>
        </w:tc>
      </w:tr>
    </w:tbl>
    <w:p>
      <w:pPr>
        <w:pStyle w:val="3"/>
        <w:spacing w:before="156" w:after="156"/>
      </w:pPr>
      <w:bookmarkStart w:id="46" w:name="_Toc84844226"/>
      <w:r>
        <w:rPr>
          <w:rFonts w:hint="eastAsia"/>
        </w:rPr>
        <w:t>2.4项目组成及主要建设内容</w:t>
      </w:r>
      <w:bookmarkEnd w:id="46"/>
    </w:p>
    <w:p>
      <w:pPr>
        <w:ind w:firstLine="480"/>
      </w:pPr>
      <w:r>
        <w:rPr>
          <w:rFonts w:hint="eastAsia"/>
        </w:rPr>
        <w:t>拟建项目用地面积49725m</w:t>
      </w:r>
      <w:r>
        <w:rPr>
          <w:rFonts w:hint="eastAsia"/>
          <w:vertAlign w:val="superscript"/>
        </w:rPr>
        <w:t>2</w:t>
      </w:r>
      <w:r>
        <w:rPr>
          <w:rFonts w:hint="eastAsia"/>
        </w:rPr>
        <w:t>，主要建设内容包括合成氨装置和CO</w:t>
      </w:r>
      <w:r>
        <w:rPr>
          <w:rFonts w:hint="eastAsia"/>
          <w:vertAlign w:val="subscript"/>
        </w:rPr>
        <w:t>2</w:t>
      </w:r>
      <w:r>
        <w:rPr>
          <w:rFonts w:hint="eastAsia"/>
        </w:rPr>
        <w:t>回收液化装置各一套，配套设置分析化验室、中央控制室和配电室等公辅工程，废水处理站和危险废物暂存间等环保工程；另外，本项目循环水系统、脱盐水系统、液氨储罐和事故应急火炬系统依托重庆化医恩力吉投资有限责任公司现有设施。</w:t>
      </w:r>
    </w:p>
    <w:p>
      <w:pPr>
        <w:ind w:firstLine="480"/>
      </w:pPr>
      <w:r>
        <w:rPr>
          <w:rFonts w:hint="eastAsia"/>
        </w:rPr>
        <w:t>拟建项目组成及主要建设内容详见下表2.4-1。</w:t>
      </w:r>
    </w:p>
    <w:p>
      <w:pPr>
        <w:pStyle w:val="41"/>
      </w:pPr>
      <w:r>
        <w:rPr>
          <w:rFonts w:hint="eastAsia"/>
        </w:rPr>
        <w:t>表2.4-1 项目组成及主要建设内容一览表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59"/>
        <w:gridCol w:w="510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pStyle w:val="42"/>
              <w:adjustRightInd w:val="0"/>
              <w:textAlignment w:val="baseline"/>
            </w:pPr>
            <w:r>
              <w:rPr>
                <w:rFonts w:hint="eastAsia"/>
              </w:rPr>
              <w:t>项目组成</w:t>
            </w:r>
          </w:p>
        </w:tc>
        <w:tc>
          <w:tcPr>
            <w:tcW w:w="6662" w:type="dxa"/>
            <w:gridSpan w:val="2"/>
            <w:vAlign w:val="center"/>
          </w:tcPr>
          <w:p>
            <w:pPr>
              <w:pStyle w:val="42"/>
              <w:adjustRightInd w:val="0"/>
              <w:textAlignment w:val="baseline"/>
            </w:pPr>
            <w:r>
              <w:rPr>
                <w:rFonts w:hint="eastAsia"/>
              </w:rPr>
              <w:t>主要建设内容及规模</w:t>
            </w:r>
          </w:p>
        </w:tc>
        <w:tc>
          <w:tcPr>
            <w:tcW w:w="759" w:type="dxa"/>
            <w:vAlign w:val="center"/>
          </w:tcPr>
          <w:p>
            <w:pPr>
              <w:pStyle w:val="42"/>
              <w:adjustRightInd w:val="0"/>
              <w:textAlignment w:val="baseline"/>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主体工程</w:t>
            </w:r>
          </w:p>
        </w:tc>
        <w:tc>
          <w:tcPr>
            <w:tcW w:w="1559" w:type="dxa"/>
            <w:vAlign w:val="center"/>
          </w:tcPr>
          <w:p>
            <w:pPr>
              <w:pStyle w:val="42"/>
              <w:adjustRightInd w:val="0"/>
              <w:textAlignment w:val="baseline"/>
            </w:pPr>
            <w:r>
              <w:rPr>
                <w:rFonts w:hint="eastAsia"/>
              </w:rPr>
              <w:t>合成氨生产装置</w:t>
            </w:r>
          </w:p>
        </w:tc>
        <w:tc>
          <w:tcPr>
            <w:tcW w:w="5103" w:type="dxa"/>
            <w:vAlign w:val="center"/>
          </w:tcPr>
          <w:p>
            <w:pPr>
              <w:pStyle w:val="42"/>
              <w:adjustRightInd w:val="0"/>
              <w:textAlignment w:val="baseline"/>
            </w:pPr>
            <w:r>
              <w:rPr>
                <w:rFonts w:hint="eastAsia"/>
              </w:rPr>
              <w:t>建筑面积：21679m</w:t>
            </w:r>
            <w:r>
              <w:rPr>
                <w:rFonts w:hint="eastAsia"/>
                <w:vertAlign w:val="superscript"/>
              </w:rPr>
              <w:t>2</w:t>
            </w:r>
            <w:r>
              <w:rPr>
                <w:rFonts w:hint="eastAsia"/>
              </w:rPr>
              <w:t>，设置合成氨生产装置1套，包括：天然气脱硫、一段转化和高温变换工序，驰放气膜分离工序，PSA脱碳提氢工序，氨合成工序，生产规模20万t/a。</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CO</w:t>
            </w:r>
            <w:r>
              <w:rPr>
                <w:rFonts w:hint="eastAsia"/>
                <w:vertAlign w:val="subscript"/>
              </w:rPr>
              <w:t>2</w:t>
            </w:r>
            <w:r>
              <w:rPr>
                <w:rFonts w:hint="eastAsia"/>
              </w:rPr>
              <w:t>回收装置</w:t>
            </w:r>
          </w:p>
        </w:tc>
        <w:tc>
          <w:tcPr>
            <w:tcW w:w="5103" w:type="dxa"/>
            <w:vAlign w:val="center"/>
          </w:tcPr>
          <w:p>
            <w:pPr>
              <w:pStyle w:val="42"/>
              <w:adjustRightInd w:val="0"/>
              <w:textAlignment w:val="baseline"/>
            </w:pPr>
            <w:r>
              <w:rPr>
                <w:rFonts w:hint="eastAsia"/>
              </w:rPr>
              <w:t>建筑面积：630m</w:t>
            </w:r>
            <w:r>
              <w:rPr>
                <w:rFonts w:hint="eastAsia"/>
                <w:vertAlign w:val="superscript"/>
              </w:rPr>
              <w:t>2</w:t>
            </w:r>
            <w:r>
              <w:rPr>
                <w:rFonts w:hint="eastAsia"/>
              </w:rPr>
              <w:t>，设置CO</w:t>
            </w:r>
            <w:r>
              <w:rPr>
                <w:rFonts w:hint="eastAsia"/>
                <w:vertAlign w:val="subscript"/>
              </w:rPr>
              <w:t>2</w:t>
            </w:r>
            <w:r>
              <w:rPr>
                <w:rFonts w:hint="eastAsia"/>
              </w:rPr>
              <w:t>回收生产装置1套，包括：CO</w:t>
            </w:r>
            <w:r>
              <w:rPr>
                <w:rFonts w:hint="eastAsia"/>
                <w:vertAlign w:val="subscript"/>
              </w:rPr>
              <w:t>2</w:t>
            </w:r>
            <w:r>
              <w:rPr>
                <w:rFonts w:hint="eastAsia"/>
              </w:rPr>
              <w:t>提纯、干燥和液化等工序</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辅助工程</w:t>
            </w:r>
          </w:p>
        </w:tc>
        <w:tc>
          <w:tcPr>
            <w:tcW w:w="1559" w:type="dxa"/>
            <w:vAlign w:val="center"/>
          </w:tcPr>
          <w:p>
            <w:pPr>
              <w:pStyle w:val="42"/>
              <w:adjustRightInd w:val="0"/>
              <w:textAlignment w:val="baseline"/>
            </w:pPr>
            <w:r>
              <w:rPr>
                <w:rFonts w:hint="eastAsia"/>
              </w:rPr>
              <w:t>综合楼</w:t>
            </w:r>
          </w:p>
        </w:tc>
        <w:tc>
          <w:tcPr>
            <w:tcW w:w="5103" w:type="dxa"/>
            <w:vAlign w:val="center"/>
          </w:tcPr>
          <w:p>
            <w:pPr>
              <w:pStyle w:val="42"/>
              <w:adjustRightInd w:val="0"/>
              <w:textAlignment w:val="baseline"/>
            </w:pPr>
            <w:r>
              <w:rPr>
                <w:rFonts w:hint="eastAsia"/>
              </w:rPr>
              <w:t>建筑面积：510m</w:t>
            </w:r>
            <w:r>
              <w:rPr>
                <w:rFonts w:hint="eastAsia"/>
                <w:vertAlign w:val="superscript"/>
              </w:rPr>
              <w:t>2</w:t>
            </w:r>
            <w:r>
              <w:rPr>
                <w:rFonts w:hint="eastAsia"/>
              </w:rPr>
              <w:t>，主要功能为分析化验、办公</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中央控制室</w:t>
            </w:r>
          </w:p>
        </w:tc>
        <w:tc>
          <w:tcPr>
            <w:tcW w:w="5103" w:type="dxa"/>
            <w:vAlign w:val="center"/>
          </w:tcPr>
          <w:p>
            <w:pPr>
              <w:pStyle w:val="42"/>
              <w:adjustRightInd w:val="0"/>
              <w:textAlignment w:val="baseline"/>
            </w:pPr>
            <w:r>
              <w:rPr>
                <w:rFonts w:hint="eastAsia"/>
              </w:rPr>
              <w:t>建筑面积：725m</w:t>
            </w:r>
            <w:r>
              <w:rPr>
                <w:rFonts w:hint="eastAsia"/>
                <w:vertAlign w:val="superscript"/>
              </w:rPr>
              <w:t>2</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公用工程</w:t>
            </w:r>
          </w:p>
        </w:tc>
        <w:tc>
          <w:tcPr>
            <w:tcW w:w="1559" w:type="dxa"/>
            <w:vAlign w:val="center"/>
          </w:tcPr>
          <w:p>
            <w:pPr>
              <w:pStyle w:val="42"/>
              <w:adjustRightInd w:val="0"/>
              <w:textAlignment w:val="baseline"/>
            </w:pPr>
            <w:r>
              <w:rPr>
                <w:rFonts w:hint="eastAsia"/>
              </w:rPr>
              <w:t>给水</w:t>
            </w:r>
          </w:p>
        </w:tc>
        <w:tc>
          <w:tcPr>
            <w:tcW w:w="5103" w:type="dxa"/>
            <w:vAlign w:val="center"/>
          </w:tcPr>
          <w:p>
            <w:pPr>
              <w:pStyle w:val="42"/>
              <w:adjustRightInd w:val="0"/>
              <w:textAlignment w:val="baseline"/>
            </w:pPr>
            <w:r>
              <w:rPr>
                <w:rFonts w:hint="eastAsia"/>
              </w:rPr>
              <w:t>项目用水量2000.6m</w:t>
            </w:r>
            <w:r>
              <w:rPr>
                <w:rFonts w:hint="eastAsia"/>
                <w:vertAlign w:val="superscript"/>
              </w:rPr>
              <w:t>3</w:t>
            </w:r>
            <w:r>
              <w:rPr>
                <w:rFonts w:hint="eastAsia"/>
              </w:rPr>
              <w:t>/d，生产用水、生活用水和消防用水均依托园区供水系统</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排水</w:t>
            </w:r>
          </w:p>
        </w:tc>
        <w:tc>
          <w:tcPr>
            <w:tcW w:w="5103" w:type="dxa"/>
            <w:vAlign w:val="center"/>
          </w:tcPr>
          <w:p>
            <w:pPr>
              <w:pStyle w:val="42"/>
              <w:adjustRightInd w:val="0"/>
              <w:textAlignment w:val="baseline"/>
            </w:pPr>
            <w:r>
              <w:rPr>
                <w:rFonts w:hint="eastAsia"/>
              </w:rPr>
              <w:t>实施“雨污分流、污污分流”制，厂区内生活污水集中收集经“化粪池”处理后排入园区污水管网；生产废水集中收集，经厂区内废水处理站处理达标后排入园区污水管网；初期雨水集中收集排入事故池，再分批打入厂区废水处理站处理达标后排入园区污水管网，之后的雨水经“雨污切换阀”切入雨水管网，集中收集排入园区雨水系统</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供电</w:t>
            </w:r>
          </w:p>
        </w:tc>
        <w:tc>
          <w:tcPr>
            <w:tcW w:w="5103" w:type="dxa"/>
            <w:vAlign w:val="center"/>
          </w:tcPr>
          <w:p>
            <w:pPr>
              <w:pStyle w:val="42"/>
              <w:adjustRightInd w:val="0"/>
              <w:textAlignment w:val="baseline"/>
            </w:pPr>
            <w:r>
              <w:rPr>
                <w:rFonts w:hint="eastAsia"/>
              </w:rPr>
              <w:t>项目用电设备安装总容量7423kW，由恩力吉公司变电所各引入2回10KV电源作为外部电源；项目设置变电所，同时配套设置一台ORC余热发电机组，接入变电所10kV母线段作为补充电源。</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循环冷却水</w:t>
            </w:r>
          </w:p>
        </w:tc>
        <w:tc>
          <w:tcPr>
            <w:tcW w:w="5103" w:type="dxa"/>
            <w:vAlign w:val="center"/>
          </w:tcPr>
          <w:p>
            <w:pPr>
              <w:pStyle w:val="42"/>
              <w:adjustRightInd w:val="0"/>
              <w:textAlignment w:val="baseline"/>
            </w:pPr>
            <w:r>
              <w:rPr>
                <w:rFonts w:hint="eastAsia"/>
              </w:rPr>
              <w:t>项目循环冷却水用量约1020m</w:t>
            </w:r>
            <w:r>
              <w:rPr>
                <w:rFonts w:hint="eastAsia"/>
                <w:vertAlign w:val="superscript"/>
              </w:rPr>
              <w:t>3</w:t>
            </w:r>
            <w:r>
              <w:rPr>
                <w:rFonts w:hint="eastAsia"/>
              </w:rPr>
              <w:t>/h，依托恩力吉公司现有循环水系统供给，恩力吉公司现有循环水站设计规模24000m</w:t>
            </w:r>
            <w:r>
              <w:rPr>
                <w:rFonts w:hint="eastAsia"/>
                <w:vertAlign w:val="superscript"/>
              </w:rPr>
              <w:t>3</w:t>
            </w:r>
            <w:r>
              <w:rPr>
                <w:rFonts w:hint="eastAsia"/>
              </w:rPr>
              <w:t>/h</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脱盐水</w:t>
            </w:r>
          </w:p>
        </w:tc>
        <w:tc>
          <w:tcPr>
            <w:tcW w:w="5103" w:type="dxa"/>
            <w:vAlign w:val="center"/>
          </w:tcPr>
          <w:p>
            <w:pPr>
              <w:pStyle w:val="42"/>
              <w:adjustRightInd w:val="0"/>
              <w:textAlignment w:val="baseline"/>
            </w:pPr>
            <w:r>
              <w:rPr>
                <w:rFonts w:hint="eastAsia"/>
              </w:rPr>
              <w:t>项目脱盐水用量约58.76m</w:t>
            </w:r>
            <w:r>
              <w:rPr>
                <w:rFonts w:hint="eastAsia"/>
                <w:vertAlign w:val="superscript"/>
              </w:rPr>
              <w:t>3</w:t>
            </w:r>
            <w:r>
              <w:rPr>
                <w:rFonts w:hint="eastAsia"/>
              </w:rPr>
              <w:t>/h，依托恩力吉公司现有脱盐水系统供给</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供热</w:t>
            </w:r>
          </w:p>
        </w:tc>
        <w:tc>
          <w:tcPr>
            <w:tcW w:w="5103" w:type="dxa"/>
            <w:vAlign w:val="center"/>
          </w:tcPr>
          <w:p>
            <w:pPr>
              <w:pStyle w:val="42"/>
              <w:adjustRightInd w:val="0"/>
              <w:textAlignment w:val="baseline"/>
            </w:pPr>
            <w:r>
              <w:rPr>
                <w:rFonts w:hint="eastAsia"/>
              </w:rPr>
              <w:t>装置开车时蒸汽依托飞华公司供给；项目设置热交换器3台回收余热产蒸汽，供蒸汽规模分别为：50t/h、25t/h和5t/h，正常工况下可满足装置内蒸汽需求</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仪表空气</w:t>
            </w:r>
          </w:p>
        </w:tc>
        <w:tc>
          <w:tcPr>
            <w:tcW w:w="5103" w:type="dxa"/>
            <w:vAlign w:val="center"/>
          </w:tcPr>
          <w:p>
            <w:pPr>
              <w:pStyle w:val="42"/>
              <w:adjustRightInd w:val="0"/>
              <w:textAlignment w:val="baseline"/>
            </w:pPr>
            <w:r>
              <w:rPr>
                <w:rFonts w:hint="eastAsia"/>
              </w:rPr>
              <w:t>仪表空气用量约700Nm</w:t>
            </w:r>
            <w:r>
              <w:rPr>
                <w:rFonts w:hint="eastAsia"/>
                <w:vertAlign w:val="superscript"/>
              </w:rPr>
              <w:t>3</w:t>
            </w:r>
            <w:r>
              <w:rPr>
                <w:rFonts w:hint="eastAsia"/>
              </w:rPr>
              <w:t>/h，项目不设置空压站，仪表空气依托梅塞尔公司空压站供给</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环保工程</w:t>
            </w:r>
          </w:p>
        </w:tc>
        <w:tc>
          <w:tcPr>
            <w:tcW w:w="1559" w:type="dxa"/>
            <w:vAlign w:val="center"/>
          </w:tcPr>
          <w:p>
            <w:pPr>
              <w:pStyle w:val="42"/>
              <w:adjustRightInd w:val="0"/>
              <w:textAlignment w:val="baseline"/>
            </w:pPr>
            <w:r>
              <w:rPr>
                <w:rFonts w:hint="eastAsia"/>
              </w:rPr>
              <w:t>废气治理设施</w:t>
            </w:r>
          </w:p>
        </w:tc>
        <w:tc>
          <w:tcPr>
            <w:tcW w:w="5103" w:type="dxa"/>
            <w:vAlign w:val="center"/>
          </w:tcPr>
          <w:p>
            <w:pPr>
              <w:pStyle w:val="42"/>
              <w:adjustRightInd w:val="0"/>
              <w:textAlignment w:val="baseline"/>
            </w:pPr>
            <w:r>
              <w:rPr>
                <w:rFonts w:hint="eastAsia"/>
              </w:rPr>
              <w:t>氨洗塔：项目设置氨洗塔1套，闪蒸槽闪蒸气和氨分离器驰放气集中收集，排入氨洗塔采用脱盐水洗涤后，排入一段转化炉作为燃料；</w:t>
            </w:r>
          </w:p>
          <w:p>
            <w:pPr>
              <w:pStyle w:val="42"/>
              <w:adjustRightInd w:val="0"/>
              <w:textAlignment w:val="baseline"/>
            </w:pPr>
            <w:r>
              <w:rPr>
                <w:rFonts w:hint="eastAsia"/>
              </w:rPr>
              <w:t>一段转化炉燃烧烟气：集中收集60m高空排放；</w:t>
            </w:r>
          </w:p>
          <w:p>
            <w:pPr>
              <w:pStyle w:val="42"/>
              <w:adjustRightInd w:val="0"/>
              <w:textAlignment w:val="baseline"/>
            </w:pPr>
            <w:r>
              <w:rPr>
                <w:rFonts w:hint="eastAsia"/>
              </w:rPr>
              <w:t>废水处理站臭气处理、排放系统：废水处理站产臭构筑物加盖密闭，臭气集中收集，采用“活性炭吸附”处理达标后，经15m高排气筒排放；</w:t>
            </w:r>
          </w:p>
          <w:p>
            <w:pPr>
              <w:pStyle w:val="42"/>
              <w:adjustRightInd w:val="0"/>
              <w:textAlignment w:val="baseline"/>
            </w:pPr>
            <w:r>
              <w:rPr>
                <w:rFonts w:hint="eastAsia"/>
              </w:rPr>
              <w:t>事故应急火炬系统：依托重庆化医恩力吉投资有限责任公司拟建火炬系统（火炬装置计划于2022年3月31日试车）。</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废水处理设施</w:t>
            </w:r>
          </w:p>
        </w:tc>
        <w:tc>
          <w:tcPr>
            <w:tcW w:w="5103" w:type="dxa"/>
            <w:vAlign w:val="center"/>
          </w:tcPr>
          <w:p>
            <w:pPr>
              <w:pStyle w:val="42"/>
              <w:adjustRightInd w:val="0"/>
              <w:textAlignment w:val="baseline"/>
            </w:pPr>
            <w:r>
              <w:rPr>
                <w:rFonts w:hint="eastAsia"/>
              </w:rPr>
              <w:t>厂区内设置处理规模为20m</w:t>
            </w:r>
            <w:r>
              <w:rPr>
                <w:rFonts w:hint="eastAsia"/>
                <w:vertAlign w:val="superscript"/>
              </w:rPr>
              <w:t>3</w:t>
            </w:r>
            <w:r>
              <w:rPr>
                <w:rFonts w:hint="eastAsia"/>
              </w:rPr>
              <w:t>/d的废水处理站1座，采用SBR生化处理工艺</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危险废物暂存间</w:t>
            </w:r>
          </w:p>
        </w:tc>
        <w:tc>
          <w:tcPr>
            <w:tcW w:w="5103" w:type="dxa"/>
            <w:vAlign w:val="center"/>
          </w:tcPr>
          <w:p>
            <w:pPr>
              <w:pStyle w:val="42"/>
              <w:adjustRightInd w:val="0"/>
              <w:textAlignment w:val="baseline"/>
            </w:pPr>
            <w:r>
              <w:rPr>
                <w:rFonts w:hint="eastAsia"/>
              </w:rPr>
              <w:t>建筑面积：175m</w:t>
            </w:r>
            <w:r>
              <w:rPr>
                <w:rFonts w:hint="eastAsia"/>
                <w:vertAlign w:val="superscript"/>
              </w:rPr>
              <w:t>2</w:t>
            </w:r>
            <w:r>
              <w:rPr>
                <w:rFonts w:hint="eastAsia"/>
              </w:rPr>
              <w:t>，地面</w:t>
            </w:r>
            <w:r>
              <w:rPr>
                <w:rFonts w:hint="eastAsia"/>
                <w:szCs w:val="21"/>
              </w:rPr>
              <w:t>“防腐、防渗”，</w:t>
            </w:r>
            <w:r>
              <w:rPr>
                <w:rFonts w:hint="eastAsia"/>
              </w:rPr>
              <w:t>采取“防风、防雨、防晒”三防措施，配套设置导流设施</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事故池</w:t>
            </w:r>
          </w:p>
        </w:tc>
        <w:tc>
          <w:tcPr>
            <w:tcW w:w="5103" w:type="dxa"/>
            <w:vAlign w:val="center"/>
          </w:tcPr>
          <w:p>
            <w:pPr>
              <w:pStyle w:val="42"/>
              <w:adjustRightInd w:val="0"/>
              <w:textAlignment w:val="baseline"/>
            </w:pPr>
            <w:r>
              <w:rPr>
                <w:rFonts w:hint="eastAsia"/>
              </w:rPr>
              <w:t>有效容积1850m</w:t>
            </w:r>
            <w:r>
              <w:rPr>
                <w:rFonts w:hint="eastAsia"/>
                <w:vertAlign w:val="superscript"/>
              </w:rPr>
              <w:t>3</w:t>
            </w:r>
            <w:r>
              <w:rPr>
                <w:rFonts w:hint="eastAsia"/>
              </w:rPr>
              <w:t>，配套设置“雨污切换阀”</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水喷淋装置</w:t>
            </w:r>
          </w:p>
        </w:tc>
        <w:tc>
          <w:tcPr>
            <w:tcW w:w="5103" w:type="dxa"/>
            <w:vAlign w:val="center"/>
          </w:tcPr>
          <w:p>
            <w:pPr>
              <w:pStyle w:val="42"/>
              <w:adjustRightInd w:val="0"/>
              <w:textAlignment w:val="baseline"/>
            </w:pPr>
            <w:r>
              <w:rPr>
                <w:rFonts w:hint="eastAsia"/>
              </w:rPr>
              <w:t>合成氨装置区设置水喷淋吸收设施</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消防水池</w:t>
            </w:r>
          </w:p>
        </w:tc>
        <w:tc>
          <w:tcPr>
            <w:tcW w:w="5103" w:type="dxa"/>
            <w:vAlign w:val="center"/>
          </w:tcPr>
          <w:p>
            <w:pPr>
              <w:pStyle w:val="42"/>
              <w:adjustRightInd w:val="0"/>
              <w:textAlignment w:val="baseline"/>
            </w:pPr>
            <w:r>
              <w:rPr>
                <w:rFonts w:hint="eastAsia"/>
              </w:rPr>
              <w:t>依托飞华公司现有有效容积1700m</w:t>
            </w:r>
            <w:r>
              <w:rPr>
                <w:rFonts w:hint="eastAsia"/>
                <w:vertAlign w:val="superscript"/>
              </w:rPr>
              <w:t>3</w:t>
            </w:r>
            <w:r>
              <w:rPr>
                <w:rFonts w:hint="eastAsia"/>
              </w:rPr>
              <w:t>的消防水池</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储运工程</w:t>
            </w:r>
          </w:p>
        </w:tc>
        <w:tc>
          <w:tcPr>
            <w:tcW w:w="1559" w:type="dxa"/>
            <w:vAlign w:val="center"/>
          </w:tcPr>
          <w:p>
            <w:pPr>
              <w:pStyle w:val="42"/>
              <w:adjustRightInd w:val="0"/>
              <w:textAlignment w:val="baseline"/>
            </w:pPr>
            <w:r>
              <w:rPr>
                <w:rFonts w:hint="eastAsia"/>
              </w:rPr>
              <w:t>CO</w:t>
            </w:r>
            <w:r>
              <w:rPr>
                <w:rFonts w:hint="eastAsia"/>
                <w:vertAlign w:val="subscript"/>
              </w:rPr>
              <w:t>2</w:t>
            </w:r>
            <w:r>
              <w:rPr>
                <w:rFonts w:hint="eastAsia"/>
              </w:rPr>
              <w:t>储罐</w:t>
            </w:r>
          </w:p>
        </w:tc>
        <w:tc>
          <w:tcPr>
            <w:tcW w:w="5103" w:type="dxa"/>
            <w:vAlign w:val="center"/>
          </w:tcPr>
          <w:p>
            <w:pPr>
              <w:pStyle w:val="42"/>
              <w:adjustRightInd w:val="0"/>
              <w:textAlignment w:val="baseline"/>
            </w:pPr>
            <w:r>
              <w:rPr>
                <w:rFonts w:hint="eastAsia"/>
              </w:rPr>
              <w:t>CO</w:t>
            </w:r>
            <w:r>
              <w:rPr>
                <w:rFonts w:hint="eastAsia"/>
                <w:vertAlign w:val="subscript"/>
              </w:rPr>
              <w:t>2</w:t>
            </w:r>
            <w:r>
              <w:rPr>
                <w:rFonts w:hint="eastAsia"/>
              </w:rPr>
              <w:t>球罐3个，设计储存温度-30</w:t>
            </w:r>
            <w:r>
              <w:rPr>
                <w:rFonts w:hint="eastAsia" w:ascii="宋体" w:hAnsi="宋体"/>
              </w:rPr>
              <w:t>℃</w:t>
            </w:r>
            <w:r>
              <w:rPr>
                <w:rFonts w:hint="eastAsia"/>
              </w:rPr>
              <w:t>，储罐规模：</w:t>
            </w:r>
          </w:p>
          <w:p>
            <w:pPr>
              <w:pStyle w:val="42"/>
              <w:adjustRightInd w:val="0"/>
              <w:textAlignment w:val="baseline"/>
            </w:pPr>
            <w:r>
              <w:rPr>
                <w:rFonts w:hint="eastAsia"/>
              </w:rPr>
              <w:t>1000m</w:t>
            </w:r>
            <w:r>
              <w:rPr>
                <w:rFonts w:hint="eastAsia"/>
                <w:vertAlign w:val="superscript"/>
              </w:rPr>
              <w:t>3</w:t>
            </w:r>
            <w:r>
              <w:rPr>
                <w:rFonts w:hint="eastAsia"/>
              </w:rPr>
              <w:t>×2；650m</w:t>
            </w:r>
            <w:r>
              <w:rPr>
                <w:rFonts w:hint="eastAsia"/>
                <w:vertAlign w:val="superscript"/>
              </w:rPr>
              <w:t>3</w:t>
            </w:r>
            <w:r>
              <w:rPr>
                <w:rFonts w:hint="eastAsia"/>
              </w:rPr>
              <w:t>×1</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液氨输送管道</w:t>
            </w:r>
          </w:p>
        </w:tc>
        <w:tc>
          <w:tcPr>
            <w:tcW w:w="5103" w:type="dxa"/>
            <w:vAlign w:val="center"/>
          </w:tcPr>
          <w:p>
            <w:pPr>
              <w:pStyle w:val="42"/>
              <w:adjustRightInd w:val="0"/>
              <w:textAlignment w:val="baseline"/>
            </w:pPr>
            <w:r>
              <w:rPr>
                <w:rFonts w:hint="eastAsia"/>
              </w:rPr>
              <w:t>内径15cm，管材：低温碳钢，设计压力2.0MPa、温度50</w:t>
            </w:r>
            <w:r>
              <w:rPr>
                <w:rFonts w:hint="eastAsia" w:ascii="宋体" w:hAnsi="宋体"/>
              </w:rPr>
              <w:t>℃</w:t>
            </w:r>
            <w:r>
              <w:rPr>
                <w:rFonts w:hint="eastAsia"/>
              </w:rPr>
              <w:t>，操作压力1.6MPa、温度10</w:t>
            </w:r>
            <w:r>
              <w:rPr>
                <w:rFonts w:hint="eastAsia" w:ascii="宋体" w:hAnsi="宋体"/>
              </w:rPr>
              <w:t>℃</w:t>
            </w:r>
          </w:p>
        </w:tc>
        <w:tc>
          <w:tcPr>
            <w:tcW w:w="759" w:type="dxa"/>
            <w:vAlign w:val="center"/>
          </w:tcPr>
          <w:p>
            <w:pPr>
              <w:pStyle w:val="42"/>
              <w:adjustRightInd w:val="0"/>
              <w:textAlignment w:val="baseline"/>
            </w:pPr>
            <w:r>
              <w:rPr>
                <w:rFonts w:hint="eastAsia"/>
              </w:rPr>
              <w:t>新建</w:t>
            </w:r>
          </w:p>
        </w:tc>
      </w:tr>
    </w:tbl>
    <w:p>
      <w:pPr>
        <w:pStyle w:val="3"/>
        <w:spacing w:before="156" w:after="156"/>
      </w:pPr>
      <w:bookmarkStart w:id="47" w:name="_Toc84844227"/>
      <w:r>
        <w:rPr>
          <w:rFonts w:hint="eastAsia"/>
        </w:rPr>
        <w:t>2.5项目依托情况及依托可行性分析</w:t>
      </w:r>
      <w:bookmarkEnd w:id="47"/>
    </w:p>
    <w:p>
      <w:pPr>
        <w:ind w:firstLine="480"/>
      </w:pPr>
      <w:r>
        <w:rPr>
          <w:rFonts w:hint="eastAsia"/>
        </w:rPr>
        <w:t>拟建项目循环水系统、脱盐水站和消防水池等公辅工程依托重庆化医恩力吉投资有限责任公司或重庆飞华环保科技有限公司现有设施，其依托可行性详见下表2.5-2。</w:t>
      </w:r>
    </w:p>
    <w:p>
      <w:pPr>
        <w:pStyle w:val="41"/>
      </w:pPr>
      <w:r>
        <w:rPr>
          <w:rFonts w:hint="eastAsia"/>
        </w:rPr>
        <w:t>表2.5-2  拟建项目依托工程及其可行性分析一览表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09"/>
        <w:gridCol w:w="1276"/>
        <w:gridCol w:w="453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42"/>
              <w:adjustRightInd w:val="0"/>
              <w:textAlignment w:val="baseline"/>
            </w:pPr>
            <w:r>
              <w:rPr>
                <w:rFonts w:hint="eastAsia"/>
              </w:rPr>
              <w:t>序号</w:t>
            </w:r>
          </w:p>
        </w:tc>
        <w:tc>
          <w:tcPr>
            <w:tcW w:w="1985" w:type="dxa"/>
            <w:gridSpan w:val="2"/>
            <w:vAlign w:val="center"/>
          </w:tcPr>
          <w:p>
            <w:pPr>
              <w:pStyle w:val="42"/>
              <w:adjustRightInd w:val="0"/>
              <w:textAlignment w:val="baseline"/>
            </w:pPr>
            <w:r>
              <w:rPr>
                <w:rFonts w:hint="eastAsia"/>
              </w:rPr>
              <w:t>工程名称</w:t>
            </w:r>
          </w:p>
        </w:tc>
        <w:tc>
          <w:tcPr>
            <w:tcW w:w="4536" w:type="dxa"/>
            <w:vAlign w:val="center"/>
          </w:tcPr>
          <w:p>
            <w:pPr>
              <w:pStyle w:val="42"/>
              <w:adjustRightInd w:val="0"/>
              <w:textAlignment w:val="baseline"/>
            </w:pPr>
            <w:r>
              <w:rPr>
                <w:rFonts w:hint="eastAsia"/>
              </w:rPr>
              <w:t>依托情况</w:t>
            </w:r>
          </w:p>
        </w:tc>
        <w:tc>
          <w:tcPr>
            <w:tcW w:w="1326" w:type="dxa"/>
            <w:vAlign w:val="center"/>
          </w:tcPr>
          <w:p>
            <w:pPr>
              <w:pStyle w:val="42"/>
              <w:adjustRightInd w:val="0"/>
              <w:textAlignment w:val="baseline"/>
            </w:pPr>
            <w:r>
              <w:rPr>
                <w:rFonts w:hint="eastAsia"/>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pPr>
            <w:r>
              <w:rPr>
                <w:rFonts w:hint="eastAsia"/>
              </w:rPr>
              <w:t>1</w:t>
            </w:r>
          </w:p>
        </w:tc>
        <w:tc>
          <w:tcPr>
            <w:tcW w:w="709" w:type="dxa"/>
            <w:vMerge w:val="restart"/>
            <w:vAlign w:val="center"/>
          </w:tcPr>
          <w:p>
            <w:pPr>
              <w:pStyle w:val="42"/>
              <w:adjustRightInd w:val="0"/>
              <w:textAlignment w:val="baseline"/>
            </w:pPr>
            <w:r>
              <w:rPr>
                <w:rFonts w:hint="eastAsia"/>
              </w:rPr>
              <w:t>公用工程</w:t>
            </w:r>
          </w:p>
        </w:tc>
        <w:tc>
          <w:tcPr>
            <w:tcW w:w="1276" w:type="dxa"/>
            <w:vAlign w:val="center"/>
          </w:tcPr>
          <w:p>
            <w:pPr>
              <w:pStyle w:val="42"/>
              <w:adjustRightInd w:val="0"/>
              <w:textAlignment w:val="baseline"/>
            </w:pPr>
            <w:r>
              <w:rPr>
                <w:rFonts w:hint="eastAsia"/>
              </w:rPr>
              <w:t>循环水站</w:t>
            </w:r>
          </w:p>
        </w:tc>
        <w:tc>
          <w:tcPr>
            <w:tcW w:w="4536" w:type="dxa"/>
            <w:vAlign w:val="center"/>
          </w:tcPr>
          <w:p>
            <w:pPr>
              <w:pStyle w:val="42"/>
              <w:adjustRightInd w:val="0"/>
              <w:textAlignment w:val="baseline"/>
            </w:pPr>
            <w:r>
              <w:rPr>
                <w:rFonts w:hint="eastAsia"/>
              </w:rPr>
              <w:t>本工程循环水用量1020m</w:t>
            </w:r>
            <w:r>
              <w:rPr>
                <w:rFonts w:hint="eastAsia"/>
                <w:vertAlign w:val="superscript"/>
              </w:rPr>
              <w:t>3</w:t>
            </w:r>
            <w:r>
              <w:rPr>
                <w:rFonts w:hint="eastAsia"/>
              </w:rPr>
              <w:t>/h，依托恩力吉公司现有循环水系统供给，恩力吉公司现有循环水站设计规模24000m</w:t>
            </w:r>
            <w:r>
              <w:rPr>
                <w:rFonts w:hint="eastAsia"/>
                <w:vertAlign w:val="superscript"/>
              </w:rPr>
              <w:t>3</w:t>
            </w:r>
            <w:r>
              <w:rPr>
                <w:rFonts w:hint="eastAsia"/>
              </w:rPr>
              <w:t>/h，富裕规模约8400 m</w:t>
            </w:r>
            <w:r>
              <w:rPr>
                <w:rFonts w:hint="eastAsia"/>
                <w:vertAlign w:val="superscript"/>
              </w:rPr>
              <w:t>3</w:t>
            </w:r>
            <w:r>
              <w:rPr>
                <w:rFonts w:hint="eastAsia"/>
              </w:rPr>
              <w:t>/h能满足本工程循环水用水需求</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pPr>
            <w:r>
              <w:rPr>
                <w:rFonts w:hint="eastAsia"/>
              </w:rPr>
              <w:t>脱盐水</w:t>
            </w:r>
          </w:p>
        </w:tc>
        <w:tc>
          <w:tcPr>
            <w:tcW w:w="4536" w:type="dxa"/>
            <w:vAlign w:val="center"/>
          </w:tcPr>
          <w:p>
            <w:pPr>
              <w:pStyle w:val="42"/>
              <w:adjustRightInd w:val="0"/>
              <w:textAlignment w:val="baseline"/>
            </w:pPr>
            <w:r>
              <w:rPr>
                <w:rFonts w:hint="eastAsia"/>
              </w:rPr>
              <w:t>项目脱盐水用量约58.76m</w:t>
            </w:r>
            <w:r>
              <w:rPr>
                <w:rFonts w:hint="eastAsia"/>
                <w:vertAlign w:val="superscript"/>
              </w:rPr>
              <w:t>3</w:t>
            </w:r>
            <w:r>
              <w:rPr>
                <w:rFonts w:hint="eastAsia"/>
              </w:rPr>
              <w:t>/h，依托恩力吉公司现有脱盐水系统供给，恩力吉公司现有脱盐水站设计规模500 m</w:t>
            </w:r>
            <w:r>
              <w:rPr>
                <w:rFonts w:hint="eastAsia"/>
                <w:vertAlign w:val="superscript"/>
              </w:rPr>
              <w:t>3</w:t>
            </w:r>
            <w:r>
              <w:rPr>
                <w:rFonts w:hint="eastAsia"/>
              </w:rPr>
              <w:t>/h，富余量约250m</w:t>
            </w:r>
            <w:r>
              <w:rPr>
                <w:rFonts w:hint="eastAsia"/>
                <w:vertAlign w:val="superscript"/>
              </w:rPr>
              <w:t>3</w:t>
            </w:r>
            <w:r>
              <w:rPr>
                <w:rFonts w:hint="eastAsia"/>
              </w:rPr>
              <w:t>/h能满足本工程脱盐水用水需求</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pPr>
            <w:r>
              <w:rPr>
                <w:rFonts w:hint="eastAsia"/>
              </w:rPr>
              <w:t>供热</w:t>
            </w:r>
          </w:p>
        </w:tc>
        <w:tc>
          <w:tcPr>
            <w:tcW w:w="4536" w:type="dxa"/>
            <w:vAlign w:val="center"/>
          </w:tcPr>
          <w:p>
            <w:pPr>
              <w:pStyle w:val="42"/>
              <w:adjustRightInd w:val="0"/>
              <w:textAlignment w:val="baseline"/>
            </w:pPr>
            <w:r>
              <w:rPr>
                <w:rFonts w:hint="eastAsia"/>
              </w:rPr>
              <w:t>装置开车时蒸汽用量约50t/h，依托飞华公司供给。飞华公司硝酸装置设置50吨/小时燃气快装锅炉，硝酸装置开停车间断运行，本工程与硝酸装置不会同时开停车，因此依托可行</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pPr>
            <w:r>
              <w:rPr>
                <w:rFonts w:hint="eastAsia"/>
              </w:rPr>
              <w:t>给水</w:t>
            </w:r>
          </w:p>
        </w:tc>
        <w:tc>
          <w:tcPr>
            <w:tcW w:w="4536" w:type="dxa"/>
            <w:vAlign w:val="center"/>
          </w:tcPr>
          <w:p>
            <w:pPr>
              <w:pStyle w:val="42"/>
              <w:adjustRightInd w:val="0"/>
              <w:textAlignment w:val="baseline"/>
            </w:pPr>
            <w:r>
              <w:rPr>
                <w:rFonts w:hint="eastAsia"/>
              </w:rPr>
              <w:t>本工程水源依托园区给水系统，由厂区内现有给水管网接入本工程各用水点，其水量和水压均能满足项目建设需求</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pPr>
            <w:r>
              <w:rPr>
                <w:rFonts w:hint="eastAsia"/>
              </w:rPr>
              <w:t>排水</w:t>
            </w:r>
          </w:p>
        </w:tc>
        <w:tc>
          <w:tcPr>
            <w:tcW w:w="4536" w:type="dxa"/>
            <w:vAlign w:val="center"/>
          </w:tcPr>
          <w:p>
            <w:pPr>
              <w:pStyle w:val="42"/>
              <w:adjustRightInd w:val="0"/>
              <w:textAlignment w:val="baseline"/>
            </w:pPr>
            <w:r>
              <w:rPr>
                <w:rFonts w:hint="eastAsia"/>
              </w:rPr>
              <w:t>本工程实施“雨污分流”制，雨水和处理达标的废水分别排入园区雨水管网和污水管网。本工程所在地雨水管网和污水管网已经覆盖，能满足本工程排水要求</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42"/>
              <w:adjustRightInd w:val="0"/>
              <w:textAlignment w:val="baseline"/>
            </w:pPr>
            <w:r>
              <w:rPr>
                <w:rFonts w:hint="eastAsia"/>
              </w:rPr>
              <w:t>2</w:t>
            </w:r>
          </w:p>
        </w:tc>
        <w:tc>
          <w:tcPr>
            <w:tcW w:w="709" w:type="dxa"/>
            <w:vAlign w:val="center"/>
          </w:tcPr>
          <w:p>
            <w:pPr>
              <w:pStyle w:val="42"/>
              <w:adjustRightInd w:val="0"/>
              <w:textAlignment w:val="baseline"/>
            </w:pPr>
            <w:r>
              <w:rPr>
                <w:rFonts w:hint="eastAsia"/>
              </w:rPr>
              <w:t>储运工程</w:t>
            </w:r>
          </w:p>
        </w:tc>
        <w:tc>
          <w:tcPr>
            <w:tcW w:w="1276" w:type="dxa"/>
            <w:vAlign w:val="center"/>
          </w:tcPr>
          <w:p>
            <w:pPr>
              <w:pStyle w:val="42"/>
              <w:adjustRightInd w:val="0"/>
              <w:textAlignment w:val="baseline"/>
            </w:pPr>
            <w:r>
              <w:rPr>
                <w:rFonts w:hint="eastAsia"/>
              </w:rPr>
              <w:t>液氨储罐</w:t>
            </w:r>
          </w:p>
        </w:tc>
        <w:tc>
          <w:tcPr>
            <w:tcW w:w="4536" w:type="dxa"/>
            <w:vAlign w:val="center"/>
          </w:tcPr>
          <w:p>
            <w:pPr>
              <w:pStyle w:val="42"/>
              <w:adjustRightInd w:val="0"/>
              <w:textAlignment w:val="baseline"/>
            </w:pPr>
            <w:r>
              <w:rPr>
                <w:rFonts w:hint="eastAsia"/>
              </w:rPr>
              <w:t>飞华公司现有液氨球罐，储罐规模：2000m</w:t>
            </w:r>
            <w:r>
              <w:rPr>
                <w:rFonts w:hint="eastAsia"/>
                <w:vertAlign w:val="superscript"/>
              </w:rPr>
              <w:t>3</w:t>
            </w:r>
            <w:r>
              <w:rPr>
                <w:rFonts w:hint="eastAsia"/>
              </w:rPr>
              <w:t>×3，储存压力1.6MPa。飞华公司现有液氨储罐主要用于储存硝酸装置原料液氨，本工程建成后产品液氨供硝酸装置作为原料，依托现有液氨储罐合理可行</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pPr>
            <w:r>
              <w:rPr>
                <w:rFonts w:hint="eastAsia"/>
              </w:rPr>
              <w:t>3</w:t>
            </w:r>
          </w:p>
        </w:tc>
        <w:tc>
          <w:tcPr>
            <w:tcW w:w="709" w:type="dxa"/>
            <w:vMerge w:val="restart"/>
            <w:vAlign w:val="center"/>
          </w:tcPr>
          <w:p>
            <w:pPr>
              <w:pStyle w:val="42"/>
              <w:adjustRightInd w:val="0"/>
              <w:textAlignment w:val="baseline"/>
            </w:pPr>
            <w:r>
              <w:rPr>
                <w:rFonts w:hint="eastAsia"/>
              </w:rPr>
              <w:t>园区配套环保及风险防范设施</w:t>
            </w:r>
          </w:p>
        </w:tc>
        <w:tc>
          <w:tcPr>
            <w:tcW w:w="1276" w:type="dxa"/>
            <w:vAlign w:val="center"/>
          </w:tcPr>
          <w:p>
            <w:pPr>
              <w:pStyle w:val="42"/>
              <w:adjustRightInd w:val="0"/>
              <w:textAlignment w:val="baseline"/>
            </w:pPr>
            <w:r>
              <w:rPr>
                <w:rFonts w:hint="eastAsia"/>
              </w:rPr>
              <w:t>园区废水处理站</w:t>
            </w:r>
          </w:p>
        </w:tc>
        <w:tc>
          <w:tcPr>
            <w:tcW w:w="4536" w:type="dxa"/>
            <w:vAlign w:val="center"/>
          </w:tcPr>
          <w:p>
            <w:pPr>
              <w:pStyle w:val="42"/>
              <w:adjustRightInd w:val="0"/>
              <w:textAlignment w:val="baseline"/>
            </w:pPr>
            <w:r>
              <w:rPr>
                <w:szCs w:val="21"/>
              </w:rPr>
              <w:t>已建成，设计处理规模4.0万m</w:t>
            </w:r>
            <w:r>
              <w:rPr>
                <w:szCs w:val="21"/>
                <w:vertAlign w:val="superscript"/>
              </w:rPr>
              <w:t>3</w:t>
            </w:r>
            <w:r>
              <w:rPr>
                <w:szCs w:val="21"/>
              </w:rPr>
              <w:t>/d</w:t>
            </w:r>
            <w:r>
              <w:rPr>
                <w:rFonts w:hint="eastAsia"/>
                <w:szCs w:val="21"/>
              </w:rPr>
              <w:t>，且配套管网已经接至本工程所在区域</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pPr>
            <w:r>
              <w:rPr>
                <w:rFonts w:hint="eastAsia"/>
              </w:rPr>
              <w:t>事故应急火炬系统</w:t>
            </w:r>
          </w:p>
        </w:tc>
        <w:tc>
          <w:tcPr>
            <w:tcW w:w="4536" w:type="dxa"/>
            <w:vAlign w:val="center"/>
          </w:tcPr>
          <w:p>
            <w:pPr>
              <w:pStyle w:val="42"/>
              <w:adjustRightInd w:val="0"/>
              <w:textAlignment w:val="baseline"/>
              <w:rPr>
                <w:szCs w:val="21"/>
              </w:rPr>
            </w:pPr>
            <w:r>
              <w:rPr>
                <w:rFonts w:hint="eastAsia"/>
              </w:rPr>
              <w:t>恩力吉公司拟建火炬装置计划于2022年3月31日试车（本项目投产前），设计过程中考虑本工程使用情况，并且已经签订相关合作意向协议，因此依托可行</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rPr>
                <w:szCs w:val="21"/>
              </w:rPr>
            </w:pPr>
            <w:r>
              <w:rPr>
                <w:szCs w:val="21"/>
              </w:rPr>
              <w:t>事故池</w:t>
            </w:r>
          </w:p>
        </w:tc>
        <w:tc>
          <w:tcPr>
            <w:tcW w:w="4536" w:type="dxa"/>
            <w:vAlign w:val="center"/>
          </w:tcPr>
          <w:p>
            <w:pPr>
              <w:pStyle w:val="42"/>
              <w:adjustRightInd w:val="0"/>
              <w:textAlignment w:val="baseline"/>
            </w:pPr>
            <w:r>
              <w:rPr>
                <w:szCs w:val="21"/>
              </w:rPr>
              <w:t>依托</w:t>
            </w:r>
            <w:r>
              <w:rPr>
                <w:rFonts w:hint="eastAsia"/>
                <w:szCs w:val="21"/>
              </w:rPr>
              <w:t>项目所在地西南侧的1#13</w:t>
            </w:r>
            <w:r>
              <w:rPr>
                <w:szCs w:val="21"/>
              </w:rPr>
              <w:t>000m</w:t>
            </w:r>
            <w:r>
              <w:rPr>
                <w:szCs w:val="21"/>
                <w:vertAlign w:val="superscript"/>
              </w:rPr>
              <w:t>3</w:t>
            </w:r>
            <w:r>
              <w:rPr>
                <w:rFonts w:hint="eastAsia"/>
                <w:szCs w:val="21"/>
              </w:rPr>
              <w:t>事故池和5#中法污水厂20</w:t>
            </w:r>
            <w:r>
              <w:rPr>
                <w:szCs w:val="21"/>
              </w:rPr>
              <w:t>000m</w:t>
            </w:r>
            <w:r>
              <w:rPr>
                <w:szCs w:val="21"/>
                <w:vertAlign w:val="superscript"/>
              </w:rPr>
              <w:t>3</w:t>
            </w:r>
            <w:r>
              <w:rPr>
                <w:rFonts w:hint="eastAsia"/>
                <w:szCs w:val="21"/>
              </w:rPr>
              <w:t>事故池，目前已建成</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rPr>
                <w:szCs w:val="21"/>
              </w:rPr>
            </w:pPr>
            <w:r>
              <w:rPr>
                <w:rFonts w:hint="eastAsia"/>
                <w:szCs w:val="21"/>
              </w:rPr>
              <w:t>污水拦截闸门</w:t>
            </w:r>
          </w:p>
        </w:tc>
        <w:tc>
          <w:tcPr>
            <w:tcW w:w="4536" w:type="dxa"/>
            <w:vAlign w:val="center"/>
          </w:tcPr>
          <w:p>
            <w:pPr>
              <w:pStyle w:val="42"/>
              <w:adjustRightInd w:val="0"/>
              <w:textAlignment w:val="baseline"/>
            </w:pPr>
            <w:r>
              <w:rPr>
                <w:rFonts w:hint="eastAsia"/>
                <w:szCs w:val="21"/>
              </w:rPr>
              <w:t>晏家河支流和排洪沟上设置1#闸门和2#闸门，事故废水拦截量达25万m</w:t>
            </w:r>
            <w:r>
              <w:rPr>
                <w:rFonts w:hint="eastAsia"/>
                <w:szCs w:val="21"/>
                <w:vertAlign w:val="superscript"/>
              </w:rPr>
              <w:t>3</w:t>
            </w:r>
          </w:p>
        </w:tc>
        <w:tc>
          <w:tcPr>
            <w:tcW w:w="1326" w:type="dxa"/>
            <w:vAlign w:val="center"/>
          </w:tcPr>
          <w:p>
            <w:pPr>
              <w:pStyle w:val="42"/>
              <w:adjustRightInd w:val="0"/>
              <w:textAlignment w:val="baseline"/>
            </w:pPr>
            <w:r>
              <w:rPr>
                <w:rFonts w:hint="eastAsia"/>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pPr>
          </w:p>
        </w:tc>
        <w:tc>
          <w:tcPr>
            <w:tcW w:w="709" w:type="dxa"/>
            <w:vMerge w:val="continue"/>
            <w:vAlign w:val="center"/>
          </w:tcPr>
          <w:p>
            <w:pPr>
              <w:pStyle w:val="42"/>
              <w:adjustRightInd w:val="0"/>
              <w:textAlignment w:val="baseline"/>
            </w:pPr>
          </w:p>
        </w:tc>
        <w:tc>
          <w:tcPr>
            <w:tcW w:w="1276" w:type="dxa"/>
            <w:vAlign w:val="center"/>
          </w:tcPr>
          <w:p>
            <w:pPr>
              <w:pStyle w:val="42"/>
              <w:adjustRightInd w:val="0"/>
              <w:textAlignment w:val="baseline"/>
              <w:rPr>
                <w:szCs w:val="21"/>
              </w:rPr>
            </w:pPr>
            <w:r>
              <w:rPr>
                <w:rFonts w:hint="eastAsia"/>
                <w:szCs w:val="21"/>
              </w:rPr>
              <w:t>晏家河闸门</w:t>
            </w:r>
          </w:p>
        </w:tc>
        <w:tc>
          <w:tcPr>
            <w:tcW w:w="4536" w:type="dxa"/>
            <w:vAlign w:val="center"/>
          </w:tcPr>
          <w:p>
            <w:pPr>
              <w:pStyle w:val="42"/>
              <w:adjustRightInd w:val="0"/>
              <w:textAlignment w:val="baseline"/>
            </w:pPr>
            <w:r>
              <w:rPr>
                <w:rFonts w:hint="eastAsia"/>
                <w:szCs w:val="21"/>
              </w:rPr>
              <w:t>晏家河干流上设晏家河闸门，事故废水拦截量达50万m</w:t>
            </w:r>
            <w:r>
              <w:rPr>
                <w:rFonts w:hint="eastAsia"/>
                <w:szCs w:val="21"/>
                <w:vertAlign w:val="superscript"/>
              </w:rPr>
              <w:t>3</w:t>
            </w:r>
          </w:p>
        </w:tc>
        <w:tc>
          <w:tcPr>
            <w:tcW w:w="1326" w:type="dxa"/>
            <w:vAlign w:val="center"/>
          </w:tcPr>
          <w:p>
            <w:pPr>
              <w:pStyle w:val="42"/>
              <w:adjustRightInd w:val="0"/>
              <w:textAlignment w:val="baseline"/>
            </w:pPr>
            <w:r>
              <w:rPr>
                <w:rFonts w:hint="eastAsia"/>
              </w:rPr>
              <w:t>可行</w:t>
            </w:r>
          </w:p>
        </w:tc>
      </w:tr>
    </w:tbl>
    <w:p>
      <w:pPr>
        <w:pStyle w:val="3"/>
        <w:spacing w:before="156" w:after="156"/>
      </w:pPr>
      <w:bookmarkStart w:id="48" w:name="_Toc84844228"/>
      <w:r>
        <w:rPr>
          <w:rFonts w:hint="eastAsia"/>
        </w:rPr>
        <w:t>2.6公用工程</w:t>
      </w:r>
      <w:bookmarkEnd w:id="48"/>
    </w:p>
    <w:p>
      <w:pPr>
        <w:pStyle w:val="4"/>
        <w:spacing w:before="156" w:after="156"/>
      </w:pPr>
      <w:bookmarkStart w:id="49" w:name="_Toc84844229"/>
      <w:r>
        <w:rPr>
          <w:rFonts w:hint="eastAsia"/>
        </w:rPr>
        <w:t>2.6.1给排水</w:t>
      </w:r>
      <w:bookmarkEnd w:id="49"/>
    </w:p>
    <w:p>
      <w:pPr>
        <w:ind w:firstLine="480"/>
      </w:pPr>
      <w:r>
        <w:rPr>
          <w:rFonts w:hint="eastAsia"/>
        </w:rPr>
        <w:t>（1）给水：拟建项目用水量约2000.6m</w:t>
      </w:r>
      <w:r>
        <w:rPr>
          <w:rFonts w:hint="eastAsia"/>
          <w:vertAlign w:val="superscript"/>
        </w:rPr>
        <w:t>3</w:t>
      </w:r>
      <w:r>
        <w:rPr>
          <w:rFonts w:hint="eastAsia"/>
        </w:rPr>
        <w:t>/d，给水水源依托园区供水系统，厂区内呈枝状布置生活给水管和生产给水管，其中生活给水主干管管径为DN80，采用钢骨架聚乙烯复合管；生产给水主要为地坪清洗水，主干管管径为DN100，采用碳钢管；消防给水在厂区内呈环状布置，主干管管径为DN300，采用碳钢管。</w:t>
      </w:r>
    </w:p>
    <w:p>
      <w:pPr>
        <w:ind w:firstLine="480"/>
      </w:pPr>
      <w:r>
        <w:rPr>
          <w:rFonts w:hint="eastAsia"/>
        </w:rPr>
        <w:t>（2）排水：拟建项目排水采用“清污分流”制。排水系统根据清污分流原则，主要分为废水系统、清下水系统和雨水系统。</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废水系统：本项目废水量为14.09m</w:t>
      </w:r>
      <w:r>
        <w:rPr>
          <w:rFonts w:hint="eastAsia"/>
          <w:vertAlign w:val="superscript"/>
        </w:rPr>
        <w:t>3</w:t>
      </w:r>
      <w:r>
        <w:rPr>
          <w:rFonts w:hint="eastAsia"/>
        </w:rPr>
        <w:t>/d，废水管道集中收集经厂区内废水处理站处理达标后排入园区污水管网。</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清下水系统：拟建项目热交换器排水量约190.8 m</w:t>
      </w:r>
      <w:r>
        <w:rPr>
          <w:rFonts w:hint="eastAsia"/>
          <w:vertAlign w:val="superscript"/>
        </w:rPr>
        <w:t>3</w:t>
      </w:r>
      <w:r>
        <w:rPr>
          <w:rFonts w:hint="eastAsia"/>
        </w:rPr>
        <w:t>/d，经清下水管网集中收集，至厂区雨水总排口，经雨水排口排入园区雨水系统。</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雨水系统：厂区内设置雨水管网，并且在排入园区雨水管网前配套设置“雨污切换阀”，雨污切换阀处于常闭状态，降雨初期（考虑前15min）集中收集排入事故池；15min后打开切换阀，雨水集中收集排入园区雨水管网。</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事故废水系统：根据《水体污染防控紧急措施设计导则》的要求,本工程消防事故排水由厂区事故应急池收集。</w:t>
      </w:r>
    </w:p>
    <w:p>
      <w:pPr>
        <w:ind w:firstLine="480"/>
      </w:pPr>
      <w:r>
        <w:rPr>
          <w:rFonts w:hint="eastAsia"/>
        </w:rPr>
        <w:t>本工程厂区东面废水处理站旁设置有效容积为1850m</w:t>
      </w:r>
      <w:r>
        <w:rPr>
          <w:rFonts w:hint="eastAsia"/>
          <w:vertAlign w:val="superscript"/>
        </w:rPr>
        <w:t>3</w:t>
      </w:r>
      <w:r>
        <w:rPr>
          <w:rFonts w:hint="eastAsia"/>
        </w:rPr>
        <w:t>的事故应急池，以满足厂区内初期雨水和事故废水废水的收集需求。应急事故水池为地下式钢筋砼结构，并做防腐防渗处理。初期雨水和事故废水经阀门切换排至事故应急池，再根据实际情况分期分批送至污水处理站经处理达标后排放。</w:t>
      </w:r>
    </w:p>
    <w:p>
      <w:pPr>
        <w:ind w:firstLine="480"/>
      </w:pPr>
      <w:r>
        <w:rPr>
          <w:rFonts w:hint="eastAsia"/>
        </w:rPr>
        <w:t>（3）循环水：本工程循环水用量1020m</w:t>
      </w:r>
      <w:r>
        <w:rPr>
          <w:rFonts w:hint="eastAsia"/>
          <w:vertAlign w:val="superscript"/>
        </w:rPr>
        <w:t>3</w:t>
      </w:r>
      <w:r>
        <w:rPr>
          <w:rFonts w:hint="eastAsia"/>
        </w:rPr>
        <w:t>/h，依托恩力吉公司现有循环水系统供给，恩力吉公司现有循环水站设计规模24000m</w:t>
      </w:r>
      <w:r>
        <w:rPr>
          <w:rFonts w:hint="eastAsia"/>
          <w:vertAlign w:val="superscript"/>
        </w:rPr>
        <w:t>3</w:t>
      </w:r>
      <w:r>
        <w:rPr>
          <w:rFonts w:hint="eastAsia"/>
        </w:rPr>
        <w:t>/h，富裕规模约8400m</w:t>
      </w:r>
      <w:r>
        <w:rPr>
          <w:rFonts w:hint="eastAsia"/>
          <w:vertAlign w:val="superscript"/>
        </w:rPr>
        <w:t>3</w:t>
      </w:r>
      <w:r>
        <w:rPr>
          <w:rFonts w:hint="eastAsia"/>
        </w:rPr>
        <w:t>/h能满足本工程循环水用水需求</w:t>
      </w:r>
    </w:p>
    <w:p>
      <w:pPr>
        <w:ind w:firstLine="480"/>
      </w:pPr>
      <w:r>
        <w:rPr>
          <w:rFonts w:hint="eastAsia"/>
        </w:rPr>
        <w:t>（4）脱盐水：项目脱盐水用量约58.76m</w:t>
      </w:r>
      <w:r>
        <w:rPr>
          <w:rFonts w:hint="eastAsia"/>
          <w:vertAlign w:val="superscript"/>
        </w:rPr>
        <w:t>3</w:t>
      </w:r>
      <w:r>
        <w:rPr>
          <w:rFonts w:hint="eastAsia"/>
        </w:rPr>
        <w:t>/h，依托恩力吉公司现有脱盐水系统供给，恩力吉公司现有脱盐水站设计规模500m</w:t>
      </w:r>
      <w:r>
        <w:rPr>
          <w:rFonts w:hint="eastAsia"/>
          <w:vertAlign w:val="superscript"/>
        </w:rPr>
        <w:t>3</w:t>
      </w:r>
      <w:r>
        <w:rPr>
          <w:rFonts w:hint="eastAsia"/>
        </w:rPr>
        <w:t>/h，富余量约250m</w:t>
      </w:r>
      <w:r>
        <w:rPr>
          <w:rFonts w:hint="eastAsia"/>
          <w:vertAlign w:val="superscript"/>
        </w:rPr>
        <w:t>3</w:t>
      </w:r>
      <w:r>
        <w:rPr>
          <w:rFonts w:hint="eastAsia"/>
        </w:rPr>
        <w:t>/h能满足本工程脱盐水用水需求。</w:t>
      </w:r>
    </w:p>
    <w:p>
      <w:pPr>
        <w:pStyle w:val="4"/>
        <w:spacing w:before="156" w:after="156"/>
      </w:pPr>
      <w:bookmarkStart w:id="50" w:name="_Toc84844230"/>
      <w:r>
        <w:rPr>
          <w:rFonts w:hint="eastAsia"/>
        </w:rPr>
        <w:t>2.6.2供电</w:t>
      </w:r>
      <w:bookmarkEnd w:id="50"/>
    </w:p>
    <w:p>
      <w:pPr>
        <w:ind w:firstLine="480"/>
      </w:pPr>
      <w:r>
        <w:rPr>
          <w:rFonts w:hint="eastAsia"/>
        </w:rPr>
        <w:t>拟建项目用电设备安装总容量7423kW，由恩力吉公司和园区变电所各引入1回10KV电源作为外部电源；项目设置配电室，同时配套设置一台ORC余热发电机组，接入配电室10kV母线段作为补充电源。</w:t>
      </w:r>
    </w:p>
    <w:p>
      <w:pPr>
        <w:pStyle w:val="4"/>
        <w:spacing w:before="156" w:after="156"/>
      </w:pPr>
      <w:bookmarkStart w:id="51" w:name="_Toc84844231"/>
      <w:r>
        <w:rPr>
          <w:rFonts w:hint="eastAsia"/>
        </w:rPr>
        <w:t>2.6.3供热</w:t>
      </w:r>
      <w:bookmarkEnd w:id="51"/>
    </w:p>
    <w:p>
      <w:pPr>
        <w:ind w:firstLine="480"/>
      </w:pPr>
      <w:r>
        <w:rPr>
          <w:rFonts w:hint="eastAsia"/>
        </w:rPr>
        <w:t>拟建项目装置开车时蒸汽用量约50t/h，依托飞华公司供给。飞华公司硝酸装置设置50吨/小时燃气快装锅炉，硝酸装置开停车间断运行，本工程与硝酸装置不会同时开停车，因此依托可行。</w:t>
      </w:r>
    </w:p>
    <w:p>
      <w:pPr>
        <w:ind w:firstLine="480"/>
      </w:pPr>
      <w:r>
        <w:rPr>
          <w:rFonts w:hint="eastAsia"/>
        </w:rPr>
        <w:t>本工程设置50t/h、25t/h和5t/h的热交换器各一套以回收废热产生蒸汽，正常工况下可满足装置内蒸汽需求。</w:t>
      </w:r>
    </w:p>
    <w:p>
      <w:pPr>
        <w:pStyle w:val="4"/>
        <w:spacing w:before="156" w:after="156"/>
      </w:pPr>
      <w:bookmarkStart w:id="52" w:name="_Toc84844232"/>
      <w:r>
        <w:rPr>
          <w:rFonts w:hint="eastAsia"/>
        </w:rPr>
        <w:t>2.6.4仪表空气</w:t>
      </w:r>
      <w:bookmarkEnd w:id="52"/>
    </w:p>
    <w:p>
      <w:pPr>
        <w:ind w:firstLine="480"/>
      </w:pPr>
      <w:r>
        <w:rPr>
          <w:rFonts w:hint="eastAsia"/>
        </w:rPr>
        <w:t>拟建项目仪表空气用量约700Nm</w:t>
      </w:r>
      <w:r>
        <w:rPr>
          <w:rFonts w:hint="eastAsia"/>
          <w:vertAlign w:val="superscript"/>
        </w:rPr>
        <w:t>3</w:t>
      </w:r>
      <w:r>
        <w:rPr>
          <w:rFonts w:hint="eastAsia"/>
        </w:rPr>
        <w:t>/h，项目不设置空压站，仪表空气依托梅塞尔公司空压站供给。</w:t>
      </w:r>
    </w:p>
    <w:p>
      <w:pPr>
        <w:pStyle w:val="3"/>
        <w:spacing w:before="156" w:after="156"/>
      </w:pPr>
      <w:bookmarkStart w:id="53" w:name="_Toc84844233"/>
      <w:r>
        <w:rPr>
          <w:rFonts w:hint="eastAsia"/>
        </w:rPr>
        <w:t>2.7原辅材料及动力消耗</w:t>
      </w:r>
      <w:bookmarkEnd w:id="53"/>
    </w:p>
    <w:p>
      <w:pPr>
        <w:ind w:firstLine="480"/>
      </w:pPr>
      <w:r>
        <w:rPr>
          <w:rFonts w:hint="eastAsia"/>
        </w:rPr>
        <w:t>拟建项目主要原辅材料消耗、供应及动力消耗情况具体如下表2.7-1；天然气和弛放气组分详见下表2.7-2和2.7-3。</w:t>
      </w:r>
    </w:p>
    <w:p>
      <w:pPr>
        <w:pStyle w:val="41"/>
      </w:pPr>
      <w:r>
        <w:rPr>
          <w:rFonts w:hint="eastAsia"/>
        </w:rPr>
        <w:t>原辅材料消耗涉及商业机密，删除。</w:t>
      </w:r>
    </w:p>
    <w:p>
      <w:pPr>
        <w:pStyle w:val="41"/>
      </w:pPr>
      <w:r>
        <w:rPr>
          <w:rFonts w:hint="eastAsia"/>
        </w:rPr>
        <w:t>表2.7-2 天然气气质组分情况一览表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18"/>
        <w:gridCol w:w="2111"/>
        <w:gridCol w:w="266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bookmarkStart w:id="54" w:name="_Hlk492219801"/>
            <w:r>
              <w:t>序号</w:t>
            </w:r>
          </w:p>
        </w:tc>
        <w:tc>
          <w:tcPr>
            <w:tcW w:w="1267" w:type="pct"/>
            <w:vAlign w:val="center"/>
          </w:tcPr>
          <w:p>
            <w:pPr>
              <w:pStyle w:val="42"/>
            </w:pPr>
            <w:r>
              <w:t>天然气组分</w:t>
            </w:r>
          </w:p>
        </w:tc>
        <w:tc>
          <w:tcPr>
            <w:tcW w:w="1600" w:type="pct"/>
            <w:vAlign w:val="center"/>
          </w:tcPr>
          <w:p>
            <w:pPr>
              <w:pStyle w:val="42"/>
            </w:pPr>
            <w:r>
              <w:rPr>
                <w:rFonts w:hint="eastAsia"/>
              </w:rPr>
              <w:t>体积浓度（%）</w:t>
            </w:r>
          </w:p>
        </w:tc>
        <w:tc>
          <w:tcPr>
            <w:tcW w:w="1521" w:type="pct"/>
            <w:vAlign w:val="center"/>
          </w:tcPr>
          <w:p>
            <w:pPr>
              <w:pStyle w:val="42"/>
            </w:pPr>
            <w:r>
              <w:rPr>
                <w:rFonts w:hint="eastAsia"/>
              </w:rPr>
              <w:t>质量浓度（%）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t>1</w:t>
            </w:r>
          </w:p>
        </w:tc>
        <w:tc>
          <w:tcPr>
            <w:tcW w:w="1267" w:type="pct"/>
            <w:vAlign w:val="center"/>
          </w:tcPr>
          <w:p>
            <w:pPr>
              <w:pStyle w:val="42"/>
            </w:pPr>
            <w:r>
              <w:t>CH</w:t>
            </w:r>
            <w:r>
              <w:rPr>
                <w:vertAlign w:val="subscript"/>
              </w:rPr>
              <w:t>4</w:t>
            </w:r>
          </w:p>
        </w:tc>
        <w:tc>
          <w:tcPr>
            <w:tcW w:w="1600" w:type="pct"/>
            <w:vAlign w:val="center"/>
          </w:tcPr>
          <w:p>
            <w:pPr>
              <w:pStyle w:val="42"/>
            </w:pPr>
            <w:r>
              <w:rPr>
                <w:rFonts w:hint="eastAsia"/>
              </w:rPr>
              <w:t>98.21</w:t>
            </w:r>
          </w:p>
        </w:tc>
        <w:tc>
          <w:tcPr>
            <w:tcW w:w="1521" w:type="pct"/>
            <w:vAlign w:val="bottom"/>
          </w:tcPr>
          <w:p>
            <w:pPr>
              <w:pStyle w:val="42"/>
              <w:rPr>
                <w:rFonts w:ascii="宋体" w:hAnsi="宋体" w:cs="宋体"/>
              </w:rPr>
            </w:pPr>
            <w:r>
              <w:rPr>
                <w:rFonts w:hint="eastAsia"/>
              </w:rPr>
              <w:t>95.73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rPr>
                <w:rFonts w:hint="eastAsia"/>
              </w:rPr>
              <w:t>2</w:t>
            </w:r>
          </w:p>
        </w:tc>
        <w:tc>
          <w:tcPr>
            <w:tcW w:w="1267" w:type="pct"/>
            <w:vAlign w:val="center"/>
          </w:tcPr>
          <w:p>
            <w:pPr>
              <w:pStyle w:val="42"/>
            </w:pPr>
            <w:r>
              <w:rPr>
                <w:rFonts w:hint="eastAsia"/>
              </w:rPr>
              <w:t>其他烷烃</w:t>
            </w:r>
          </w:p>
        </w:tc>
        <w:tc>
          <w:tcPr>
            <w:tcW w:w="1600" w:type="pct"/>
            <w:vAlign w:val="center"/>
          </w:tcPr>
          <w:p>
            <w:pPr>
              <w:pStyle w:val="42"/>
            </w:pPr>
            <w:r>
              <w:rPr>
                <w:rFonts w:hint="eastAsia"/>
              </w:rPr>
              <w:t>0.533</w:t>
            </w:r>
          </w:p>
        </w:tc>
        <w:tc>
          <w:tcPr>
            <w:tcW w:w="1521" w:type="pct"/>
            <w:vAlign w:val="bottom"/>
          </w:tcPr>
          <w:p>
            <w:pPr>
              <w:pStyle w:val="42"/>
              <w:rPr>
                <w:rFonts w:ascii="宋体" w:hAnsi="宋体" w:cs="宋体"/>
              </w:rPr>
            </w:pPr>
            <w:r>
              <w:rPr>
                <w:rFonts w:hint="eastAsia"/>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t>3</w:t>
            </w:r>
          </w:p>
        </w:tc>
        <w:tc>
          <w:tcPr>
            <w:tcW w:w="1267" w:type="pct"/>
            <w:vAlign w:val="center"/>
          </w:tcPr>
          <w:p>
            <w:pPr>
              <w:pStyle w:val="42"/>
            </w:pPr>
            <w:r>
              <w:t>C</w:t>
            </w:r>
            <w:r>
              <w:rPr>
                <w:rFonts w:hint="eastAsia"/>
              </w:rPr>
              <w:t>O</w:t>
            </w:r>
            <w:r>
              <w:rPr>
                <w:vertAlign w:val="subscript"/>
              </w:rPr>
              <w:t>2</w:t>
            </w:r>
          </w:p>
        </w:tc>
        <w:tc>
          <w:tcPr>
            <w:tcW w:w="1600" w:type="pct"/>
            <w:vAlign w:val="center"/>
          </w:tcPr>
          <w:p>
            <w:pPr>
              <w:pStyle w:val="42"/>
            </w:pPr>
            <w:r>
              <w:rPr>
                <w:rFonts w:hint="eastAsia"/>
              </w:rPr>
              <w:t>0.462</w:t>
            </w:r>
          </w:p>
        </w:tc>
        <w:tc>
          <w:tcPr>
            <w:tcW w:w="1521" w:type="pct"/>
            <w:vAlign w:val="bottom"/>
          </w:tcPr>
          <w:p>
            <w:pPr>
              <w:pStyle w:val="42"/>
              <w:rPr>
                <w:rFonts w:ascii="宋体" w:hAnsi="宋体" w:cs="宋体"/>
              </w:rPr>
            </w:pPr>
            <w:r>
              <w:rPr>
                <w:rFonts w:hint="eastAsia"/>
              </w:rPr>
              <w:t>1.621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t>4</w:t>
            </w:r>
          </w:p>
        </w:tc>
        <w:tc>
          <w:tcPr>
            <w:tcW w:w="1267" w:type="pct"/>
            <w:vAlign w:val="center"/>
          </w:tcPr>
          <w:p>
            <w:pPr>
              <w:pStyle w:val="42"/>
            </w:pPr>
            <w:r>
              <w:t>N</w:t>
            </w:r>
            <w:r>
              <w:rPr>
                <w:vertAlign w:val="subscript"/>
              </w:rPr>
              <w:t>2</w:t>
            </w:r>
          </w:p>
        </w:tc>
        <w:tc>
          <w:tcPr>
            <w:tcW w:w="1600" w:type="pct"/>
            <w:vAlign w:val="center"/>
          </w:tcPr>
          <w:p>
            <w:pPr>
              <w:pStyle w:val="42"/>
            </w:pPr>
            <w:r>
              <w:rPr>
                <w:rFonts w:hint="eastAsia"/>
              </w:rPr>
              <w:t>0.75</w:t>
            </w:r>
          </w:p>
        </w:tc>
        <w:tc>
          <w:tcPr>
            <w:tcW w:w="1521" w:type="pct"/>
            <w:vAlign w:val="bottom"/>
          </w:tcPr>
          <w:p>
            <w:pPr>
              <w:pStyle w:val="42"/>
              <w:rPr>
                <w:rFonts w:ascii="宋体" w:hAnsi="宋体" w:cs="宋体"/>
              </w:rPr>
            </w:pPr>
            <w:r>
              <w:rPr>
                <w:rFonts w:hint="eastAsia"/>
              </w:rPr>
              <w:t>1.647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t>5</w:t>
            </w:r>
          </w:p>
        </w:tc>
        <w:tc>
          <w:tcPr>
            <w:tcW w:w="1267" w:type="pct"/>
            <w:vAlign w:val="center"/>
          </w:tcPr>
          <w:p>
            <w:pPr>
              <w:pStyle w:val="42"/>
            </w:pPr>
            <w:r>
              <w:rPr>
                <w:rFonts w:hint="eastAsia"/>
              </w:rPr>
              <w:t>总含硫量</w:t>
            </w:r>
          </w:p>
        </w:tc>
        <w:tc>
          <w:tcPr>
            <w:tcW w:w="1600" w:type="pct"/>
            <w:vAlign w:val="center"/>
          </w:tcPr>
          <w:p>
            <w:pPr>
              <w:pStyle w:val="42"/>
            </w:pPr>
            <w:r>
              <w:rPr>
                <w:rFonts w:hint="eastAsia"/>
              </w:rPr>
              <w:t>＜0.1mg/m</w:t>
            </w:r>
            <w:r>
              <w:rPr>
                <w:rFonts w:hint="eastAsia"/>
                <w:vertAlign w:val="superscript"/>
              </w:rPr>
              <w:t>3</w:t>
            </w:r>
          </w:p>
        </w:tc>
        <w:tc>
          <w:tcPr>
            <w:tcW w:w="1521" w:type="pct"/>
            <w:vAlign w:val="bottom"/>
          </w:tcPr>
          <w:p>
            <w:pPr>
              <w:pStyle w:val="42"/>
              <w:rPr>
                <w:rFonts w:ascii="宋体" w:hAnsi="宋体" w:cs="宋体"/>
              </w:rPr>
            </w:pPr>
            <w:r>
              <w:rPr>
                <w:rFonts w:hint="eastAsia"/>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rPr>
                <w:rFonts w:hint="eastAsia"/>
              </w:rPr>
              <w:t>6</w:t>
            </w:r>
          </w:p>
        </w:tc>
        <w:tc>
          <w:tcPr>
            <w:tcW w:w="1267" w:type="pct"/>
            <w:vAlign w:val="center"/>
          </w:tcPr>
          <w:p>
            <w:pPr>
              <w:pStyle w:val="42"/>
            </w:pPr>
            <w:r>
              <w:rPr>
                <w:rFonts w:hint="eastAsia"/>
              </w:rPr>
              <w:t>H</w:t>
            </w:r>
            <w:r>
              <w:rPr>
                <w:rFonts w:hint="eastAsia"/>
                <w:vertAlign w:val="subscript"/>
              </w:rPr>
              <w:t>2</w:t>
            </w:r>
            <w:r>
              <w:rPr>
                <w:rFonts w:hint="eastAsia"/>
              </w:rPr>
              <w:t>S</w:t>
            </w:r>
          </w:p>
        </w:tc>
        <w:tc>
          <w:tcPr>
            <w:tcW w:w="1600" w:type="pct"/>
            <w:vAlign w:val="center"/>
          </w:tcPr>
          <w:p>
            <w:pPr>
              <w:pStyle w:val="42"/>
            </w:pPr>
            <w:r>
              <w:rPr>
                <w:rFonts w:hint="eastAsia"/>
              </w:rPr>
              <w:t>--</w:t>
            </w:r>
          </w:p>
        </w:tc>
        <w:tc>
          <w:tcPr>
            <w:tcW w:w="1521" w:type="pct"/>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rPr>
                <w:rFonts w:hint="eastAsia"/>
              </w:rPr>
              <w:t>7</w:t>
            </w:r>
          </w:p>
        </w:tc>
        <w:tc>
          <w:tcPr>
            <w:tcW w:w="1267" w:type="pct"/>
            <w:vAlign w:val="center"/>
          </w:tcPr>
          <w:p>
            <w:pPr>
              <w:pStyle w:val="42"/>
            </w:pPr>
            <w:r>
              <w:rPr>
                <w:rFonts w:hint="eastAsia"/>
              </w:rPr>
              <w:t>H</w:t>
            </w:r>
            <w:r>
              <w:rPr>
                <w:rFonts w:hint="eastAsia"/>
                <w:vertAlign w:val="subscript"/>
              </w:rPr>
              <w:t>2</w:t>
            </w:r>
          </w:p>
        </w:tc>
        <w:tc>
          <w:tcPr>
            <w:tcW w:w="1600" w:type="pct"/>
            <w:vAlign w:val="center"/>
          </w:tcPr>
          <w:p>
            <w:pPr>
              <w:pStyle w:val="42"/>
            </w:pPr>
            <w:r>
              <w:rPr>
                <w:rFonts w:hint="eastAsia"/>
              </w:rPr>
              <w:t>0.009</w:t>
            </w:r>
          </w:p>
        </w:tc>
        <w:tc>
          <w:tcPr>
            <w:tcW w:w="1521" w:type="pct"/>
            <w:vAlign w:val="bottom"/>
          </w:tcPr>
          <w:p>
            <w:pPr>
              <w:pStyle w:val="42"/>
            </w:pPr>
            <w:r>
              <w:rPr>
                <w:rFonts w:hint="eastAsia"/>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611" w:type="pct"/>
            <w:vAlign w:val="center"/>
          </w:tcPr>
          <w:p>
            <w:pPr>
              <w:pStyle w:val="42"/>
            </w:pPr>
            <w:r>
              <w:rPr>
                <w:rFonts w:hint="eastAsia"/>
              </w:rPr>
              <w:t>7</w:t>
            </w:r>
          </w:p>
        </w:tc>
        <w:tc>
          <w:tcPr>
            <w:tcW w:w="1267" w:type="pct"/>
            <w:vAlign w:val="center"/>
          </w:tcPr>
          <w:p>
            <w:pPr>
              <w:pStyle w:val="42"/>
            </w:pPr>
            <w:r>
              <w:rPr>
                <w:rFonts w:hint="eastAsia"/>
              </w:rPr>
              <w:t>He</w:t>
            </w:r>
          </w:p>
        </w:tc>
        <w:tc>
          <w:tcPr>
            <w:tcW w:w="1600" w:type="pct"/>
            <w:vAlign w:val="center"/>
          </w:tcPr>
          <w:p>
            <w:pPr>
              <w:pStyle w:val="42"/>
            </w:pPr>
            <w:r>
              <w:rPr>
                <w:rFonts w:hint="eastAsia"/>
              </w:rPr>
              <w:t>0.036</w:t>
            </w:r>
          </w:p>
        </w:tc>
        <w:tc>
          <w:tcPr>
            <w:tcW w:w="1521" w:type="pct"/>
            <w:vAlign w:val="bottom"/>
          </w:tcPr>
          <w:p>
            <w:pPr>
              <w:pStyle w:val="42"/>
            </w:pPr>
            <w:r>
              <w:rPr>
                <w:rFonts w:hint="eastAsia"/>
              </w:rPr>
              <w:t>0.01</w:t>
            </w:r>
          </w:p>
        </w:tc>
      </w:tr>
      <w:bookmarkEnd w:id="54"/>
    </w:tbl>
    <w:p>
      <w:pPr>
        <w:pStyle w:val="41"/>
      </w:pPr>
      <w:r>
        <w:rPr>
          <w:rFonts w:hint="eastAsia"/>
        </w:rPr>
        <w:t>表2.7-3 弛放气组分一览表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018"/>
        <w:gridCol w:w="2110"/>
        <w:gridCol w:w="2665"/>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t>序号</w:t>
            </w:r>
          </w:p>
        </w:tc>
        <w:tc>
          <w:tcPr>
            <w:tcW w:w="2110" w:type="dxa"/>
            <w:vAlign w:val="center"/>
          </w:tcPr>
          <w:p>
            <w:pPr>
              <w:pStyle w:val="42"/>
            </w:pPr>
            <w:r>
              <w:rPr>
                <w:rFonts w:hint="eastAsia"/>
              </w:rPr>
              <w:t>弛放气</w:t>
            </w:r>
            <w:r>
              <w:t>组分</w:t>
            </w:r>
          </w:p>
        </w:tc>
        <w:tc>
          <w:tcPr>
            <w:tcW w:w="2665" w:type="dxa"/>
            <w:vAlign w:val="center"/>
          </w:tcPr>
          <w:p>
            <w:pPr>
              <w:pStyle w:val="42"/>
            </w:pPr>
            <w:r>
              <w:rPr>
                <w:rFonts w:hint="eastAsia"/>
              </w:rPr>
              <w:t>体积浓度（%）</w:t>
            </w:r>
          </w:p>
        </w:tc>
        <w:tc>
          <w:tcPr>
            <w:tcW w:w="2533" w:type="dxa"/>
            <w:vAlign w:val="center"/>
          </w:tcPr>
          <w:p>
            <w:pPr>
              <w:pStyle w:val="42"/>
            </w:pPr>
            <w:r>
              <w:rPr>
                <w:rFonts w:hint="eastAsia"/>
              </w:rPr>
              <w:t>质量浓度（%）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t>1</w:t>
            </w:r>
          </w:p>
        </w:tc>
        <w:tc>
          <w:tcPr>
            <w:tcW w:w="2110" w:type="dxa"/>
            <w:vAlign w:val="center"/>
          </w:tcPr>
          <w:p>
            <w:pPr>
              <w:pStyle w:val="42"/>
            </w:pPr>
            <w:r>
              <w:rPr>
                <w:rFonts w:hint="eastAsia"/>
              </w:rPr>
              <w:t>氢气</w:t>
            </w:r>
          </w:p>
        </w:tc>
        <w:tc>
          <w:tcPr>
            <w:tcW w:w="2665" w:type="dxa"/>
            <w:vAlign w:val="center"/>
          </w:tcPr>
          <w:p>
            <w:pPr>
              <w:pStyle w:val="42"/>
            </w:pPr>
            <w:r>
              <w:rPr>
                <w:rFonts w:hint="eastAsia"/>
              </w:rPr>
              <w:t>58.17</w:t>
            </w:r>
          </w:p>
        </w:tc>
        <w:tc>
          <w:tcPr>
            <w:tcW w:w="2533" w:type="dxa"/>
            <w:vAlign w:val="bottom"/>
          </w:tcPr>
          <w:p>
            <w:pPr>
              <w:pStyle w:val="42"/>
              <w:rPr>
                <w:rFonts w:ascii="宋体" w:hAnsi="宋体" w:cs="宋体"/>
              </w:rPr>
            </w:pPr>
            <w:r>
              <w:rPr>
                <w:rFonts w:hint="eastAsia"/>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rPr>
                <w:rFonts w:hint="eastAsia"/>
              </w:rPr>
              <w:t>2</w:t>
            </w:r>
          </w:p>
        </w:tc>
        <w:tc>
          <w:tcPr>
            <w:tcW w:w="2110" w:type="dxa"/>
            <w:vAlign w:val="center"/>
          </w:tcPr>
          <w:p>
            <w:pPr>
              <w:pStyle w:val="42"/>
            </w:pPr>
            <w:r>
              <w:rPr>
                <w:rFonts w:hint="eastAsia"/>
              </w:rPr>
              <w:t>氮气</w:t>
            </w:r>
          </w:p>
        </w:tc>
        <w:tc>
          <w:tcPr>
            <w:tcW w:w="2665" w:type="dxa"/>
            <w:vAlign w:val="center"/>
          </w:tcPr>
          <w:p>
            <w:pPr>
              <w:pStyle w:val="42"/>
            </w:pPr>
            <w:r>
              <w:rPr>
                <w:rFonts w:hint="eastAsia"/>
              </w:rPr>
              <w:t>2.48</w:t>
            </w:r>
          </w:p>
        </w:tc>
        <w:tc>
          <w:tcPr>
            <w:tcW w:w="2533" w:type="dxa"/>
            <w:vAlign w:val="bottom"/>
          </w:tcPr>
          <w:p>
            <w:pPr>
              <w:pStyle w:val="42"/>
              <w:rPr>
                <w:rFonts w:ascii="宋体" w:hAnsi="宋体" w:cs="宋体"/>
              </w:rPr>
            </w:pPr>
            <w:r>
              <w:rPr>
                <w:rFonts w:hint="eastAsi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t>3</w:t>
            </w:r>
          </w:p>
        </w:tc>
        <w:tc>
          <w:tcPr>
            <w:tcW w:w="2110" w:type="dxa"/>
            <w:vAlign w:val="center"/>
          </w:tcPr>
          <w:p>
            <w:pPr>
              <w:pStyle w:val="42"/>
            </w:pPr>
            <w:r>
              <w:rPr>
                <w:rFonts w:hint="eastAsia"/>
              </w:rPr>
              <w:t>氩气</w:t>
            </w:r>
          </w:p>
        </w:tc>
        <w:tc>
          <w:tcPr>
            <w:tcW w:w="2665" w:type="dxa"/>
            <w:vAlign w:val="center"/>
          </w:tcPr>
          <w:p>
            <w:pPr>
              <w:pStyle w:val="42"/>
            </w:pPr>
            <w:r>
              <w:rPr>
                <w:rFonts w:hint="eastAsia"/>
              </w:rPr>
              <w:t>0.06</w:t>
            </w:r>
          </w:p>
        </w:tc>
        <w:tc>
          <w:tcPr>
            <w:tcW w:w="2533" w:type="dxa"/>
            <w:vAlign w:val="bottom"/>
          </w:tcPr>
          <w:p>
            <w:pPr>
              <w:pStyle w:val="42"/>
              <w:rPr>
                <w:rFonts w:ascii="宋体" w:hAnsi="宋体" w:cs="宋体"/>
              </w:rPr>
            </w:pPr>
            <w:r>
              <w:rPr>
                <w:rFonts w:hint="eastAsi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t>4</w:t>
            </w:r>
          </w:p>
        </w:tc>
        <w:tc>
          <w:tcPr>
            <w:tcW w:w="2110" w:type="dxa"/>
            <w:vAlign w:val="center"/>
          </w:tcPr>
          <w:p>
            <w:pPr>
              <w:pStyle w:val="42"/>
            </w:pPr>
            <w:r>
              <w:rPr>
                <w:rFonts w:hint="eastAsia"/>
              </w:rPr>
              <w:t>甲烷</w:t>
            </w:r>
          </w:p>
        </w:tc>
        <w:tc>
          <w:tcPr>
            <w:tcW w:w="2665" w:type="dxa"/>
            <w:vAlign w:val="center"/>
          </w:tcPr>
          <w:p>
            <w:pPr>
              <w:pStyle w:val="42"/>
            </w:pPr>
            <w:r>
              <w:rPr>
                <w:rFonts w:hint="eastAsia"/>
              </w:rPr>
              <w:t>29.57</w:t>
            </w:r>
          </w:p>
        </w:tc>
        <w:tc>
          <w:tcPr>
            <w:tcW w:w="2533" w:type="dxa"/>
            <w:vAlign w:val="bottom"/>
          </w:tcPr>
          <w:p>
            <w:pPr>
              <w:pStyle w:val="42"/>
              <w:rPr>
                <w:rFonts w:ascii="宋体" w:hAnsi="宋体" w:cs="宋体"/>
              </w:rPr>
            </w:pPr>
            <w:r>
              <w:rPr>
                <w:rFonts w:hint="eastAsia"/>
              </w:rPr>
              <w:t>46.31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t>5</w:t>
            </w:r>
          </w:p>
        </w:tc>
        <w:tc>
          <w:tcPr>
            <w:tcW w:w="2110" w:type="dxa"/>
            <w:vAlign w:val="center"/>
          </w:tcPr>
          <w:p>
            <w:pPr>
              <w:pStyle w:val="42"/>
            </w:pPr>
            <w:r>
              <w:rPr>
                <w:rFonts w:hint="eastAsia"/>
              </w:rPr>
              <w:t>一氧化碳</w:t>
            </w:r>
          </w:p>
        </w:tc>
        <w:tc>
          <w:tcPr>
            <w:tcW w:w="2665" w:type="dxa"/>
            <w:vAlign w:val="center"/>
          </w:tcPr>
          <w:p>
            <w:pPr>
              <w:pStyle w:val="42"/>
            </w:pPr>
            <w:r>
              <w:rPr>
                <w:rFonts w:hint="eastAsia"/>
              </w:rPr>
              <w:t>3.63</w:t>
            </w:r>
          </w:p>
        </w:tc>
        <w:tc>
          <w:tcPr>
            <w:tcW w:w="2533" w:type="dxa"/>
            <w:vAlign w:val="bottom"/>
          </w:tcPr>
          <w:p>
            <w:pPr>
              <w:pStyle w:val="42"/>
              <w:rPr>
                <w:rFonts w:ascii="宋体" w:hAnsi="宋体" w:cs="宋体"/>
              </w:rPr>
            </w:pPr>
            <w:r>
              <w:rPr>
                <w:rFonts w:hint="eastAsia"/>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rPr>
                <w:rFonts w:hint="eastAsia"/>
              </w:rPr>
              <w:t>6</w:t>
            </w:r>
          </w:p>
        </w:tc>
        <w:tc>
          <w:tcPr>
            <w:tcW w:w="2110" w:type="dxa"/>
            <w:vAlign w:val="center"/>
          </w:tcPr>
          <w:p>
            <w:pPr>
              <w:pStyle w:val="42"/>
            </w:pPr>
            <w:r>
              <w:rPr>
                <w:rFonts w:hint="eastAsia"/>
              </w:rPr>
              <w:t>二氧化碳</w:t>
            </w:r>
          </w:p>
        </w:tc>
        <w:tc>
          <w:tcPr>
            <w:tcW w:w="2665" w:type="dxa"/>
            <w:vAlign w:val="center"/>
          </w:tcPr>
          <w:p>
            <w:pPr>
              <w:pStyle w:val="42"/>
            </w:pPr>
            <w:r>
              <w:rPr>
                <w:rFonts w:hint="eastAsia"/>
              </w:rPr>
              <w:t>5.4</w:t>
            </w:r>
          </w:p>
        </w:tc>
        <w:tc>
          <w:tcPr>
            <w:tcW w:w="2533" w:type="dxa"/>
            <w:vAlign w:val="bottom"/>
          </w:tcPr>
          <w:p>
            <w:pPr>
              <w:pStyle w:val="42"/>
              <w:rPr>
                <w:rFonts w:ascii="宋体" w:hAnsi="宋体" w:cs="宋体"/>
              </w:rPr>
            </w:pPr>
            <w:r>
              <w:rPr>
                <w:rFonts w:hint="eastAsia"/>
              </w:rPr>
              <w:t>23.26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rPr>
                <w:rFonts w:hint="eastAsia"/>
              </w:rPr>
              <w:t>7</w:t>
            </w:r>
          </w:p>
        </w:tc>
        <w:tc>
          <w:tcPr>
            <w:tcW w:w="2110" w:type="dxa"/>
            <w:vAlign w:val="center"/>
          </w:tcPr>
          <w:p>
            <w:pPr>
              <w:pStyle w:val="42"/>
            </w:pPr>
            <w:r>
              <w:rPr>
                <w:rFonts w:hint="eastAsia"/>
              </w:rPr>
              <w:t>甲醇</w:t>
            </w:r>
          </w:p>
        </w:tc>
        <w:tc>
          <w:tcPr>
            <w:tcW w:w="2665" w:type="dxa"/>
            <w:vAlign w:val="center"/>
          </w:tcPr>
          <w:p>
            <w:pPr>
              <w:pStyle w:val="42"/>
            </w:pPr>
            <w:r>
              <w:rPr>
                <w:rFonts w:hint="eastAsia"/>
              </w:rPr>
              <w:t>0.6</w:t>
            </w:r>
          </w:p>
        </w:tc>
        <w:tc>
          <w:tcPr>
            <w:tcW w:w="2533" w:type="dxa"/>
            <w:vAlign w:val="bottom"/>
          </w:tcPr>
          <w:p>
            <w:pPr>
              <w:pStyle w:val="42"/>
              <w:rPr>
                <w:rFonts w:ascii="宋体" w:hAnsi="宋体" w:cs="宋体"/>
              </w:rPr>
            </w:pPr>
            <w:r>
              <w:rPr>
                <w:rFonts w:hint="eastAsia"/>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rPr>
                <w:rFonts w:hint="eastAsia"/>
              </w:rPr>
              <w:t>8</w:t>
            </w:r>
          </w:p>
        </w:tc>
        <w:tc>
          <w:tcPr>
            <w:tcW w:w="2110" w:type="dxa"/>
            <w:vAlign w:val="center"/>
          </w:tcPr>
          <w:p>
            <w:pPr>
              <w:pStyle w:val="42"/>
            </w:pPr>
            <w:r>
              <w:rPr>
                <w:rFonts w:hint="eastAsia"/>
              </w:rPr>
              <w:t>二甲醚</w:t>
            </w:r>
          </w:p>
        </w:tc>
        <w:tc>
          <w:tcPr>
            <w:tcW w:w="2665" w:type="dxa"/>
            <w:vAlign w:val="center"/>
          </w:tcPr>
          <w:p>
            <w:pPr>
              <w:pStyle w:val="42"/>
            </w:pPr>
            <w:r>
              <w:rPr>
                <w:rFonts w:hint="eastAsia"/>
              </w:rPr>
              <w:t>0.01</w:t>
            </w:r>
          </w:p>
        </w:tc>
        <w:tc>
          <w:tcPr>
            <w:tcW w:w="2533" w:type="dxa"/>
            <w:vAlign w:val="bottom"/>
          </w:tcPr>
          <w:p>
            <w:pPr>
              <w:pStyle w:val="42"/>
              <w:rPr>
                <w:rFonts w:ascii="宋体" w:hAnsi="宋体" w:cs="宋体"/>
              </w:rPr>
            </w:pPr>
            <w:r>
              <w:rPr>
                <w:rFonts w:hint="eastAsia"/>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018" w:type="dxa"/>
            <w:vAlign w:val="center"/>
          </w:tcPr>
          <w:p>
            <w:pPr>
              <w:pStyle w:val="42"/>
            </w:pPr>
            <w:r>
              <w:rPr>
                <w:rFonts w:hint="eastAsia"/>
              </w:rPr>
              <w:t>9</w:t>
            </w:r>
          </w:p>
        </w:tc>
        <w:tc>
          <w:tcPr>
            <w:tcW w:w="2110" w:type="dxa"/>
            <w:vAlign w:val="center"/>
          </w:tcPr>
          <w:p>
            <w:pPr>
              <w:pStyle w:val="42"/>
            </w:pPr>
            <w:r>
              <w:rPr>
                <w:rFonts w:hint="eastAsia"/>
              </w:rPr>
              <w:t>水</w:t>
            </w:r>
          </w:p>
        </w:tc>
        <w:tc>
          <w:tcPr>
            <w:tcW w:w="2665" w:type="dxa"/>
            <w:vAlign w:val="center"/>
          </w:tcPr>
          <w:p>
            <w:pPr>
              <w:pStyle w:val="42"/>
            </w:pPr>
            <w:r>
              <w:rPr>
                <w:rFonts w:hint="eastAsia"/>
              </w:rPr>
              <w:t>0.08</w:t>
            </w:r>
          </w:p>
        </w:tc>
        <w:tc>
          <w:tcPr>
            <w:tcW w:w="2533" w:type="dxa"/>
            <w:vAlign w:val="bottom"/>
          </w:tcPr>
          <w:p>
            <w:pPr>
              <w:pStyle w:val="42"/>
              <w:rPr>
                <w:rFonts w:ascii="宋体" w:hAnsi="宋体" w:cs="宋体"/>
              </w:rPr>
            </w:pPr>
            <w:r>
              <w:rPr>
                <w:rFonts w:hint="eastAsia"/>
              </w:rPr>
              <w:t>0.14</w:t>
            </w:r>
          </w:p>
        </w:tc>
      </w:tr>
    </w:tbl>
    <w:p>
      <w:pPr>
        <w:pStyle w:val="3"/>
        <w:spacing w:before="156" w:after="156"/>
      </w:pPr>
      <w:bookmarkStart w:id="55" w:name="_Toc84844234"/>
      <w:r>
        <w:rPr>
          <w:rFonts w:hint="eastAsia"/>
        </w:rPr>
        <w:t>2.8储运工程</w:t>
      </w:r>
      <w:bookmarkEnd w:id="55"/>
    </w:p>
    <w:p>
      <w:pPr>
        <w:ind w:firstLine="480"/>
      </w:pPr>
      <w:r>
        <w:rPr>
          <w:rFonts w:hint="eastAsia"/>
        </w:rPr>
        <w:t>（1）运输：拟建项目原料天然气、驰放气和氮气等气态原辅料，产品液氨等园区内运输采用管道运输；辅料脱硫剂、催化剂和吸附剂等固态原料和液态二氧化碳运出以陆路为主，依靠社会力量来满足运输需要。</w:t>
      </w:r>
    </w:p>
    <w:p>
      <w:pPr>
        <w:ind w:firstLine="480"/>
      </w:pPr>
      <w:r>
        <w:rPr>
          <w:rFonts w:hint="eastAsia"/>
        </w:rPr>
        <w:t>（2）储存：拟建项目主要原料天然气和卡贝乐甲醇装置驰放气均来自园区内企业，不在厂区内贮存；脱硫剂、催化剂和吸附剂等定期更换，其中脱硫剂和催化剂2~3年更换一次，吸附剂15年更换一次，由厂家负责更换，不在厂区内贮存；产品液氨不在厂区内储存，直接通过管道供给飞华公司。飞华公司现有液氨球罐3个，储罐规模：2000m</w:t>
      </w:r>
      <w:r>
        <w:rPr>
          <w:rFonts w:hint="eastAsia"/>
          <w:vertAlign w:val="superscript"/>
        </w:rPr>
        <w:t>3</w:t>
      </w:r>
      <w:r>
        <w:rPr>
          <w:rFonts w:hint="eastAsia"/>
        </w:rPr>
        <w:t>×3，储存压力1.6MPa。现有液氨储罐主要用于储存硝酸装置原料液氨，本工程建成后产品液氨供硝酸装置作为原料，依托现有液氨储罐合理可行。</w:t>
      </w:r>
    </w:p>
    <w:p>
      <w:pPr>
        <w:ind w:firstLine="480"/>
      </w:pPr>
      <w:r>
        <w:rPr>
          <w:rFonts w:hint="eastAsia"/>
        </w:rPr>
        <w:t>产品液态二氧化碳采用罐装，具体详见下表2.8-1。</w:t>
      </w:r>
    </w:p>
    <w:p>
      <w:pPr>
        <w:pStyle w:val="41"/>
      </w:pPr>
      <w:r>
        <w:rPr>
          <w:rFonts w:hint="eastAsia"/>
        </w:rPr>
        <w:t>表2.8-1 拟建项目产品贮存情况一览表</w:t>
      </w:r>
    </w:p>
    <w:tbl>
      <w:tblPr>
        <w:tblStyle w:val="33"/>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90"/>
        <w:gridCol w:w="794"/>
        <w:gridCol w:w="706"/>
        <w:gridCol w:w="709"/>
        <w:gridCol w:w="1560"/>
        <w:gridCol w:w="1560"/>
        <w:gridCol w:w="711"/>
        <w:gridCol w:w="990"/>
        <w:gridCol w:w="9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47" w:type="pct"/>
            <w:vAlign w:val="center"/>
          </w:tcPr>
          <w:p>
            <w:pPr>
              <w:pStyle w:val="42"/>
            </w:pPr>
            <w:r>
              <w:rPr>
                <w:rFonts w:hint="eastAsia"/>
              </w:rPr>
              <w:t>序号</w:t>
            </w:r>
          </w:p>
        </w:tc>
        <w:tc>
          <w:tcPr>
            <w:tcW w:w="466" w:type="pct"/>
            <w:vAlign w:val="center"/>
          </w:tcPr>
          <w:p>
            <w:pPr>
              <w:pStyle w:val="42"/>
            </w:pPr>
            <w:r>
              <w:rPr>
                <w:rFonts w:hint="eastAsia"/>
              </w:rPr>
              <w:t>物料名称</w:t>
            </w:r>
          </w:p>
        </w:tc>
        <w:tc>
          <w:tcPr>
            <w:tcW w:w="414" w:type="pct"/>
            <w:vAlign w:val="center"/>
          </w:tcPr>
          <w:p>
            <w:pPr>
              <w:pStyle w:val="42"/>
            </w:pPr>
            <w:r>
              <w:rPr>
                <w:rFonts w:hint="eastAsia"/>
              </w:rPr>
              <w:t>形态</w:t>
            </w:r>
          </w:p>
        </w:tc>
        <w:tc>
          <w:tcPr>
            <w:tcW w:w="416" w:type="pct"/>
            <w:vAlign w:val="center"/>
          </w:tcPr>
          <w:p>
            <w:pPr>
              <w:pStyle w:val="42"/>
            </w:pPr>
            <w:r>
              <w:rPr>
                <w:rFonts w:hint="eastAsia"/>
              </w:rPr>
              <w:t>包装方式</w:t>
            </w:r>
          </w:p>
        </w:tc>
        <w:tc>
          <w:tcPr>
            <w:tcW w:w="915" w:type="pct"/>
            <w:vAlign w:val="center"/>
          </w:tcPr>
          <w:p>
            <w:pPr>
              <w:pStyle w:val="42"/>
            </w:pPr>
            <w:r>
              <w:rPr>
                <w:rFonts w:hint="eastAsia"/>
              </w:rPr>
              <w:t>规格</w:t>
            </w:r>
          </w:p>
        </w:tc>
        <w:tc>
          <w:tcPr>
            <w:tcW w:w="915" w:type="pct"/>
            <w:vAlign w:val="center"/>
          </w:tcPr>
          <w:p>
            <w:pPr>
              <w:pStyle w:val="42"/>
            </w:pPr>
            <w:r>
              <w:rPr>
                <w:rFonts w:hint="eastAsia"/>
              </w:rPr>
              <w:t>储存条件</w:t>
            </w:r>
          </w:p>
        </w:tc>
        <w:tc>
          <w:tcPr>
            <w:tcW w:w="417" w:type="pct"/>
            <w:vAlign w:val="center"/>
          </w:tcPr>
          <w:p>
            <w:pPr>
              <w:pStyle w:val="42"/>
            </w:pPr>
            <w:r>
              <w:rPr>
                <w:rFonts w:hint="eastAsia"/>
              </w:rPr>
              <w:t>储存</w:t>
            </w:r>
          </w:p>
          <w:p>
            <w:pPr>
              <w:pStyle w:val="42"/>
            </w:pPr>
            <w:r>
              <w:rPr>
                <w:rFonts w:hint="eastAsia"/>
              </w:rPr>
              <w:t>周期</w:t>
            </w:r>
          </w:p>
        </w:tc>
        <w:tc>
          <w:tcPr>
            <w:tcW w:w="581" w:type="pct"/>
            <w:vAlign w:val="center"/>
          </w:tcPr>
          <w:p>
            <w:pPr>
              <w:pStyle w:val="42"/>
            </w:pPr>
            <w:r>
              <w:rPr>
                <w:rFonts w:hint="eastAsia"/>
              </w:rPr>
              <w:t>最大</w:t>
            </w:r>
          </w:p>
          <w:p>
            <w:pPr>
              <w:pStyle w:val="42"/>
            </w:pPr>
            <w:r>
              <w:rPr>
                <w:rFonts w:hint="eastAsia"/>
              </w:rPr>
              <w:t>储存量</w:t>
            </w:r>
          </w:p>
        </w:tc>
        <w:tc>
          <w:tcPr>
            <w:tcW w:w="529" w:type="pct"/>
            <w:vAlign w:val="center"/>
          </w:tcPr>
          <w:p>
            <w:pPr>
              <w:pStyle w:val="42"/>
            </w:pPr>
            <w:r>
              <w:rPr>
                <w:rFonts w:hint="eastAsia"/>
              </w:rPr>
              <w:t>储存位置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47" w:type="pct"/>
            <w:vAlign w:val="center"/>
          </w:tcPr>
          <w:p>
            <w:pPr>
              <w:pStyle w:val="42"/>
            </w:pPr>
            <w:r>
              <w:t>1</w:t>
            </w:r>
          </w:p>
        </w:tc>
        <w:tc>
          <w:tcPr>
            <w:tcW w:w="466" w:type="pct"/>
            <w:vAlign w:val="center"/>
          </w:tcPr>
          <w:p>
            <w:pPr>
              <w:pStyle w:val="42"/>
            </w:pPr>
            <w:r>
              <w:rPr>
                <w:rFonts w:hint="eastAsia"/>
              </w:rPr>
              <w:t>CO</w:t>
            </w:r>
            <w:r>
              <w:rPr>
                <w:rFonts w:hint="eastAsia"/>
                <w:vertAlign w:val="subscript"/>
              </w:rPr>
              <w:t>2</w:t>
            </w:r>
          </w:p>
        </w:tc>
        <w:tc>
          <w:tcPr>
            <w:tcW w:w="414" w:type="pct"/>
            <w:vAlign w:val="center"/>
          </w:tcPr>
          <w:p>
            <w:pPr>
              <w:pStyle w:val="42"/>
            </w:pPr>
            <w:r>
              <w:rPr>
                <w:rFonts w:hint="eastAsia"/>
              </w:rPr>
              <w:t>液态</w:t>
            </w:r>
          </w:p>
        </w:tc>
        <w:tc>
          <w:tcPr>
            <w:tcW w:w="416" w:type="pct"/>
            <w:vAlign w:val="center"/>
          </w:tcPr>
          <w:p>
            <w:pPr>
              <w:pStyle w:val="42"/>
            </w:pPr>
            <w:r>
              <w:rPr>
                <w:rFonts w:hint="eastAsia"/>
              </w:rPr>
              <w:t>罐装</w:t>
            </w:r>
          </w:p>
        </w:tc>
        <w:tc>
          <w:tcPr>
            <w:tcW w:w="915" w:type="pct"/>
            <w:vAlign w:val="center"/>
          </w:tcPr>
          <w:p>
            <w:pPr>
              <w:pStyle w:val="42"/>
            </w:pPr>
            <w:r>
              <w:t>V=</w:t>
            </w:r>
            <w:r>
              <w:rPr>
                <w:rFonts w:hint="eastAsia"/>
              </w:rPr>
              <w:t>1000m</w:t>
            </w:r>
            <w:r>
              <w:rPr>
                <w:rFonts w:hint="eastAsia"/>
                <w:vertAlign w:val="superscript"/>
              </w:rPr>
              <w:t>3</w:t>
            </w:r>
            <w:r>
              <w:rPr>
                <w:rFonts w:hint="eastAsia"/>
              </w:rPr>
              <w:t>×2；650m</w:t>
            </w:r>
            <w:r>
              <w:rPr>
                <w:rFonts w:hint="eastAsia"/>
                <w:vertAlign w:val="superscript"/>
              </w:rPr>
              <w:t>3</w:t>
            </w:r>
            <w:r>
              <w:rPr>
                <w:rFonts w:hint="eastAsia"/>
              </w:rPr>
              <w:t>×1</w:t>
            </w:r>
          </w:p>
        </w:tc>
        <w:tc>
          <w:tcPr>
            <w:tcW w:w="915" w:type="pct"/>
            <w:vAlign w:val="center"/>
          </w:tcPr>
          <w:p>
            <w:pPr>
              <w:pStyle w:val="42"/>
            </w:pPr>
            <w:r>
              <w:rPr>
                <w:rFonts w:hint="eastAsia"/>
              </w:rPr>
              <w:t>温度：-30℃</w:t>
            </w:r>
          </w:p>
          <w:p>
            <w:pPr>
              <w:pStyle w:val="42"/>
            </w:pPr>
            <w:r>
              <w:rPr>
                <w:rFonts w:hint="eastAsia"/>
              </w:rPr>
              <w:t>压力：2.5MPa</w:t>
            </w:r>
          </w:p>
        </w:tc>
        <w:tc>
          <w:tcPr>
            <w:tcW w:w="417" w:type="pct"/>
            <w:vAlign w:val="center"/>
          </w:tcPr>
          <w:p>
            <w:pPr>
              <w:pStyle w:val="42"/>
            </w:pPr>
            <w:r>
              <w:rPr>
                <w:rFonts w:hint="eastAsia"/>
              </w:rPr>
              <w:t>6d</w:t>
            </w:r>
          </w:p>
        </w:tc>
        <w:tc>
          <w:tcPr>
            <w:tcW w:w="581" w:type="pct"/>
            <w:vAlign w:val="center"/>
          </w:tcPr>
          <w:p>
            <w:pPr>
              <w:pStyle w:val="42"/>
            </w:pPr>
            <w:r>
              <w:rPr>
                <w:rFonts w:hint="eastAsia"/>
              </w:rPr>
              <w:t>3500t</w:t>
            </w:r>
          </w:p>
        </w:tc>
        <w:tc>
          <w:tcPr>
            <w:tcW w:w="529" w:type="pct"/>
            <w:vAlign w:val="center"/>
          </w:tcPr>
          <w:p>
            <w:pPr>
              <w:pStyle w:val="42"/>
            </w:pPr>
            <w:r>
              <w:rPr>
                <w:rFonts w:hint="eastAsia"/>
              </w:rPr>
              <w:t>CO</w:t>
            </w:r>
            <w:r>
              <w:rPr>
                <w:rFonts w:hint="eastAsia"/>
                <w:vertAlign w:val="subscript"/>
              </w:rPr>
              <w:t>2</w:t>
            </w:r>
            <w:r>
              <w:rPr>
                <w:rFonts w:hint="eastAsia"/>
              </w:rPr>
              <w:t>储罐区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347" w:type="pct"/>
            <w:vAlign w:val="center"/>
          </w:tcPr>
          <w:p>
            <w:pPr>
              <w:pStyle w:val="42"/>
            </w:pPr>
            <w:r>
              <w:rPr>
                <w:rFonts w:hint="eastAsia"/>
              </w:rPr>
              <w:t>2</w:t>
            </w:r>
          </w:p>
        </w:tc>
        <w:tc>
          <w:tcPr>
            <w:tcW w:w="466" w:type="pct"/>
            <w:vAlign w:val="center"/>
          </w:tcPr>
          <w:p>
            <w:pPr>
              <w:pStyle w:val="42"/>
            </w:pPr>
            <w:r>
              <w:rPr>
                <w:rFonts w:hint="eastAsia"/>
              </w:rPr>
              <w:t>液氨</w:t>
            </w:r>
          </w:p>
        </w:tc>
        <w:tc>
          <w:tcPr>
            <w:tcW w:w="414" w:type="pct"/>
            <w:vAlign w:val="center"/>
          </w:tcPr>
          <w:p>
            <w:pPr>
              <w:pStyle w:val="42"/>
            </w:pPr>
            <w:r>
              <w:rPr>
                <w:rFonts w:hint="eastAsia"/>
              </w:rPr>
              <w:t>液态</w:t>
            </w:r>
          </w:p>
        </w:tc>
        <w:tc>
          <w:tcPr>
            <w:tcW w:w="416" w:type="pct"/>
            <w:vAlign w:val="center"/>
          </w:tcPr>
          <w:p>
            <w:pPr>
              <w:pStyle w:val="42"/>
            </w:pPr>
            <w:r>
              <w:rPr>
                <w:rFonts w:hint="eastAsia"/>
              </w:rPr>
              <w:t>罐装</w:t>
            </w:r>
          </w:p>
        </w:tc>
        <w:tc>
          <w:tcPr>
            <w:tcW w:w="915" w:type="pct"/>
            <w:vAlign w:val="center"/>
          </w:tcPr>
          <w:p>
            <w:pPr>
              <w:pStyle w:val="42"/>
            </w:pPr>
            <w:r>
              <w:rPr>
                <w:rFonts w:hint="eastAsia"/>
              </w:rPr>
              <w:t>V=2000m</w:t>
            </w:r>
            <w:r>
              <w:rPr>
                <w:rFonts w:hint="eastAsia"/>
                <w:vertAlign w:val="superscript"/>
              </w:rPr>
              <w:t>3</w:t>
            </w:r>
            <w:r>
              <w:rPr>
                <w:rFonts w:hint="eastAsia"/>
              </w:rPr>
              <w:t>×3</w:t>
            </w:r>
          </w:p>
        </w:tc>
        <w:tc>
          <w:tcPr>
            <w:tcW w:w="915" w:type="pct"/>
            <w:vAlign w:val="center"/>
          </w:tcPr>
          <w:p>
            <w:pPr>
              <w:pStyle w:val="42"/>
            </w:pPr>
            <w:r>
              <w:rPr>
                <w:rFonts w:hint="eastAsia"/>
              </w:rPr>
              <w:t>温度：常温</w:t>
            </w:r>
          </w:p>
          <w:p>
            <w:pPr>
              <w:pStyle w:val="42"/>
            </w:pPr>
            <w:r>
              <w:rPr>
                <w:rFonts w:hint="eastAsia"/>
              </w:rPr>
              <w:t>压力：1.6MPa</w:t>
            </w:r>
          </w:p>
        </w:tc>
        <w:tc>
          <w:tcPr>
            <w:tcW w:w="417" w:type="pct"/>
            <w:vAlign w:val="center"/>
          </w:tcPr>
          <w:p>
            <w:pPr>
              <w:pStyle w:val="42"/>
            </w:pPr>
            <w:r>
              <w:rPr>
                <w:rFonts w:hint="eastAsia"/>
              </w:rPr>
              <w:t>77d</w:t>
            </w:r>
          </w:p>
        </w:tc>
        <w:tc>
          <w:tcPr>
            <w:tcW w:w="581" w:type="pct"/>
            <w:vAlign w:val="center"/>
          </w:tcPr>
          <w:p>
            <w:pPr>
              <w:pStyle w:val="42"/>
            </w:pPr>
            <w:r>
              <w:rPr>
                <w:rFonts w:hint="eastAsia"/>
              </w:rPr>
              <w:t>4.65万t</w:t>
            </w:r>
          </w:p>
        </w:tc>
        <w:tc>
          <w:tcPr>
            <w:tcW w:w="529" w:type="pct"/>
            <w:vAlign w:val="center"/>
          </w:tcPr>
          <w:p>
            <w:pPr>
              <w:pStyle w:val="42"/>
            </w:pPr>
            <w:r>
              <w:rPr>
                <w:rFonts w:hint="eastAsia"/>
              </w:rPr>
              <w:t>恩力吉公司</w:t>
            </w:r>
          </w:p>
        </w:tc>
      </w:tr>
    </w:tbl>
    <w:p>
      <w:pPr>
        <w:pStyle w:val="3"/>
        <w:spacing w:before="156" w:after="156"/>
      </w:pPr>
      <w:bookmarkStart w:id="56" w:name="_Toc84844235"/>
      <w:r>
        <w:rPr>
          <w:rFonts w:hint="eastAsia"/>
        </w:rPr>
        <w:t>2.9主要设备</w:t>
      </w:r>
      <w:bookmarkEnd w:id="56"/>
    </w:p>
    <w:p>
      <w:pPr>
        <w:ind w:firstLine="480"/>
      </w:pPr>
      <w:r>
        <w:rPr>
          <w:rFonts w:hint="eastAsia"/>
        </w:rPr>
        <w:t>拟建项目主要设备详见下表2.9-1。</w:t>
      </w:r>
    </w:p>
    <w:p>
      <w:pPr>
        <w:pStyle w:val="41"/>
      </w:pPr>
      <w:r>
        <w:rPr>
          <w:rFonts w:hint="eastAsia"/>
        </w:rPr>
        <w:t>设备涉及商业机密，删除。</w:t>
      </w:r>
    </w:p>
    <w:p>
      <w:pPr>
        <w:pStyle w:val="3"/>
        <w:spacing w:before="156" w:after="156"/>
      </w:pPr>
      <w:bookmarkStart w:id="57" w:name="_Toc84844236"/>
      <w:r>
        <w:rPr>
          <w:rFonts w:hint="eastAsia"/>
        </w:rPr>
        <w:t>2.10平面布置及其合理性分析</w:t>
      </w:r>
      <w:bookmarkEnd w:id="57"/>
    </w:p>
    <w:p>
      <w:pPr>
        <w:ind w:firstLine="480"/>
      </w:pPr>
      <w:r>
        <w:rPr>
          <w:rFonts w:hint="eastAsia"/>
        </w:rPr>
        <w:t>本项目选址于重庆（长寿）经济技术开发区，项目所在地北面为飞华公司控制室及办公楼区，西面为巴斯夫SMR装置区，东面为飞华硝酸装置区和污水处理站，南面为恩力吉消防水池和循环水系统。</w:t>
      </w:r>
    </w:p>
    <w:p>
      <w:pPr>
        <w:ind w:firstLine="480"/>
      </w:pPr>
      <w:r>
        <w:rPr>
          <w:rFonts w:hint="eastAsia"/>
        </w:rPr>
        <w:t>在满足设计原则的基础上，根据生产工艺特点、火灾危险性、生产装置的相互关系，结合地形、风向及周边环境等条件，按照功能布局，将整个厂区分为合成氨装置区、CO</w:t>
      </w:r>
      <w:r>
        <w:rPr>
          <w:rFonts w:hint="eastAsia"/>
          <w:vertAlign w:val="subscript"/>
        </w:rPr>
        <w:t>2</w:t>
      </w:r>
      <w:r>
        <w:rPr>
          <w:rFonts w:hint="eastAsia"/>
        </w:rPr>
        <w:t>回收装置区、公辅工程、环保工程等配套设施区。</w:t>
      </w:r>
    </w:p>
    <w:p>
      <w:pPr>
        <w:ind w:firstLine="480"/>
      </w:pPr>
      <w:r>
        <w:rPr>
          <w:rFonts w:hint="eastAsia"/>
        </w:rPr>
        <w:t>结合周边企业布置情况，拟建项目将风险相对较大的合成氨装置区布置在距飞华公司控制室及办公楼较远的南面，东北面为CO</w:t>
      </w:r>
      <w:r>
        <w:rPr>
          <w:rFonts w:hint="eastAsia"/>
          <w:vertAlign w:val="subscript"/>
        </w:rPr>
        <w:t>2</w:t>
      </w:r>
      <w:r>
        <w:rPr>
          <w:rFonts w:hint="eastAsia"/>
        </w:rPr>
        <w:t>回收装置区，西北面为分析化验室、中央控制室、配电室、综合仓库等公辅工程，废水处理站、事故池和危险废物暂存间等环保工程。</w:t>
      </w:r>
    </w:p>
    <w:p>
      <w:pPr>
        <w:ind w:firstLine="480"/>
      </w:pPr>
      <w:r>
        <w:rPr>
          <w:rFonts w:hint="eastAsia"/>
        </w:rPr>
        <w:t>总体而言，厂区内产生异味的废水处理站和危险废物暂存间均位于全年最小频率风向的侧风侧，可将环境影响降至最低。</w:t>
      </w:r>
    </w:p>
    <w:p>
      <w:pPr>
        <w:ind w:firstLine="480"/>
      </w:pPr>
      <w:r>
        <w:rPr>
          <w:rFonts w:hint="eastAsia"/>
        </w:rPr>
        <w:t>拟建项目功能分区明确，且能满足生产、安全、环保、消防的要求，从环境保护的角度考虑，平面布置合理可行。拟建项目全厂平面布置详见附图2。</w:t>
      </w:r>
    </w:p>
    <w:p>
      <w:pPr>
        <w:pStyle w:val="3"/>
        <w:spacing w:before="156" w:after="156"/>
      </w:pPr>
      <w:bookmarkStart w:id="58" w:name="_Toc84844237"/>
      <w:r>
        <w:rPr>
          <w:rFonts w:hint="eastAsia"/>
        </w:rPr>
        <w:t>2.11主要技术经济指标</w:t>
      </w:r>
      <w:bookmarkEnd w:id="58"/>
    </w:p>
    <w:p>
      <w:pPr>
        <w:ind w:firstLine="480"/>
      </w:pPr>
      <w:r>
        <w:rPr>
          <w:rFonts w:hint="eastAsia"/>
        </w:rPr>
        <w:t>拟建项目主要技术经济指标详见下表2.11-1。</w:t>
      </w:r>
    </w:p>
    <w:p>
      <w:pPr>
        <w:pStyle w:val="41"/>
      </w:pPr>
      <w:r>
        <w:rPr>
          <w:rFonts w:hint="eastAsia"/>
        </w:rPr>
        <w:t>表2.11-1  建设项目主要技术经济指标一览表</w:t>
      </w:r>
    </w:p>
    <w:tbl>
      <w:tblPr>
        <w:tblStyle w:val="33"/>
        <w:tblW w:w="5000"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897"/>
        <w:gridCol w:w="2535"/>
        <w:gridCol w:w="1311"/>
        <w:gridCol w:w="1097"/>
        <w:gridCol w:w="252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top w:val="single" w:color="auto" w:sz="2" w:space="0"/>
            </w:tcBorders>
            <w:vAlign w:val="center"/>
          </w:tcPr>
          <w:p>
            <w:pPr>
              <w:pStyle w:val="42"/>
              <w:rPr>
                <w:szCs w:val="21"/>
              </w:rPr>
            </w:pPr>
            <w:r>
              <w:rPr>
                <w:rFonts w:hint="eastAsia"/>
                <w:szCs w:val="21"/>
              </w:rPr>
              <w:t>序号</w:t>
            </w:r>
          </w:p>
        </w:tc>
        <w:tc>
          <w:tcPr>
            <w:tcW w:w="1516" w:type="pct"/>
            <w:tcBorders>
              <w:top w:val="single" w:color="auto" w:sz="2" w:space="0"/>
            </w:tcBorders>
            <w:vAlign w:val="center"/>
          </w:tcPr>
          <w:p>
            <w:pPr>
              <w:pStyle w:val="42"/>
              <w:rPr>
                <w:szCs w:val="21"/>
              </w:rPr>
            </w:pPr>
            <w:r>
              <w:rPr>
                <w:rFonts w:hint="eastAsia"/>
                <w:szCs w:val="21"/>
              </w:rPr>
              <w:t>项目名称</w:t>
            </w:r>
          </w:p>
        </w:tc>
        <w:tc>
          <w:tcPr>
            <w:tcW w:w="784" w:type="pct"/>
            <w:tcBorders>
              <w:top w:val="single" w:color="auto" w:sz="2" w:space="0"/>
            </w:tcBorders>
            <w:vAlign w:val="center"/>
          </w:tcPr>
          <w:p>
            <w:pPr>
              <w:pStyle w:val="42"/>
              <w:rPr>
                <w:szCs w:val="21"/>
              </w:rPr>
            </w:pPr>
            <w:r>
              <w:rPr>
                <w:rFonts w:hint="eastAsia"/>
                <w:szCs w:val="21"/>
              </w:rPr>
              <w:t>单位</w:t>
            </w:r>
          </w:p>
        </w:tc>
        <w:tc>
          <w:tcPr>
            <w:tcW w:w="656" w:type="pct"/>
            <w:tcBorders>
              <w:top w:val="single" w:color="auto" w:sz="2" w:space="0"/>
            </w:tcBorders>
            <w:vAlign w:val="center"/>
          </w:tcPr>
          <w:p>
            <w:pPr>
              <w:pStyle w:val="42"/>
              <w:rPr>
                <w:szCs w:val="21"/>
              </w:rPr>
            </w:pPr>
            <w:r>
              <w:rPr>
                <w:rFonts w:hint="eastAsia"/>
                <w:szCs w:val="21"/>
              </w:rPr>
              <w:t>数量</w:t>
            </w:r>
          </w:p>
        </w:tc>
        <w:tc>
          <w:tcPr>
            <w:tcW w:w="1508" w:type="pct"/>
            <w:tcBorders>
              <w:top w:val="single" w:color="auto" w:sz="2" w:space="0"/>
            </w:tcBorders>
            <w:vAlign w:val="center"/>
          </w:tcPr>
          <w:p>
            <w:pPr>
              <w:pStyle w:val="42"/>
              <w:rPr>
                <w:szCs w:val="21"/>
              </w:rPr>
            </w:pPr>
            <w:r>
              <w:rPr>
                <w:rFonts w:hint="eastAsia"/>
                <w:szCs w:val="21"/>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bottom w:val="single" w:color="auto" w:sz="4" w:space="0"/>
            </w:tcBorders>
            <w:vAlign w:val="center"/>
          </w:tcPr>
          <w:p>
            <w:pPr>
              <w:pStyle w:val="42"/>
              <w:rPr>
                <w:szCs w:val="21"/>
              </w:rPr>
            </w:pPr>
            <w:r>
              <w:rPr>
                <w:rFonts w:hint="eastAsia"/>
                <w:szCs w:val="21"/>
              </w:rPr>
              <w:t>一</w:t>
            </w:r>
          </w:p>
        </w:tc>
        <w:tc>
          <w:tcPr>
            <w:tcW w:w="1516" w:type="pct"/>
            <w:vAlign w:val="center"/>
          </w:tcPr>
          <w:p>
            <w:pPr>
              <w:pStyle w:val="42"/>
              <w:rPr>
                <w:szCs w:val="21"/>
              </w:rPr>
            </w:pPr>
            <w:r>
              <w:rPr>
                <w:rFonts w:hint="eastAsia"/>
                <w:szCs w:val="21"/>
              </w:rPr>
              <w:t>产品方案</w:t>
            </w:r>
          </w:p>
        </w:tc>
        <w:tc>
          <w:tcPr>
            <w:tcW w:w="784" w:type="pct"/>
            <w:vAlign w:val="center"/>
          </w:tcPr>
          <w:p>
            <w:pPr>
              <w:pStyle w:val="42"/>
              <w:rPr>
                <w:szCs w:val="21"/>
              </w:rPr>
            </w:pPr>
          </w:p>
        </w:tc>
        <w:tc>
          <w:tcPr>
            <w:tcW w:w="656" w:type="pct"/>
            <w:vAlign w:val="center"/>
          </w:tcPr>
          <w:p>
            <w:pPr>
              <w:pStyle w:val="42"/>
              <w:rPr>
                <w:szCs w:val="21"/>
              </w:rPr>
            </w:pP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top w:val="single" w:color="auto" w:sz="4" w:space="0"/>
              <w:bottom w:val="single" w:color="auto" w:sz="4" w:space="0"/>
            </w:tcBorders>
            <w:vAlign w:val="center"/>
          </w:tcPr>
          <w:p>
            <w:pPr>
              <w:pStyle w:val="42"/>
              <w:rPr>
                <w:szCs w:val="21"/>
              </w:rPr>
            </w:pPr>
            <w:r>
              <w:rPr>
                <w:rFonts w:hint="eastAsia"/>
                <w:szCs w:val="21"/>
              </w:rPr>
              <w:t>（</w:t>
            </w:r>
            <w:r>
              <w:rPr>
                <w:szCs w:val="21"/>
              </w:rPr>
              <w:t>1</w:t>
            </w:r>
            <w:r>
              <w:rPr>
                <w:rFonts w:hint="eastAsia"/>
                <w:szCs w:val="21"/>
              </w:rPr>
              <w:t>）</w:t>
            </w:r>
          </w:p>
        </w:tc>
        <w:tc>
          <w:tcPr>
            <w:tcW w:w="1516" w:type="pct"/>
            <w:vAlign w:val="center"/>
          </w:tcPr>
          <w:p>
            <w:pPr>
              <w:pStyle w:val="42"/>
              <w:rPr>
                <w:szCs w:val="21"/>
              </w:rPr>
            </w:pPr>
            <w:r>
              <w:rPr>
                <w:rFonts w:hint="eastAsia"/>
                <w:szCs w:val="21"/>
              </w:rPr>
              <w:t>液氨</w:t>
            </w:r>
          </w:p>
        </w:tc>
        <w:tc>
          <w:tcPr>
            <w:tcW w:w="784" w:type="pct"/>
            <w:vAlign w:val="center"/>
          </w:tcPr>
          <w:p>
            <w:pPr>
              <w:pStyle w:val="42"/>
              <w:rPr>
                <w:szCs w:val="21"/>
              </w:rPr>
            </w:pPr>
            <w:r>
              <w:rPr>
                <w:rFonts w:hint="eastAsia"/>
                <w:szCs w:val="21"/>
              </w:rPr>
              <w:t>万</w:t>
            </w:r>
            <w:r>
              <w:rPr>
                <w:szCs w:val="21"/>
              </w:rPr>
              <w:t>t/a</w:t>
            </w:r>
          </w:p>
        </w:tc>
        <w:tc>
          <w:tcPr>
            <w:tcW w:w="656" w:type="pct"/>
            <w:vAlign w:val="center"/>
          </w:tcPr>
          <w:p>
            <w:pPr>
              <w:pStyle w:val="42"/>
              <w:rPr>
                <w:szCs w:val="21"/>
              </w:rPr>
            </w:pPr>
            <w:r>
              <w:rPr>
                <w:rFonts w:hint="eastAsia"/>
                <w:szCs w:val="21"/>
              </w:rPr>
              <w:t>20</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top w:val="single" w:color="auto" w:sz="4" w:space="0"/>
              <w:bottom w:val="single" w:color="auto" w:sz="4" w:space="0"/>
            </w:tcBorders>
            <w:vAlign w:val="center"/>
          </w:tcPr>
          <w:p>
            <w:pPr>
              <w:pStyle w:val="42"/>
              <w:rPr>
                <w:szCs w:val="21"/>
              </w:rPr>
            </w:pPr>
            <w:r>
              <w:rPr>
                <w:rFonts w:hint="eastAsia"/>
                <w:szCs w:val="21"/>
              </w:rPr>
              <w:t>（2）</w:t>
            </w:r>
          </w:p>
        </w:tc>
        <w:tc>
          <w:tcPr>
            <w:tcW w:w="1516" w:type="pct"/>
            <w:vAlign w:val="center"/>
          </w:tcPr>
          <w:p>
            <w:pPr>
              <w:pStyle w:val="42"/>
              <w:rPr>
                <w:szCs w:val="21"/>
                <w:lang w:bidi="he-IL"/>
              </w:rPr>
            </w:pPr>
            <w:r>
              <w:rPr>
                <w:rFonts w:hint="eastAsia"/>
                <w:szCs w:val="21"/>
              </w:rPr>
              <w:t>食品级</w:t>
            </w:r>
            <w:r>
              <w:rPr>
                <w:szCs w:val="21"/>
              </w:rPr>
              <w:t>干冰</w:t>
            </w:r>
          </w:p>
        </w:tc>
        <w:tc>
          <w:tcPr>
            <w:tcW w:w="784" w:type="pct"/>
            <w:vAlign w:val="center"/>
          </w:tcPr>
          <w:p>
            <w:pPr>
              <w:pStyle w:val="42"/>
              <w:rPr>
                <w:szCs w:val="21"/>
              </w:rPr>
            </w:pPr>
            <w:r>
              <w:rPr>
                <w:szCs w:val="21"/>
              </w:rPr>
              <w:t>t/a</w:t>
            </w:r>
          </w:p>
        </w:tc>
        <w:tc>
          <w:tcPr>
            <w:tcW w:w="656" w:type="pct"/>
            <w:vAlign w:val="center"/>
          </w:tcPr>
          <w:p>
            <w:pPr>
              <w:pStyle w:val="42"/>
              <w:rPr>
                <w:szCs w:val="21"/>
              </w:rPr>
            </w:pPr>
            <w:r>
              <w:rPr>
                <w:rFonts w:hint="eastAsia"/>
                <w:szCs w:val="21"/>
              </w:rPr>
              <w:t>17769.4</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top w:val="single" w:color="auto" w:sz="4" w:space="0"/>
              <w:bottom w:val="single" w:color="auto" w:sz="4" w:space="0"/>
            </w:tcBorders>
            <w:vAlign w:val="center"/>
          </w:tcPr>
          <w:p>
            <w:pPr>
              <w:pStyle w:val="42"/>
              <w:rPr>
                <w:szCs w:val="21"/>
              </w:rPr>
            </w:pPr>
            <w:r>
              <w:rPr>
                <w:rFonts w:hint="eastAsia"/>
                <w:szCs w:val="21"/>
              </w:rPr>
              <w:t>（3）</w:t>
            </w:r>
          </w:p>
        </w:tc>
        <w:tc>
          <w:tcPr>
            <w:tcW w:w="1516" w:type="pct"/>
            <w:vAlign w:val="center"/>
          </w:tcPr>
          <w:p>
            <w:pPr>
              <w:pStyle w:val="42"/>
              <w:rPr>
                <w:szCs w:val="21"/>
                <w:lang w:bidi="he-IL"/>
              </w:rPr>
            </w:pPr>
            <w:r>
              <w:rPr>
                <w:rFonts w:hint="eastAsia"/>
                <w:szCs w:val="21"/>
              </w:rPr>
              <w:t>食品级</w:t>
            </w:r>
            <w:r>
              <w:rPr>
                <w:szCs w:val="21"/>
              </w:rPr>
              <w:t>CO</w:t>
            </w:r>
            <w:r>
              <w:rPr>
                <w:szCs w:val="21"/>
                <w:vertAlign w:val="subscript"/>
              </w:rPr>
              <w:t>2</w:t>
            </w:r>
            <w:r>
              <w:rPr>
                <w:szCs w:val="21"/>
              </w:rPr>
              <w:t>液态</w:t>
            </w:r>
          </w:p>
        </w:tc>
        <w:tc>
          <w:tcPr>
            <w:tcW w:w="784" w:type="pct"/>
            <w:vAlign w:val="center"/>
          </w:tcPr>
          <w:p>
            <w:pPr>
              <w:pStyle w:val="42"/>
              <w:rPr>
                <w:szCs w:val="21"/>
              </w:rPr>
            </w:pPr>
            <w:r>
              <w:rPr>
                <w:rFonts w:hint="eastAsia"/>
                <w:szCs w:val="21"/>
              </w:rPr>
              <w:t>t/a</w:t>
            </w:r>
          </w:p>
        </w:tc>
        <w:tc>
          <w:tcPr>
            <w:tcW w:w="656" w:type="pct"/>
            <w:vAlign w:val="center"/>
          </w:tcPr>
          <w:p>
            <w:pPr>
              <w:pStyle w:val="42"/>
              <w:rPr>
                <w:szCs w:val="21"/>
              </w:rPr>
            </w:pPr>
            <w:r>
              <w:rPr>
                <w:rFonts w:hint="eastAsia"/>
                <w:szCs w:val="21"/>
              </w:rPr>
              <w:t>11992</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top w:val="single" w:color="auto" w:sz="4" w:space="0"/>
              <w:bottom w:val="single" w:color="auto" w:sz="4" w:space="0"/>
            </w:tcBorders>
            <w:vAlign w:val="center"/>
          </w:tcPr>
          <w:p>
            <w:pPr>
              <w:pStyle w:val="42"/>
              <w:rPr>
                <w:szCs w:val="21"/>
              </w:rPr>
            </w:pPr>
            <w:r>
              <w:rPr>
                <w:rFonts w:hint="eastAsia"/>
                <w:szCs w:val="21"/>
              </w:rPr>
              <w:t>（4）</w:t>
            </w:r>
          </w:p>
        </w:tc>
        <w:tc>
          <w:tcPr>
            <w:tcW w:w="1516" w:type="pct"/>
            <w:vAlign w:val="center"/>
          </w:tcPr>
          <w:p>
            <w:pPr>
              <w:pStyle w:val="42"/>
              <w:rPr>
                <w:szCs w:val="21"/>
                <w:lang w:bidi="he-IL"/>
              </w:rPr>
            </w:pPr>
            <w:r>
              <w:rPr>
                <w:rFonts w:hint="eastAsia"/>
                <w:szCs w:val="21"/>
              </w:rPr>
              <w:t>工业级</w:t>
            </w:r>
            <w:r>
              <w:rPr>
                <w:szCs w:val="21"/>
              </w:rPr>
              <w:t>CO</w:t>
            </w:r>
            <w:r>
              <w:rPr>
                <w:szCs w:val="21"/>
                <w:vertAlign w:val="subscript"/>
              </w:rPr>
              <w:t>2</w:t>
            </w:r>
            <w:r>
              <w:rPr>
                <w:szCs w:val="21"/>
              </w:rPr>
              <w:t>液态</w:t>
            </w:r>
          </w:p>
        </w:tc>
        <w:tc>
          <w:tcPr>
            <w:tcW w:w="784" w:type="pct"/>
            <w:vAlign w:val="center"/>
          </w:tcPr>
          <w:p>
            <w:pPr>
              <w:pStyle w:val="42"/>
              <w:rPr>
                <w:szCs w:val="21"/>
              </w:rPr>
            </w:pPr>
            <w:r>
              <w:rPr>
                <w:rFonts w:hint="eastAsia"/>
                <w:szCs w:val="21"/>
              </w:rPr>
              <w:t>t/a</w:t>
            </w:r>
          </w:p>
        </w:tc>
        <w:tc>
          <w:tcPr>
            <w:tcW w:w="656" w:type="pct"/>
            <w:vAlign w:val="center"/>
          </w:tcPr>
          <w:p>
            <w:pPr>
              <w:pStyle w:val="42"/>
              <w:rPr>
                <w:szCs w:val="21"/>
              </w:rPr>
            </w:pPr>
            <w:r>
              <w:rPr>
                <w:rFonts w:hint="eastAsia"/>
                <w:szCs w:val="21"/>
              </w:rPr>
              <w:t>48678.8</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二</w:t>
            </w:r>
          </w:p>
        </w:tc>
        <w:tc>
          <w:tcPr>
            <w:tcW w:w="1516" w:type="pct"/>
            <w:vAlign w:val="center"/>
          </w:tcPr>
          <w:p>
            <w:pPr>
              <w:pStyle w:val="42"/>
              <w:rPr>
                <w:szCs w:val="21"/>
              </w:rPr>
            </w:pPr>
            <w:r>
              <w:rPr>
                <w:rFonts w:hint="eastAsia"/>
                <w:szCs w:val="21"/>
              </w:rPr>
              <w:t>劳动定员及生产制度</w:t>
            </w:r>
          </w:p>
        </w:tc>
        <w:tc>
          <w:tcPr>
            <w:tcW w:w="784" w:type="pct"/>
            <w:vAlign w:val="center"/>
          </w:tcPr>
          <w:p>
            <w:pPr>
              <w:pStyle w:val="42"/>
              <w:rPr>
                <w:szCs w:val="21"/>
              </w:rPr>
            </w:pPr>
          </w:p>
        </w:tc>
        <w:tc>
          <w:tcPr>
            <w:tcW w:w="656" w:type="pct"/>
            <w:vAlign w:val="center"/>
          </w:tcPr>
          <w:p>
            <w:pPr>
              <w:pStyle w:val="42"/>
              <w:rPr>
                <w:szCs w:val="21"/>
              </w:rPr>
            </w:pP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1</w:t>
            </w:r>
            <w:r>
              <w:rPr>
                <w:rFonts w:hint="eastAsia"/>
                <w:szCs w:val="21"/>
              </w:rPr>
              <w:t>）</w:t>
            </w:r>
          </w:p>
        </w:tc>
        <w:tc>
          <w:tcPr>
            <w:tcW w:w="1516" w:type="pct"/>
            <w:vAlign w:val="center"/>
          </w:tcPr>
          <w:p>
            <w:pPr>
              <w:pStyle w:val="42"/>
              <w:rPr>
                <w:szCs w:val="21"/>
              </w:rPr>
            </w:pPr>
            <w:r>
              <w:rPr>
                <w:rFonts w:hint="eastAsia"/>
                <w:szCs w:val="21"/>
              </w:rPr>
              <w:t>新增劳动定员</w:t>
            </w:r>
          </w:p>
        </w:tc>
        <w:tc>
          <w:tcPr>
            <w:tcW w:w="784" w:type="pct"/>
            <w:vAlign w:val="center"/>
          </w:tcPr>
          <w:p>
            <w:pPr>
              <w:pStyle w:val="42"/>
              <w:rPr>
                <w:szCs w:val="21"/>
              </w:rPr>
            </w:pPr>
            <w:r>
              <w:rPr>
                <w:rFonts w:hint="eastAsia"/>
                <w:szCs w:val="21"/>
              </w:rPr>
              <w:t>人</w:t>
            </w:r>
          </w:p>
        </w:tc>
        <w:tc>
          <w:tcPr>
            <w:tcW w:w="656" w:type="pct"/>
            <w:vAlign w:val="center"/>
          </w:tcPr>
          <w:p>
            <w:pPr>
              <w:pStyle w:val="42"/>
              <w:rPr>
                <w:szCs w:val="21"/>
              </w:rPr>
            </w:pPr>
            <w:r>
              <w:rPr>
                <w:rFonts w:hint="eastAsia"/>
                <w:szCs w:val="21"/>
              </w:rPr>
              <w:t>80</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2</w:t>
            </w:r>
            <w:r>
              <w:rPr>
                <w:rFonts w:hint="eastAsia"/>
                <w:szCs w:val="21"/>
              </w:rPr>
              <w:t>）</w:t>
            </w:r>
          </w:p>
        </w:tc>
        <w:tc>
          <w:tcPr>
            <w:tcW w:w="1516" w:type="pct"/>
            <w:vAlign w:val="center"/>
          </w:tcPr>
          <w:p>
            <w:pPr>
              <w:pStyle w:val="42"/>
              <w:rPr>
                <w:szCs w:val="21"/>
              </w:rPr>
            </w:pPr>
            <w:r>
              <w:rPr>
                <w:rFonts w:hint="eastAsia"/>
                <w:szCs w:val="21"/>
              </w:rPr>
              <w:t>生产时间</w:t>
            </w:r>
          </w:p>
        </w:tc>
        <w:tc>
          <w:tcPr>
            <w:tcW w:w="784" w:type="pct"/>
            <w:vAlign w:val="center"/>
          </w:tcPr>
          <w:p>
            <w:pPr>
              <w:pStyle w:val="42"/>
              <w:rPr>
                <w:szCs w:val="21"/>
              </w:rPr>
            </w:pPr>
            <w:r>
              <w:rPr>
                <w:szCs w:val="21"/>
              </w:rPr>
              <w:t>h</w:t>
            </w:r>
          </w:p>
        </w:tc>
        <w:tc>
          <w:tcPr>
            <w:tcW w:w="656" w:type="pct"/>
            <w:vAlign w:val="center"/>
          </w:tcPr>
          <w:p>
            <w:pPr>
              <w:pStyle w:val="42"/>
              <w:rPr>
                <w:szCs w:val="21"/>
              </w:rPr>
            </w:pPr>
            <w:r>
              <w:rPr>
                <w:rFonts w:hint="eastAsia"/>
                <w:szCs w:val="21"/>
              </w:rPr>
              <w:t>8000</w:t>
            </w:r>
          </w:p>
        </w:tc>
        <w:tc>
          <w:tcPr>
            <w:tcW w:w="1508" w:type="pct"/>
            <w:vAlign w:val="center"/>
          </w:tcPr>
          <w:p>
            <w:pPr>
              <w:pStyle w:val="42"/>
              <w:rPr>
                <w:szCs w:val="21"/>
              </w:rPr>
            </w:pPr>
            <w:r>
              <w:rPr>
                <w:rFonts w:hint="eastAsia"/>
                <w:szCs w:val="21"/>
              </w:rPr>
              <w:t>四班三运转制，每班</w:t>
            </w:r>
            <w:r>
              <w:rPr>
                <w:szCs w:val="21"/>
              </w:rPr>
              <w:t>8</w:t>
            </w:r>
            <w:r>
              <w:rPr>
                <w:rFonts w:hint="eastAsia"/>
                <w:szCs w:val="21"/>
              </w:rPr>
              <w:t>小时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三</w:t>
            </w:r>
          </w:p>
        </w:tc>
        <w:tc>
          <w:tcPr>
            <w:tcW w:w="1516" w:type="pct"/>
            <w:vAlign w:val="center"/>
          </w:tcPr>
          <w:p>
            <w:pPr>
              <w:pStyle w:val="42"/>
              <w:rPr>
                <w:szCs w:val="21"/>
              </w:rPr>
            </w:pPr>
            <w:r>
              <w:rPr>
                <w:rFonts w:hint="eastAsia"/>
                <w:szCs w:val="21"/>
              </w:rPr>
              <w:t>总建筑面积</w:t>
            </w:r>
          </w:p>
        </w:tc>
        <w:tc>
          <w:tcPr>
            <w:tcW w:w="784" w:type="pct"/>
            <w:vAlign w:val="center"/>
          </w:tcPr>
          <w:p>
            <w:pPr>
              <w:pStyle w:val="42"/>
              <w:rPr>
                <w:szCs w:val="21"/>
              </w:rPr>
            </w:pPr>
          </w:p>
        </w:tc>
        <w:tc>
          <w:tcPr>
            <w:tcW w:w="656" w:type="pct"/>
            <w:vAlign w:val="center"/>
          </w:tcPr>
          <w:p>
            <w:pPr>
              <w:pStyle w:val="42"/>
              <w:rPr>
                <w:szCs w:val="21"/>
              </w:rPr>
            </w:pP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1</w:t>
            </w:r>
            <w:r>
              <w:rPr>
                <w:rFonts w:hint="eastAsia"/>
                <w:szCs w:val="21"/>
              </w:rPr>
              <w:t>）</w:t>
            </w:r>
          </w:p>
        </w:tc>
        <w:tc>
          <w:tcPr>
            <w:tcW w:w="1516" w:type="pct"/>
            <w:vAlign w:val="center"/>
          </w:tcPr>
          <w:p>
            <w:pPr>
              <w:pStyle w:val="42"/>
              <w:rPr>
                <w:szCs w:val="21"/>
              </w:rPr>
            </w:pPr>
            <w:r>
              <w:rPr>
                <w:rFonts w:hint="eastAsia"/>
                <w:szCs w:val="21"/>
              </w:rPr>
              <w:t>占地面积</w:t>
            </w:r>
          </w:p>
        </w:tc>
        <w:tc>
          <w:tcPr>
            <w:tcW w:w="784" w:type="pct"/>
            <w:vAlign w:val="center"/>
          </w:tcPr>
          <w:p>
            <w:pPr>
              <w:pStyle w:val="42"/>
              <w:rPr>
                <w:szCs w:val="21"/>
              </w:rPr>
            </w:pPr>
            <w:r>
              <w:rPr>
                <w:szCs w:val="21"/>
              </w:rPr>
              <w:t>m</w:t>
            </w:r>
            <w:r>
              <w:rPr>
                <w:szCs w:val="21"/>
                <w:vertAlign w:val="superscript"/>
              </w:rPr>
              <w:t>2</w:t>
            </w:r>
          </w:p>
        </w:tc>
        <w:tc>
          <w:tcPr>
            <w:tcW w:w="656" w:type="pct"/>
            <w:vAlign w:val="center"/>
          </w:tcPr>
          <w:p>
            <w:pPr>
              <w:pStyle w:val="42"/>
              <w:rPr>
                <w:szCs w:val="21"/>
              </w:rPr>
            </w:pPr>
            <w:r>
              <w:rPr>
                <w:rFonts w:hint="eastAsia"/>
                <w:szCs w:val="21"/>
              </w:rPr>
              <w:t>49725</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2</w:t>
            </w:r>
            <w:r>
              <w:rPr>
                <w:rFonts w:hint="eastAsia"/>
                <w:szCs w:val="21"/>
              </w:rPr>
              <w:t>）</w:t>
            </w:r>
          </w:p>
        </w:tc>
        <w:tc>
          <w:tcPr>
            <w:tcW w:w="1516" w:type="pct"/>
            <w:vAlign w:val="center"/>
          </w:tcPr>
          <w:p>
            <w:pPr>
              <w:pStyle w:val="42"/>
              <w:rPr>
                <w:szCs w:val="21"/>
              </w:rPr>
            </w:pPr>
            <w:r>
              <w:rPr>
                <w:rFonts w:hint="eastAsia"/>
                <w:szCs w:val="21"/>
              </w:rPr>
              <w:t>建/构筑物占地面积</w:t>
            </w:r>
          </w:p>
        </w:tc>
        <w:tc>
          <w:tcPr>
            <w:tcW w:w="784" w:type="pct"/>
            <w:vAlign w:val="center"/>
          </w:tcPr>
          <w:p>
            <w:pPr>
              <w:pStyle w:val="42"/>
              <w:rPr>
                <w:szCs w:val="21"/>
              </w:rPr>
            </w:pPr>
            <w:r>
              <w:rPr>
                <w:szCs w:val="21"/>
              </w:rPr>
              <w:t>m</w:t>
            </w:r>
            <w:r>
              <w:rPr>
                <w:szCs w:val="21"/>
                <w:vertAlign w:val="superscript"/>
              </w:rPr>
              <w:t>2</w:t>
            </w:r>
          </w:p>
        </w:tc>
        <w:tc>
          <w:tcPr>
            <w:tcW w:w="656" w:type="pct"/>
            <w:vAlign w:val="center"/>
          </w:tcPr>
          <w:p>
            <w:pPr>
              <w:pStyle w:val="42"/>
              <w:rPr>
                <w:szCs w:val="21"/>
              </w:rPr>
            </w:pPr>
            <w:r>
              <w:rPr>
                <w:rFonts w:hint="eastAsia"/>
                <w:szCs w:val="21"/>
              </w:rPr>
              <w:t>23549</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四</w:t>
            </w:r>
          </w:p>
        </w:tc>
        <w:tc>
          <w:tcPr>
            <w:tcW w:w="1516" w:type="pct"/>
            <w:vAlign w:val="center"/>
          </w:tcPr>
          <w:p>
            <w:pPr>
              <w:pStyle w:val="42"/>
              <w:rPr>
                <w:szCs w:val="21"/>
              </w:rPr>
            </w:pPr>
            <w:r>
              <w:rPr>
                <w:rFonts w:hint="eastAsia"/>
                <w:szCs w:val="21"/>
              </w:rPr>
              <w:t>投资</w:t>
            </w:r>
          </w:p>
        </w:tc>
        <w:tc>
          <w:tcPr>
            <w:tcW w:w="784" w:type="pct"/>
            <w:vAlign w:val="center"/>
          </w:tcPr>
          <w:p>
            <w:pPr>
              <w:pStyle w:val="42"/>
              <w:rPr>
                <w:szCs w:val="21"/>
              </w:rPr>
            </w:pPr>
          </w:p>
        </w:tc>
        <w:tc>
          <w:tcPr>
            <w:tcW w:w="656" w:type="pct"/>
            <w:vAlign w:val="center"/>
          </w:tcPr>
          <w:p>
            <w:pPr>
              <w:pStyle w:val="42"/>
              <w:rPr>
                <w:szCs w:val="21"/>
              </w:rPr>
            </w:pP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1</w:t>
            </w:r>
            <w:r>
              <w:rPr>
                <w:rFonts w:hint="eastAsia"/>
                <w:szCs w:val="21"/>
              </w:rPr>
              <w:t>）</w:t>
            </w:r>
          </w:p>
        </w:tc>
        <w:tc>
          <w:tcPr>
            <w:tcW w:w="1516" w:type="pct"/>
            <w:vAlign w:val="center"/>
          </w:tcPr>
          <w:p>
            <w:pPr>
              <w:pStyle w:val="42"/>
              <w:rPr>
                <w:szCs w:val="21"/>
              </w:rPr>
            </w:pPr>
            <w:r>
              <w:rPr>
                <w:rFonts w:hint="eastAsia"/>
                <w:szCs w:val="21"/>
              </w:rPr>
              <w:t>总投资</w:t>
            </w:r>
          </w:p>
        </w:tc>
        <w:tc>
          <w:tcPr>
            <w:tcW w:w="784" w:type="pct"/>
            <w:vAlign w:val="center"/>
          </w:tcPr>
          <w:p>
            <w:pPr>
              <w:pStyle w:val="42"/>
              <w:rPr>
                <w:szCs w:val="21"/>
              </w:rPr>
            </w:pPr>
            <w:r>
              <w:rPr>
                <w:rFonts w:hint="eastAsia"/>
                <w:szCs w:val="21"/>
              </w:rPr>
              <w:t>万元</w:t>
            </w:r>
          </w:p>
        </w:tc>
        <w:tc>
          <w:tcPr>
            <w:tcW w:w="656" w:type="pct"/>
            <w:tcBorders>
              <w:bottom w:val="single" w:color="auto" w:sz="4" w:space="0"/>
            </w:tcBorders>
            <w:vAlign w:val="center"/>
          </w:tcPr>
          <w:p>
            <w:pPr>
              <w:pStyle w:val="42"/>
              <w:rPr>
                <w:szCs w:val="21"/>
              </w:rPr>
            </w:pPr>
            <w:r>
              <w:rPr>
                <w:rFonts w:hint="eastAsia"/>
                <w:szCs w:val="21"/>
              </w:rPr>
              <w:t>60986</w:t>
            </w:r>
          </w:p>
        </w:tc>
        <w:tc>
          <w:tcPr>
            <w:tcW w:w="1508" w:type="pct"/>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vAlign w:val="center"/>
          </w:tcPr>
          <w:p>
            <w:pPr>
              <w:pStyle w:val="42"/>
              <w:rPr>
                <w:szCs w:val="21"/>
              </w:rPr>
            </w:pPr>
            <w:r>
              <w:rPr>
                <w:rFonts w:hint="eastAsia"/>
                <w:szCs w:val="21"/>
              </w:rPr>
              <w:t>（</w:t>
            </w:r>
            <w:r>
              <w:rPr>
                <w:szCs w:val="21"/>
              </w:rPr>
              <w:t>2</w:t>
            </w:r>
            <w:r>
              <w:rPr>
                <w:rFonts w:hint="eastAsia"/>
                <w:szCs w:val="21"/>
              </w:rPr>
              <w:t>）</w:t>
            </w:r>
          </w:p>
        </w:tc>
        <w:tc>
          <w:tcPr>
            <w:tcW w:w="1516" w:type="pct"/>
            <w:vAlign w:val="center"/>
          </w:tcPr>
          <w:p>
            <w:pPr>
              <w:pStyle w:val="42"/>
              <w:rPr>
                <w:szCs w:val="21"/>
              </w:rPr>
            </w:pPr>
            <w:r>
              <w:rPr>
                <w:rFonts w:hint="eastAsia"/>
                <w:szCs w:val="21"/>
              </w:rPr>
              <w:t>环保投资</w:t>
            </w:r>
          </w:p>
        </w:tc>
        <w:tc>
          <w:tcPr>
            <w:tcW w:w="784" w:type="pct"/>
            <w:tcBorders>
              <w:right w:val="single" w:color="auto" w:sz="4" w:space="0"/>
            </w:tcBorders>
            <w:vAlign w:val="center"/>
          </w:tcPr>
          <w:p>
            <w:pPr>
              <w:pStyle w:val="42"/>
              <w:rPr>
                <w:szCs w:val="21"/>
              </w:rPr>
            </w:pPr>
            <w:r>
              <w:rPr>
                <w:rFonts w:hint="eastAsia"/>
                <w:szCs w:val="21"/>
              </w:rPr>
              <w:t>万元</w:t>
            </w:r>
          </w:p>
        </w:tc>
        <w:tc>
          <w:tcPr>
            <w:tcW w:w="656" w:type="pct"/>
            <w:tcBorders>
              <w:top w:val="single" w:color="auto" w:sz="4" w:space="0"/>
              <w:left w:val="single" w:color="auto" w:sz="4" w:space="0"/>
              <w:bottom w:val="single" w:color="auto" w:sz="4" w:space="0"/>
              <w:right w:val="single" w:color="auto" w:sz="4" w:space="0"/>
            </w:tcBorders>
            <w:vAlign w:val="center"/>
          </w:tcPr>
          <w:p>
            <w:pPr>
              <w:pStyle w:val="42"/>
              <w:rPr>
                <w:szCs w:val="21"/>
              </w:rPr>
            </w:pPr>
            <w:r>
              <w:rPr>
                <w:rFonts w:hint="eastAsia"/>
                <w:szCs w:val="21"/>
              </w:rPr>
              <w:t>218</w:t>
            </w:r>
          </w:p>
        </w:tc>
        <w:tc>
          <w:tcPr>
            <w:tcW w:w="1508" w:type="pct"/>
            <w:tcBorders>
              <w:left w:val="single" w:color="auto" w:sz="4" w:space="0"/>
            </w:tcBorders>
            <w:vAlign w:val="center"/>
          </w:tcPr>
          <w:p>
            <w:pPr>
              <w:pStyle w:val="42"/>
              <w:rPr>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cantSplit/>
          <w:trHeight w:val="20" w:hRule="atLeast"/>
        </w:trPr>
        <w:tc>
          <w:tcPr>
            <w:tcW w:w="536" w:type="pct"/>
            <w:tcBorders>
              <w:bottom w:val="single" w:color="auto" w:sz="2" w:space="0"/>
            </w:tcBorders>
            <w:vAlign w:val="center"/>
          </w:tcPr>
          <w:p>
            <w:pPr>
              <w:pStyle w:val="42"/>
              <w:rPr>
                <w:szCs w:val="21"/>
              </w:rPr>
            </w:pPr>
            <w:r>
              <w:rPr>
                <w:rFonts w:hint="eastAsia"/>
                <w:szCs w:val="21"/>
              </w:rPr>
              <w:t>（</w:t>
            </w:r>
            <w:r>
              <w:rPr>
                <w:szCs w:val="21"/>
              </w:rPr>
              <w:t>3</w:t>
            </w:r>
            <w:r>
              <w:rPr>
                <w:rFonts w:hint="eastAsia"/>
                <w:szCs w:val="21"/>
              </w:rPr>
              <w:t>）</w:t>
            </w:r>
          </w:p>
        </w:tc>
        <w:tc>
          <w:tcPr>
            <w:tcW w:w="1516" w:type="pct"/>
            <w:tcBorders>
              <w:bottom w:val="single" w:color="auto" w:sz="2" w:space="0"/>
            </w:tcBorders>
            <w:vAlign w:val="center"/>
          </w:tcPr>
          <w:p>
            <w:pPr>
              <w:pStyle w:val="42"/>
              <w:rPr>
                <w:szCs w:val="21"/>
              </w:rPr>
            </w:pPr>
            <w:r>
              <w:rPr>
                <w:rFonts w:hint="eastAsia"/>
                <w:szCs w:val="21"/>
              </w:rPr>
              <w:t>环保投资占总投资比例</w:t>
            </w:r>
          </w:p>
        </w:tc>
        <w:tc>
          <w:tcPr>
            <w:tcW w:w="784" w:type="pct"/>
            <w:tcBorders>
              <w:bottom w:val="single" w:color="auto" w:sz="2" w:space="0"/>
            </w:tcBorders>
            <w:vAlign w:val="center"/>
          </w:tcPr>
          <w:p>
            <w:pPr>
              <w:pStyle w:val="42"/>
              <w:rPr>
                <w:szCs w:val="21"/>
              </w:rPr>
            </w:pPr>
            <w:r>
              <w:rPr>
                <w:szCs w:val="21"/>
              </w:rPr>
              <w:t>%</w:t>
            </w:r>
          </w:p>
        </w:tc>
        <w:tc>
          <w:tcPr>
            <w:tcW w:w="656" w:type="pct"/>
            <w:tcBorders>
              <w:top w:val="single" w:color="auto" w:sz="4" w:space="0"/>
              <w:bottom w:val="single" w:color="auto" w:sz="2" w:space="0"/>
            </w:tcBorders>
            <w:vAlign w:val="center"/>
          </w:tcPr>
          <w:p>
            <w:pPr>
              <w:pStyle w:val="42"/>
              <w:rPr>
                <w:szCs w:val="21"/>
              </w:rPr>
            </w:pPr>
            <w:r>
              <w:rPr>
                <w:rFonts w:hint="eastAsia"/>
                <w:szCs w:val="21"/>
              </w:rPr>
              <w:t>0.36</w:t>
            </w:r>
          </w:p>
        </w:tc>
        <w:tc>
          <w:tcPr>
            <w:tcW w:w="1508" w:type="pct"/>
            <w:tcBorders>
              <w:bottom w:val="single" w:color="auto" w:sz="2" w:space="0"/>
            </w:tcBorders>
            <w:vAlign w:val="center"/>
          </w:tcPr>
          <w:p>
            <w:pPr>
              <w:pStyle w:val="42"/>
              <w:rPr>
                <w:szCs w:val="21"/>
              </w:rPr>
            </w:pPr>
          </w:p>
        </w:tc>
      </w:tr>
    </w:tbl>
    <w:p>
      <w:pPr>
        <w:pStyle w:val="41"/>
      </w:pPr>
    </w:p>
    <w:p>
      <w:pPr>
        <w:pStyle w:val="2"/>
        <w:spacing w:before="156" w:after="156"/>
        <w:sectPr>
          <w:headerReference r:id="rId17" w:type="first"/>
          <w:footerReference r:id="rId20" w:type="first"/>
          <w:headerReference r:id="rId15" w:type="default"/>
          <w:footerReference r:id="rId18" w:type="default"/>
          <w:headerReference r:id="rId16" w:type="even"/>
          <w:footerReference r:id="rId19" w:type="even"/>
          <w:pgSz w:w="11906" w:h="16838"/>
          <w:pgMar w:top="1440" w:right="1800" w:bottom="1440" w:left="1800" w:header="851" w:footer="992" w:gutter="0"/>
          <w:cols w:space="425" w:num="1"/>
          <w:docGrid w:type="lines" w:linePitch="312" w:charSpace="0"/>
        </w:sectPr>
      </w:pPr>
    </w:p>
    <w:p>
      <w:pPr>
        <w:pStyle w:val="2"/>
        <w:spacing w:before="163" w:after="163"/>
      </w:pPr>
      <w:bookmarkStart w:id="59" w:name="_Toc84844238"/>
      <w:r>
        <w:rPr>
          <w:rFonts w:hint="eastAsia"/>
        </w:rPr>
        <w:t>3工程分析</w:t>
      </w:r>
      <w:bookmarkEnd w:id="59"/>
    </w:p>
    <w:p>
      <w:pPr>
        <w:pStyle w:val="3"/>
        <w:spacing w:before="163" w:after="163"/>
      </w:pPr>
      <w:bookmarkStart w:id="60" w:name="_Toc456118118"/>
      <w:bookmarkStart w:id="61" w:name="_Toc516070270"/>
      <w:bookmarkStart w:id="62" w:name="_Toc84844239"/>
      <w:r>
        <w:rPr>
          <w:rFonts w:hint="eastAsia"/>
        </w:rPr>
        <w:t>3.1</w:t>
      </w:r>
      <w:bookmarkEnd w:id="60"/>
      <w:bookmarkEnd w:id="61"/>
      <w:r>
        <w:rPr>
          <w:rFonts w:hint="eastAsia"/>
        </w:rPr>
        <w:t>项目技术方案及工艺原理</w:t>
      </w:r>
      <w:bookmarkEnd w:id="62"/>
    </w:p>
    <w:p>
      <w:pPr>
        <w:ind w:firstLine="480"/>
      </w:pPr>
      <w:r>
        <w:rPr>
          <w:rFonts w:hint="eastAsia"/>
        </w:rPr>
        <w:t>拟建项目以发展循环经济为目的，利用重庆卡贝乐化工有限责任公司甲醇装置弛放气为原料合成氨，为确保本工程生产规模和产品方案不受卡贝乐公司甲醇装置生产负荷的影响，再配以天然气作为原料。</w:t>
      </w:r>
    </w:p>
    <w:p>
      <w:pPr>
        <w:ind w:firstLine="480"/>
      </w:pPr>
      <w:r>
        <w:rPr>
          <w:rFonts w:hint="eastAsia"/>
        </w:rPr>
        <w:t>项目合成氨装置主要包括：天然气脱硫（钴钼加氢、ZnO脱硫）、一段蒸汽转化、高温变换、膜分离回收氢、变压吸附（PSA）脱碳提氢和氨合成工序。</w:t>
      </w:r>
    </w:p>
    <w:p>
      <w:pPr>
        <w:ind w:firstLine="480"/>
      </w:pPr>
      <w:r>
        <w:rPr>
          <w:rFonts w:hint="eastAsia"/>
        </w:rPr>
        <w:t>针对合成氨装置副产品CO</w:t>
      </w:r>
      <w:r>
        <w:rPr>
          <w:rFonts w:hint="eastAsia"/>
          <w:vertAlign w:val="subscript"/>
        </w:rPr>
        <w:t>2</w:t>
      </w:r>
      <w:r>
        <w:rPr>
          <w:rFonts w:hint="eastAsia"/>
        </w:rPr>
        <w:t>配套建设CO</w:t>
      </w:r>
      <w:r>
        <w:rPr>
          <w:rFonts w:hint="eastAsia"/>
          <w:vertAlign w:val="subscript"/>
        </w:rPr>
        <w:t>2</w:t>
      </w:r>
      <w:r>
        <w:rPr>
          <w:rFonts w:hint="eastAsia"/>
        </w:rPr>
        <w:t>回收装置，主要包括：提纯干燥、液化等工序，产品液态CO</w:t>
      </w:r>
      <w:r>
        <w:rPr>
          <w:rFonts w:hint="eastAsia"/>
          <w:vertAlign w:val="subscript"/>
        </w:rPr>
        <w:t>2</w:t>
      </w:r>
      <w:r>
        <w:rPr>
          <w:rFonts w:hint="eastAsia"/>
        </w:rPr>
        <w:t>外售。</w:t>
      </w:r>
    </w:p>
    <w:p>
      <w:pPr>
        <w:pStyle w:val="41"/>
      </w:pPr>
      <w:r>
        <w:rPr>
          <w:rFonts w:hint="eastAsia"/>
        </w:rPr>
        <w:t>项目技术方案及工艺原理涉及商业机密，删除。</w:t>
      </w:r>
    </w:p>
    <w:p>
      <w:pPr>
        <w:pStyle w:val="3"/>
        <w:spacing w:before="163" w:after="163"/>
      </w:pPr>
      <w:bookmarkStart w:id="63" w:name="_Toc84844240"/>
      <w:r>
        <w:rPr>
          <w:rFonts w:hint="eastAsia"/>
        </w:rPr>
        <w:t>3.2生产工艺及排污分析</w:t>
      </w:r>
      <w:bookmarkEnd w:id="63"/>
    </w:p>
    <w:p>
      <w:pPr>
        <w:pStyle w:val="4"/>
        <w:spacing w:before="163" w:after="163"/>
      </w:pPr>
      <w:bookmarkStart w:id="64" w:name="_Toc84844241"/>
      <w:r>
        <w:rPr>
          <w:rFonts w:hint="eastAsia"/>
        </w:rPr>
        <w:t>3.2.1工艺流程</w:t>
      </w:r>
      <w:bookmarkEnd w:id="64"/>
    </w:p>
    <w:p>
      <w:pPr>
        <w:pStyle w:val="41"/>
      </w:pPr>
      <w:r>
        <w:rPr>
          <w:rFonts w:hint="eastAsia"/>
        </w:rPr>
        <w:t>工艺流程涉及商业机密，删除。</w:t>
      </w:r>
    </w:p>
    <w:p>
      <w:pPr>
        <w:pStyle w:val="4"/>
        <w:spacing w:before="163" w:after="163"/>
      </w:pPr>
      <w:bookmarkStart w:id="65" w:name="_Toc84844243"/>
      <w:r>
        <w:rPr>
          <w:rFonts w:hint="eastAsia"/>
        </w:rPr>
        <w:t>3.2.3物料平衡</w:t>
      </w:r>
      <w:bookmarkEnd w:id="65"/>
    </w:p>
    <w:p>
      <w:pPr>
        <w:pStyle w:val="41"/>
      </w:pPr>
      <w:r>
        <w:rPr>
          <w:rFonts w:hint="eastAsia"/>
        </w:rPr>
        <w:t>物料平衡涉及商业机密，删除。</w:t>
      </w:r>
    </w:p>
    <w:p>
      <w:pPr>
        <w:pStyle w:val="4"/>
        <w:spacing w:before="163" w:after="163"/>
      </w:pPr>
      <w:bookmarkStart w:id="66" w:name="_Toc84844244"/>
      <w:r>
        <w:rPr>
          <w:rFonts w:hint="eastAsia"/>
        </w:rPr>
        <w:t>3.2.4产、排污分析</w:t>
      </w:r>
      <w:bookmarkEnd w:id="66"/>
    </w:p>
    <w:p>
      <w:pPr>
        <w:pStyle w:val="5"/>
        <w:spacing w:before="163" w:after="163"/>
      </w:pPr>
      <w:r>
        <w:rPr>
          <w:rFonts w:hint="eastAsia"/>
        </w:rPr>
        <w:t>3.2.4.1废气</w:t>
      </w:r>
    </w:p>
    <w:p>
      <w:pPr>
        <w:ind w:firstLine="480"/>
      </w:pPr>
      <w:r>
        <w:rPr>
          <w:rFonts w:hint="eastAsia"/>
        </w:rPr>
        <w:t>拟建项目工艺废气主要为一段转化炉燃烧烟气G1-1，类比《2621氮肥制造行业系数手册》生产规模</w:t>
      </w:r>
      <w:r>
        <w:rPr>
          <w:rFonts w:hint="eastAsia" w:ascii="宋体" w:hAnsi="宋体"/>
        </w:rPr>
        <w:t>＜</w:t>
      </w:r>
      <w:r>
        <w:rPr>
          <w:rFonts w:hint="eastAsia"/>
        </w:rPr>
        <w:t>30万t/a的合成氨企业产污系数（颗粒物产污系数为0.05kg/t产品，NOx产污系数为0.52kg/t产品），结合本工程物料衡算，经计算，废气产生情况详见下表3.2.4-1。</w:t>
      </w:r>
    </w:p>
    <w:p>
      <w:pPr>
        <w:pStyle w:val="41"/>
      </w:pPr>
      <w:r>
        <w:rPr>
          <w:rFonts w:hint="eastAsia"/>
        </w:rPr>
        <w:t>表3.2.4-1 工艺废气产生情况一览表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419"/>
        <w:gridCol w:w="1016"/>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42"/>
              <w:adjustRightInd w:val="0"/>
              <w:textAlignment w:val="baseline"/>
            </w:pPr>
            <w:r>
              <w:rPr>
                <w:rFonts w:hint="eastAsia"/>
              </w:rPr>
              <w:t>产生环节</w:t>
            </w:r>
          </w:p>
        </w:tc>
        <w:tc>
          <w:tcPr>
            <w:tcW w:w="1217" w:type="dxa"/>
            <w:vAlign w:val="center"/>
          </w:tcPr>
          <w:p>
            <w:pPr>
              <w:pStyle w:val="42"/>
              <w:adjustRightInd w:val="0"/>
              <w:textAlignment w:val="baseline"/>
            </w:pPr>
            <w:r>
              <w:rPr>
                <w:rFonts w:hint="eastAsia"/>
              </w:rPr>
              <w:t>废气种类</w:t>
            </w:r>
          </w:p>
        </w:tc>
        <w:tc>
          <w:tcPr>
            <w:tcW w:w="1217" w:type="dxa"/>
            <w:vAlign w:val="center"/>
          </w:tcPr>
          <w:p>
            <w:pPr>
              <w:pStyle w:val="42"/>
              <w:adjustRightInd w:val="0"/>
              <w:textAlignment w:val="baseline"/>
            </w:pPr>
            <w:r>
              <w:rPr>
                <w:rFonts w:hint="eastAsia"/>
              </w:rPr>
              <w:t>风量Nm</w:t>
            </w:r>
            <w:r>
              <w:rPr>
                <w:rFonts w:hint="eastAsia"/>
                <w:vertAlign w:val="superscript"/>
              </w:rPr>
              <w:t>3</w:t>
            </w:r>
            <w:r>
              <w:rPr>
                <w:rFonts w:hint="eastAsia"/>
              </w:rPr>
              <w:t>/h</w:t>
            </w:r>
          </w:p>
        </w:tc>
        <w:tc>
          <w:tcPr>
            <w:tcW w:w="1419" w:type="dxa"/>
            <w:vAlign w:val="center"/>
          </w:tcPr>
          <w:p>
            <w:pPr>
              <w:pStyle w:val="42"/>
              <w:adjustRightInd w:val="0"/>
              <w:textAlignment w:val="baseline"/>
            </w:pPr>
            <w:r>
              <w:rPr>
                <w:rFonts w:hint="eastAsia"/>
              </w:rPr>
              <w:t>污染物</w:t>
            </w:r>
          </w:p>
        </w:tc>
        <w:tc>
          <w:tcPr>
            <w:tcW w:w="1016" w:type="dxa"/>
            <w:vAlign w:val="center"/>
          </w:tcPr>
          <w:p>
            <w:pPr>
              <w:pStyle w:val="42"/>
              <w:adjustRightInd w:val="0"/>
              <w:textAlignment w:val="baseline"/>
            </w:pPr>
            <w:r>
              <w:rPr>
                <w:rFonts w:hint="eastAsia"/>
              </w:rPr>
              <w:t>产生速率kg/h</w:t>
            </w:r>
          </w:p>
        </w:tc>
        <w:tc>
          <w:tcPr>
            <w:tcW w:w="1218" w:type="dxa"/>
            <w:vAlign w:val="center"/>
          </w:tcPr>
          <w:p>
            <w:pPr>
              <w:pStyle w:val="42"/>
              <w:adjustRightInd w:val="0"/>
              <w:textAlignment w:val="baseline"/>
            </w:pPr>
            <w:r>
              <w:rPr>
                <w:rFonts w:hint="eastAsia"/>
              </w:rPr>
              <w:t>产生浓度</w:t>
            </w:r>
            <w:r>
              <w:t>mg/</w:t>
            </w:r>
            <w:r>
              <w:rPr>
                <w:rFonts w:hint="eastAsia"/>
              </w:rPr>
              <w:t>N</w:t>
            </w:r>
            <w:r>
              <w:t>m</w:t>
            </w:r>
            <w:r>
              <w:rPr>
                <w:vertAlign w:val="superscript"/>
              </w:rPr>
              <w:t>3</w:t>
            </w:r>
          </w:p>
        </w:tc>
        <w:tc>
          <w:tcPr>
            <w:tcW w:w="1218" w:type="dxa"/>
            <w:vAlign w:val="center"/>
          </w:tcPr>
          <w:p>
            <w:pPr>
              <w:pStyle w:val="42"/>
              <w:adjustRightInd w:val="0"/>
              <w:textAlignment w:val="baseline"/>
            </w:pPr>
            <w:r>
              <w:rPr>
                <w:rFonts w:hint="eastAsia"/>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42"/>
              <w:adjustRightInd w:val="0"/>
              <w:textAlignment w:val="baseline"/>
            </w:pPr>
            <w:r>
              <w:rPr>
                <w:rFonts w:hint="eastAsia"/>
              </w:rPr>
              <w:t>一段转化炉</w:t>
            </w:r>
          </w:p>
        </w:tc>
        <w:tc>
          <w:tcPr>
            <w:tcW w:w="1217" w:type="dxa"/>
            <w:vAlign w:val="center"/>
          </w:tcPr>
          <w:p>
            <w:pPr>
              <w:pStyle w:val="42"/>
              <w:adjustRightInd w:val="0"/>
              <w:textAlignment w:val="baseline"/>
            </w:pPr>
            <w:r>
              <w:rPr>
                <w:rFonts w:hint="eastAsia"/>
              </w:rPr>
              <w:t>G1-1</w:t>
            </w:r>
          </w:p>
        </w:tc>
        <w:tc>
          <w:tcPr>
            <w:tcW w:w="1217" w:type="dxa"/>
            <w:vAlign w:val="center"/>
          </w:tcPr>
          <w:p>
            <w:pPr>
              <w:pStyle w:val="42"/>
              <w:adjustRightInd w:val="0"/>
              <w:textAlignment w:val="baseline"/>
            </w:pPr>
            <w:r>
              <w:rPr>
                <w:rFonts w:hint="eastAsia"/>
              </w:rPr>
              <w:t>98000</w:t>
            </w:r>
          </w:p>
        </w:tc>
        <w:tc>
          <w:tcPr>
            <w:tcW w:w="1419" w:type="dxa"/>
            <w:vAlign w:val="center"/>
          </w:tcPr>
          <w:p>
            <w:pPr>
              <w:pStyle w:val="42"/>
              <w:adjustRightInd w:val="0"/>
              <w:textAlignment w:val="baseline"/>
            </w:pPr>
            <w:r>
              <w:rPr>
                <w:rFonts w:hint="eastAsia"/>
              </w:rPr>
              <w:t>烟尘</w:t>
            </w:r>
          </w:p>
          <w:p>
            <w:pPr>
              <w:pStyle w:val="42"/>
              <w:adjustRightInd w:val="0"/>
              <w:textAlignment w:val="baseline"/>
            </w:pPr>
            <w:r>
              <w:rPr>
                <w:rFonts w:hint="eastAsia"/>
              </w:rPr>
              <w:t>NO</w:t>
            </w:r>
            <w:r>
              <w:rPr>
                <w:rFonts w:hint="eastAsia"/>
                <w:vertAlign w:val="subscript"/>
              </w:rPr>
              <w:t>x</w:t>
            </w:r>
          </w:p>
          <w:p>
            <w:pPr>
              <w:pStyle w:val="42"/>
              <w:adjustRightInd w:val="0"/>
              <w:textAlignment w:val="baseline"/>
            </w:pPr>
            <w:r>
              <w:rPr>
                <w:rFonts w:hint="eastAsia"/>
              </w:rPr>
              <w:t>SO</w:t>
            </w:r>
            <w:r>
              <w:rPr>
                <w:rFonts w:hint="eastAsia"/>
                <w:vertAlign w:val="subscript"/>
              </w:rPr>
              <w:t>2</w:t>
            </w:r>
          </w:p>
          <w:p>
            <w:pPr>
              <w:pStyle w:val="42"/>
              <w:adjustRightInd w:val="0"/>
              <w:textAlignment w:val="baseline"/>
              <w:rPr>
                <w:vertAlign w:val="subscript"/>
              </w:rPr>
            </w:pPr>
            <w:r>
              <w:rPr>
                <w:rFonts w:hint="eastAsia"/>
              </w:rPr>
              <w:t>NH</w:t>
            </w:r>
            <w:r>
              <w:rPr>
                <w:rFonts w:hint="eastAsia"/>
                <w:vertAlign w:val="subscript"/>
              </w:rPr>
              <w:t>3</w:t>
            </w:r>
          </w:p>
          <w:p>
            <w:pPr>
              <w:pStyle w:val="42"/>
              <w:adjustRightInd w:val="0"/>
              <w:textAlignment w:val="baseline"/>
            </w:pPr>
            <w:r>
              <w:rPr>
                <w:rFonts w:hint="eastAsia"/>
              </w:rPr>
              <w:t>甲醇</w:t>
            </w:r>
          </w:p>
          <w:p>
            <w:pPr>
              <w:pStyle w:val="42"/>
              <w:adjustRightInd w:val="0"/>
              <w:textAlignment w:val="baseline"/>
            </w:pPr>
            <w:r>
              <w:rPr>
                <w:rFonts w:hint="eastAsia"/>
              </w:rPr>
              <w:t>非甲烷总烃</w:t>
            </w:r>
          </w:p>
        </w:tc>
        <w:tc>
          <w:tcPr>
            <w:tcW w:w="1016" w:type="dxa"/>
            <w:vAlign w:val="center"/>
          </w:tcPr>
          <w:p>
            <w:pPr>
              <w:pStyle w:val="42"/>
              <w:adjustRightInd w:val="0"/>
              <w:textAlignment w:val="baseline"/>
            </w:pPr>
            <w:r>
              <w:rPr>
                <w:rFonts w:hint="eastAsia"/>
              </w:rPr>
              <w:t>1.25</w:t>
            </w:r>
          </w:p>
          <w:p>
            <w:pPr>
              <w:pStyle w:val="42"/>
              <w:adjustRightInd w:val="0"/>
              <w:textAlignment w:val="baseline"/>
            </w:pPr>
            <w:r>
              <w:rPr>
                <w:rFonts w:hint="eastAsia"/>
              </w:rPr>
              <w:t>13</w:t>
            </w:r>
          </w:p>
          <w:p>
            <w:pPr>
              <w:pStyle w:val="42"/>
              <w:adjustRightInd w:val="0"/>
              <w:textAlignment w:val="baseline"/>
            </w:pPr>
            <w:r>
              <w:rPr>
                <w:rFonts w:hint="eastAsia"/>
              </w:rPr>
              <w:t>0.98</w:t>
            </w:r>
          </w:p>
          <w:p>
            <w:pPr>
              <w:pStyle w:val="42"/>
              <w:adjustRightInd w:val="0"/>
              <w:textAlignment w:val="baseline"/>
            </w:pPr>
            <w:r>
              <w:rPr>
                <w:rFonts w:hint="eastAsia"/>
              </w:rPr>
              <w:t>0.057</w:t>
            </w:r>
          </w:p>
          <w:p>
            <w:pPr>
              <w:pStyle w:val="42"/>
              <w:adjustRightInd w:val="0"/>
              <w:textAlignment w:val="baseline"/>
            </w:pPr>
            <w:r>
              <w:rPr>
                <w:rFonts w:hint="eastAsia"/>
              </w:rPr>
              <w:t>0.11</w:t>
            </w:r>
          </w:p>
          <w:p>
            <w:pPr>
              <w:pStyle w:val="42"/>
              <w:adjustRightInd w:val="0"/>
              <w:textAlignment w:val="baseline"/>
            </w:pPr>
            <w:r>
              <w:rPr>
                <w:rFonts w:hint="eastAsia"/>
              </w:rPr>
              <w:t>0.18</w:t>
            </w:r>
          </w:p>
        </w:tc>
        <w:tc>
          <w:tcPr>
            <w:tcW w:w="1218" w:type="dxa"/>
            <w:vAlign w:val="center"/>
          </w:tcPr>
          <w:p>
            <w:pPr>
              <w:pStyle w:val="42"/>
              <w:adjustRightInd w:val="0"/>
              <w:textAlignment w:val="baseline"/>
            </w:pPr>
            <w:r>
              <w:rPr>
                <w:rFonts w:hint="eastAsia"/>
              </w:rPr>
              <w:t>12.76</w:t>
            </w:r>
          </w:p>
          <w:p>
            <w:pPr>
              <w:pStyle w:val="42"/>
              <w:adjustRightInd w:val="0"/>
              <w:textAlignment w:val="baseline"/>
            </w:pPr>
            <w:r>
              <w:rPr>
                <w:rFonts w:hint="eastAsia"/>
              </w:rPr>
              <w:t>132.65</w:t>
            </w:r>
          </w:p>
          <w:p>
            <w:pPr>
              <w:pStyle w:val="42"/>
              <w:adjustRightInd w:val="0"/>
              <w:textAlignment w:val="baseline"/>
            </w:pPr>
            <w:r>
              <w:rPr>
                <w:rFonts w:hint="eastAsia"/>
              </w:rPr>
              <w:t>10</w:t>
            </w:r>
          </w:p>
          <w:p>
            <w:pPr>
              <w:pStyle w:val="42"/>
              <w:adjustRightInd w:val="0"/>
              <w:textAlignment w:val="baseline"/>
            </w:pPr>
            <w:r>
              <w:rPr>
                <w:rFonts w:hint="eastAsia"/>
              </w:rPr>
              <w:t>0.58</w:t>
            </w:r>
          </w:p>
          <w:p>
            <w:pPr>
              <w:pStyle w:val="42"/>
              <w:adjustRightInd w:val="0"/>
              <w:textAlignment w:val="baseline"/>
            </w:pPr>
            <w:r>
              <w:rPr>
                <w:rFonts w:hint="eastAsia"/>
              </w:rPr>
              <w:t>1.16</w:t>
            </w:r>
          </w:p>
          <w:p>
            <w:pPr>
              <w:pStyle w:val="42"/>
              <w:adjustRightInd w:val="0"/>
              <w:textAlignment w:val="baseline"/>
            </w:pPr>
            <w:r>
              <w:rPr>
                <w:rFonts w:hint="eastAsia"/>
              </w:rPr>
              <w:t>1.85</w:t>
            </w:r>
          </w:p>
        </w:tc>
        <w:tc>
          <w:tcPr>
            <w:tcW w:w="1218" w:type="dxa"/>
            <w:vAlign w:val="center"/>
          </w:tcPr>
          <w:p>
            <w:pPr>
              <w:pStyle w:val="42"/>
              <w:adjustRightInd w:val="0"/>
              <w:textAlignment w:val="baseline"/>
            </w:pPr>
            <w:r>
              <w:rPr>
                <w:rFonts w:hint="eastAsia"/>
              </w:rPr>
              <w:t>集中收集，60m高排气筒排放</w:t>
            </w:r>
          </w:p>
        </w:tc>
      </w:tr>
    </w:tbl>
    <w:p>
      <w:pPr>
        <w:pStyle w:val="5"/>
        <w:spacing w:before="163" w:after="163"/>
      </w:pPr>
      <w:r>
        <w:rPr>
          <w:rFonts w:hint="eastAsia"/>
        </w:rPr>
        <w:t>3.2.4.2废水</w:t>
      </w:r>
    </w:p>
    <w:p>
      <w:pPr>
        <w:ind w:firstLine="480"/>
      </w:pPr>
      <w:r>
        <w:rPr>
          <w:rFonts w:hint="eastAsia"/>
        </w:rPr>
        <w:t>拟建项目运行过程中无工艺废水产生。</w:t>
      </w:r>
    </w:p>
    <w:p>
      <w:pPr>
        <w:pStyle w:val="5"/>
        <w:spacing w:before="163" w:after="163"/>
      </w:pPr>
      <w:r>
        <w:rPr>
          <w:rFonts w:hint="eastAsia"/>
        </w:rPr>
        <w:t>3.2.4.3固体废物</w:t>
      </w:r>
    </w:p>
    <w:p>
      <w:pPr>
        <w:ind w:firstLine="480"/>
      </w:pPr>
      <w:r>
        <w:rPr>
          <w:rFonts w:hint="eastAsia"/>
        </w:rPr>
        <w:t>拟建项目生产装置区固体废物主要为运营期间产生的废脱硫剂、废催化剂和废吸附剂等，均为定期更换，产生情况详见下表3.2.4-2。</w:t>
      </w:r>
    </w:p>
    <w:p>
      <w:pPr>
        <w:ind w:firstLine="480"/>
        <w:sectPr>
          <w:pgSz w:w="11906" w:h="16838"/>
          <w:pgMar w:top="1440" w:right="1800" w:bottom="1440" w:left="1800" w:header="851" w:footer="992" w:gutter="0"/>
          <w:cols w:space="425" w:num="1"/>
          <w:docGrid w:type="lines" w:linePitch="326" w:charSpace="0"/>
        </w:sectPr>
      </w:pPr>
    </w:p>
    <w:p>
      <w:pPr>
        <w:pStyle w:val="41"/>
      </w:pPr>
      <w:r>
        <w:rPr>
          <w:rFonts w:hint="eastAsia"/>
        </w:rPr>
        <w:t>表3.2.4-2 生产装置区固体废物产生情况一览表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817"/>
        <w:gridCol w:w="1138"/>
        <w:gridCol w:w="1705"/>
        <w:gridCol w:w="1240"/>
        <w:gridCol w:w="1196"/>
        <w:gridCol w:w="1701"/>
        <w:gridCol w:w="714"/>
        <w:gridCol w:w="1698"/>
        <w:gridCol w:w="1276"/>
        <w:gridCol w:w="1162"/>
        <w:gridCol w:w="7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tcBorders>
              <w:top w:val="single" w:color="auto" w:sz="8"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装置区</w:t>
            </w:r>
          </w:p>
        </w:tc>
        <w:tc>
          <w:tcPr>
            <w:tcW w:w="288" w:type="pct"/>
            <w:tcBorders>
              <w:top w:val="single" w:color="auto" w:sz="8" w:space="0"/>
              <w:left w:val="single" w:color="auto" w:sz="8" w:space="0"/>
              <w:bottom w:val="single" w:color="auto" w:sz="4" w:space="0"/>
              <w:right w:val="single" w:color="auto" w:sz="4" w:space="0"/>
            </w:tcBorders>
            <w:vAlign w:val="center"/>
          </w:tcPr>
          <w:p>
            <w:pPr>
              <w:pStyle w:val="42"/>
              <w:rPr>
                <w:sz w:val="18"/>
                <w:szCs w:val="18"/>
              </w:rPr>
            </w:pPr>
            <w:r>
              <w:rPr>
                <w:sz w:val="18"/>
                <w:szCs w:val="18"/>
              </w:rPr>
              <w:t>序号</w:t>
            </w:r>
          </w:p>
        </w:tc>
        <w:tc>
          <w:tcPr>
            <w:tcW w:w="401"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危险废物名称</w:t>
            </w:r>
          </w:p>
        </w:tc>
        <w:tc>
          <w:tcPr>
            <w:tcW w:w="601"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危险废物类别</w:t>
            </w:r>
          </w:p>
        </w:tc>
        <w:tc>
          <w:tcPr>
            <w:tcW w:w="437"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危险废物代码</w:t>
            </w:r>
          </w:p>
        </w:tc>
        <w:tc>
          <w:tcPr>
            <w:tcW w:w="422"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产生量</w:t>
            </w:r>
          </w:p>
          <w:p>
            <w:pPr>
              <w:pStyle w:val="42"/>
              <w:rPr>
                <w:sz w:val="18"/>
                <w:szCs w:val="18"/>
              </w:rPr>
            </w:pPr>
            <w:r>
              <w:rPr>
                <w:sz w:val="18"/>
                <w:szCs w:val="18"/>
              </w:rPr>
              <w:t>（</w:t>
            </w:r>
            <w:r>
              <w:rPr>
                <w:rFonts w:hint="eastAsia"/>
                <w:sz w:val="18"/>
                <w:szCs w:val="18"/>
              </w:rPr>
              <w:t>t/a</w:t>
            </w:r>
            <w:r>
              <w:rPr>
                <w:sz w:val="18"/>
                <w:szCs w:val="18"/>
              </w:rPr>
              <w:t>）</w:t>
            </w:r>
          </w:p>
        </w:tc>
        <w:tc>
          <w:tcPr>
            <w:tcW w:w="600"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产生工序及装置</w:t>
            </w:r>
          </w:p>
        </w:tc>
        <w:tc>
          <w:tcPr>
            <w:tcW w:w="252"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形态</w:t>
            </w:r>
          </w:p>
        </w:tc>
        <w:tc>
          <w:tcPr>
            <w:tcW w:w="599"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主要成分</w:t>
            </w:r>
          </w:p>
        </w:tc>
        <w:tc>
          <w:tcPr>
            <w:tcW w:w="450"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有害成分</w:t>
            </w:r>
          </w:p>
        </w:tc>
        <w:tc>
          <w:tcPr>
            <w:tcW w:w="410"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产废周期</w:t>
            </w:r>
          </w:p>
        </w:tc>
        <w:tc>
          <w:tcPr>
            <w:tcW w:w="251" w:type="pct"/>
            <w:tcBorders>
              <w:top w:val="single" w:color="auto" w:sz="8" w:space="0"/>
              <w:left w:val="single" w:color="auto" w:sz="4" w:space="0"/>
              <w:bottom w:val="single" w:color="auto" w:sz="4" w:space="0"/>
              <w:right w:val="single" w:color="auto" w:sz="4" w:space="0"/>
            </w:tcBorders>
            <w:vAlign w:val="center"/>
          </w:tcPr>
          <w:p>
            <w:pPr>
              <w:pStyle w:val="42"/>
              <w:rPr>
                <w:sz w:val="18"/>
                <w:szCs w:val="18"/>
              </w:rPr>
            </w:pPr>
            <w:r>
              <w:rPr>
                <w:sz w:val="18"/>
                <w:szCs w:val="18"/>
              </w:rPr>
              <w:t>危险特性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restart"/>
            <w:tcBorders>
              <w:top w:val="single" w:color="auto" w:sz="4" w:space="0"/>
              <w:left w:val="single" w:color="auto" w:sz="8" w:space="0"/>
              <w:right w:val="single" w:color="auto" w:sz="4" w:space="0"/>
            </w:tcBorders>
            <w:vAlign w:val="center"/>
          </w:tcPr>
          <w:p>
            <w:pPr>
              <w:pStyle w:val="42"/>
              <w:rPr>
                <w:sz w:val="18"/>
                <w:szCs w:val="18"/>
              </w:rPr>
            </w:pPr>
            <w:r>
              <w:rPr>
                <w:rFonts w:hint="eastAsia"/>
                <w:sz w:val="18"/>
                <w:szCs w:val="18"/>
              </w:rPr>
              <w:t>合成氨装置区</w:t>
            </w: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S1-1</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废催化剂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HW50废催化剂</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sz w:val="18"/>
                <w:szCs w:val="18"/>
              </w:rPr>
              <w:t>251-016-50</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153t/3年</w:t>
            </w:r>
          </w:p>
        </w:tc>
        <w:tc>
          <w:tcPr>
            <w:tcW w:w="600" w:type="pct"/>
            <w:tcBorders>
              <w:top w:val="single" w:color="auto" w:sz="4" w:space="0"/>
              <w:left w:val="single" w:color="auto" w:sz="4" w:space="0"/>
              <w:right w:val="single" w:color="auto" w:sz="4" w:space="0"/>
            </w:tcBorders>
            <w:vAlign w:val="center"/>
          </w:tcPr>
          <w:p>
            <w:pPr>
              <w:pStyle w:val="42"/>
              <w:rPr>
                <w:sz w:val="18"/>
                <w:szCs w:val="18"/>
              </w:rPr>
            </w:pPr>
            <w:r>
              <w:rPr>
                <w:rFonts w:hint="eastAsia"/>
                <w:sz w:val="18"/>
                <w:szCs w:val="18"/>
              </w:rPr>
              <w:t>钴钼反应器</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废钴钼催化剂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钴、钼</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3年/次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S1-2</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废脱硫剂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HW50废催化剂</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sz w:val="18"/>
                <w:szCs w:val="18"/>
              </w:rPr>
              <w:t>251-016-50</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1.84t/2年</w:t>
            </w:r>
          </w:p>
        </w:tc>
        <w:tc>
          <w:tcPr>
            <w:tcW w:w="600" w:type="pct"/>
            <w:tcBorders>
              <w:top w:val="single" w:color="auto" w:sz="4" w:space="0"/>
              <w:left w:val="single" w:color="auto" w:sz="4" w:space="0"/>
              <w:right w:val="single" w:color="auto" w:sz="4" w:space="0"/>
            </w:tcBorders>
            <w:vAlign w:val="center"/>
          </w:tcPr>
          <w:p>
            <w:pPr>
              <w:pStyle w:val="42"/>
              <w:rPr>
                <w:sz w:val="18"/>
                <w:szCs w:val="18"/>
              </w:rPr>
            </w:pPr>
            <w:r>
              <w:rPr>
                <w:rFonts w:hint="eastAsia"/>
                <w:sz w:val="18"/>
                <w:szCs w:val="18"/>
              </w:rPr>
              <w:t>脱硫槽</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ZnO、S</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ZnO、S</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2年/次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S1-3</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废催化剂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HW46含镍废物</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ascii="TimesNewRomanPSMT" w:eastAsia="TimesNewRomanPSMT" w:cs="TimesNewRomanPSMT"/>
                <w:kern w:val="0"/>
                <w:sz w:val="18"/>
                <w:szCs w:val="18"/>
              </w:rPr>
              <w:t>900-037-46</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135t/3年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一段转化炉</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镍系催化剂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3年/次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S1-4</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废催化剂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HW46含镍废物</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ascii="TimesNewRomanPSMT" w:eastAsia="TimesNewRomanPSMT" w:cs="TimesNewRomanPSMT"/>
                <w:kern w:val="0"/>
                <w:sz w:val="18"/>
                <w:szCs w:val="18"/>
              </w:rPr>
              <w:t>900-037-46</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162t/3年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高温变换炉</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镍系催化剂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3年/次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S1-5</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废吸附剂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HW49其他废物</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ascii="TimesNewRomanPSMT" w:eastAsia="TimesNewRomanPSMT" w:cs="TimesNewRomanPSMT"/>
                <w:kern w:val="0"/>
                <w:sz w:val="18"/>
                <w:szCs w:val="18"/>
              </w:rPr>
              <w:t>900-041-49</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503t/15年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PSA吸附器</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活性炭、分子筛等</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烷烃、醇类等</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15年/次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ascii="TimesNewRomanPSMT" w:eastAsia="TimesNewRomanPSMT" w:cs="TimesNewRomanPSMT"/>
                <w:kern w:val="0"/>
                <w:sz w:val="18"/>
                <w:szCs w:val="18"/>
              </w:rPr>
              <w:t>T/In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bottom w:val="single" w:color="auto" w:sz="4"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S1-6</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废催化剂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HW50废催化剂</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ascii="TimesNewRomanPSMT" w:eastAsia="TimesNewRomanPSMT" w:cs="TimesNewRomanPSMT"/>
                <w:kern w:val="0"/>
                <w:sz w:val="18"/>
                <w:szCs w:val="18"/>
              </w:rPr>
              <w:t>261-164-50</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220t/10年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氨合成塔</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铁系催化剂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氧化铁</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10年/次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restart"/>
            <w:tcBorders>
              <w:top w:val="single" w:color="auto" w:sz="4" w:space="0"/>
              <w:left w:val="single" w:color="auto" w:sz="8" w:space="0"/>
              <w:right w:val="single" w:color="auto" w:sz="4" w:space="0"/>
            </w:tcBorders>
            <w:vAlign w:val="center"/>
          </w:tcPr>
          <w:p>
            <w:pPr>
              <w:pStyle w:val="42"/>
              <w:rPr>
                <w:sz w:val="18"/>
                <w:szCs w:val="18"/>
              </w:rPr>
            </w:pPr>
            <w:r>
              <w:rPr>
                <w:rFonts w:hint="eastAsia"/>
                <w:sz w:val="18"/>
                <w:szCs w:val="18"/>
              </w:rPr>
              <w:t>二氧化碳回收装置区</w:t>
            </w: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S2-1</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废脱硫剂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67.7t/2年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脱硫器</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铁的化合物、活性炭等</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氧化铁、废活性炭</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2年/次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top w:val="single" w:color="auto" w:sz="4" w:space="0"/>
              <w:left w:val="single" w:color="auto" w:sz="8"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S2-2</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废催化剂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84t/3年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脱烃反应釜</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废钯系催化剂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钯、烷烃等</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3年/次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7" w:type="pct"/>
            <w:vMerge w:val="continue"/>
            <w:tcBorders>
              <w:left w:val="single" w:color="auto" w:sz="8" w:space="0"/>
              <w:bottom w:val="single" w:color="auto" w:sz="4" w:space="0"/>
              <w:right w:val="single" w:color="auto" w:sz="4" w:space="0"/>
            </w:tcBorders>
            <w:vAlign w:val="center"/>
          </w:tcPr>
          <w:p>
            <w:pPr>
              <w:pStyle w:val="42"/>
              <w:rPr>
                <w:sz w:val="18"/>
                <w:szCs w:val="18"/>
              </w:rPr>
            </w:pPr>
          </w:p>
        </w:tc>
        <w:tc>
          <w:tcPr>
            <w:tcW w:w="288" w:type="pct"/>
            <w:tcBorders>
              <w:top w:val="single" w:color="auto" w:sz="4" w:space="0"/>
              <w:left w:val="single" w:color="auto" w:sz="8" w:space="0"/>
              <w:bottom w:val="single" w:color="auto" w:sz="4" w:space="0"/>
              <w:right w:val="single" w:color="auto" w:sz="4" w:space="0"/>
            </w:tcBorders>
            <w:vAlign w:val="center"/>
          </w:tcPr>
          <w:p>
            <w:pPr>
              <w:pStyle w:val="42"/>
              <w:rPr>
                <w:sz w:val="18"/>
                <w:szCs w:val="18"/>
              </w:rPr>
            </w:pPr>
            <w:r>
              <w:rPr>
                <w:rFonts w:hint="eastAsia"/>
                <w:sz w:val="18"/>
                <w:szCs w:val="18"/>
              </w:rPr>
              <w:t>S2-3</w:t>
            </w:r>
          </w:p>
        </w:tc>
        <w:tc>
          <w:tcPr>
            <w:tcW w:w="4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废吸附剂</w:t>
            </w:r>
          </w:p>
        </w:tc>
        <w:tc>
          <w:tcPr>
            <w:tcW w:w="6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37"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c>
          <w:tcPr>
            <w:tcW w:w="42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15.5t/2年</w:t>
            </w:r>
          </w:p>
        </w:tc>
        <w:tc>
          <w:tcPr>
            <w:tcW w:w="600" w:type="pct"/>
            <w:tcBorders>
              <w:left w:val="single" w:color="auto" w:sz="4" w:space="0"/>
              <w:right w:val="single" w:color="auto" w:sz="4" w:space="0"/>
            </w:tcBorders>
            <w:vAlign w:val="center"/>
          </w:tcPr>
          <w:p>
            <w:pPr>
              <w:pStyle w:val="42"/>
              <w:rPr>
                <w:sz w:val="18"/>
                <w:szCs w:val="18"/>
              </w:rPr>
            </w:pPr>
            <w:r>
              <w:rPr>
                <w:rFonts w:hint="eastAsia"/>
                <w:sz w:val="18"/>
                <w:szCs w:val="18"/>
              </w:rPr>
              <w:t>纯化干燥</w:t>
            </w:r>
          </w:p>
        </w:tc>
        <w:tc>
          <w:tcPr>
            <w:tcW w:w="252"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599"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分子筛、氧化铝和活性炭</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烷烃、醇类等</w:t>
            </w:r>
          </w:p>
        </w:tc>
        <w:tc>
          <w:tcPr>
            <w:tcW w:w="41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2年/次</w:t>
            </w:r>
          </w:p>
        </w:tc>
        <w:tc>
          <w:tcPr>
            <w:tcW w:w="25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w:t>
            </w:r>
          </w:p>
        </w:tc>
      </w:tr>
    </w:tbl>
    <w:p>
      <w:pPr>
        <w:pStyle w:val="41"/>
        <w:sectPr>
          <w:pgSz w:w="16838" w:h="11906" w:orient="landscape"/>
          <w:pgMar w:top="1800" w:right="1440" w:bottom="1800" w:left="1440" w:header="851" w:footer="992" w:gutter="0"/>
          <w:cols w:space="425" w:num="1"/>
          <w:docGrid w:type="lines" w:linePitch="326" w:charSpace="0"/>
        </w:sectPr>
      </w:pPr>
    </w:p>
    <w:p>
      <w:pPr>
        <w:pStyle w:val="5"/>
        <w:spacing w:before="163" w:after="163"/>
      </w:pPr>
      <w:r>
        <w:rPr>
          <w:rFonts w:hint="eastAsia"/>
        </w:rPr>
        <w:t>3.2.4.4噪声</w:t>
      </w:r>
    </w:p>
    <w:p>
      <w:pPr>
        <w:ind w:firstLine="480"/>
      </w:pPr>
      <w:r>
        <w:rPr>
          <w:rFonts w:hint="eastAsia"/>
        </w:rPr>
        <w:t>拟建项目运行过程中的噪声源主要包括各类泵、压缩机和风机等。噪声值为65~95dB（A）。</w:t>
      </w:r>
    </w:p>
    <w:p>
      <w:pPr>
        <w:pStyle w:val="3"/>
        <w:spacing w:before="163" w:after="163"/>
      </w:pPr>
      <w:bookmarkStart w:id="67" w:name="_Toc84844245"/>
      <w:r>
        <w:rPr>
          <w:rFonts w:hint="eastAsia"/>
        </w:rPr>
        <w:t>3.3公辅工程及生活排污分析</w:t>
      </w:r>
      <w:bookmarkEnd w:id="67"/>
    </w:p>
    <w:p>
      <w:pPr>
        <w:pStyle w:val="4"/>
        <w:spacing w:before="163" w:after="163"/>
      </w:pPr>
      <w:bookmarkStart w:id="68" w:name="_Toc84844246"/>
      <w:r>
        <w:rPr>
          <w:rFonts w:hint="eastAsia"/>
        </w:rPr>
        <w:t>3.3.1废水</w:t>
      </w:r>
      <w:bookmarkEnd w:id="68"/>
    </w:p>
    <w:p>
      <w:pPr>
        <w:ind w:firstLine="480"/>
      </w:pPr>
      <w:r>
        <w:rPr>
          <w:rFonts w:hint="eastAsia"/>
        </w:rPr>
        <w:t>（1）热交换器排水：拟建项目配套设置50t/h、25t/h和3t/h的热交换器各一套，冷凝水回用量按80%计，蒸发损失量约为8%，则废水排放量为12%，经计算，锅炉排水约280.8m</w:t>
      </w:r>
      <w:r>
        <w:rPr>
          <w:rFonts w:hint="eastAsia"/>
          <w:vertAlign w:val="superscript"/>
        </w:rPr>
        <w:t>3</w:t>
      </w:r>
      <w:r>
        <w:rPr>
          <w:rFonts w:hint="eastAsia"/>
        </w:rPr>
        <w:t>/d（9.35万m</w:t>
      </w:r>
      <w:r>
        <w:rPr>
          <w:rFonts w:hint="eastAsia"/>
          <w:vertAlign w:val="superscript"/>
        </w:rPr>
        <w:t>3</w:t>
      </w:r>
      <w:r>
        <w:rPr>
          <w:rFonts w:hint="eastAsia"/>
        </w:rPr>
        <w:t>/a），热交换器排水属于清下水，经清下水管网集中收集，排至厂区内雨水总排口，排入园区雨水系统。</w:t>
      </w:r>
    </w:p>
    <w:p>
      <w:pPr>
        <w:ind w:firstLine="480"/>
      </w:pPr>
      <w:r>
        <w:rPr>
          <w:rFonts w:hint="eastAsia"/>
        </w:rPr>
        <w:t>（2）循环水系统排水：拟建项目循环冷却水用量约1020m</w:t>
      </w:r>
      <w:r>
        <w:rPr>
          <w:rFonts w:hint="eastAsia"/>
          <w:vertAlign w:val="superscript"/>
        </w:rPr>
        <w:t>3</w:t>
      </w:r>
      <w:r>
        <w:rPr>
          <w:rFonts w:hint="eastAsia"/>
        </w:rPr>
        <w:t>/h，依托恩力吉公司现有循环水系统供给。</w:t>
      </w:r>
    </w:p>
    <w:p>
      <w:pPr>
        <w:ind w:firstLine="480"/>
      </w:pPr>
      <w:r>
        <w:rPr>
          <w:rFonts w:hint="eastAsia"/>
        </w:rPr>
        <w:t>本工程建成后，恩力吉公司现有循环水系统新增补水量约为489.6m</w:t>
      </w:r>
      <w:r>
        <w:rPr>
          <w:rFonts w:hint="eastAsia"/>
          <w:vertAlign w:val="superscript"/>
        </w:rPr>
        <w:t>3</w:t>
      </w:r>
      <w:r>
        <w:rPr>
          <w:rFonts w:hint="eastAsia"/>
        </w:rPr>
        <w:t>/d，排放量约195.84m</w:t>
      </w:r>
      <w:r>
        <w:rPr>
          <w:rFonts w:hint="eastAsia"/>
          <w:vertAlign w:val="superscript"/>
        </w:rPr>
        <w:t>3</w:t>
      </w:r>
      <w:r>
        <w:rPr>
          <w:rFonts w:hint="eastAsia"/>
        </w:rPr>
        <w:t>/d，循环水系统排水由恩力吉公司清下水管网集中收集，经厂区雨水总排口排入园区雨水管网。</w:t>
      </w:r>
    </w:p>
    <w:p>
      <w:pPr>
        <w:ind w:firstLine="480"/>
      </w:pPr>
      <w:r>
        <w:rPr>
          <w:rFonts w:hint="eastAsia"/>
        </w:rPr>
        <w:t>（3）脱盐水站排水：拟建项目脱盐水需求量为58.76m</w:t>
      </w:r>
      <w:r>
        <w:rPr>
          <w:rFonts w:hint="eastAsia"/>
          <w:vertAlign w:val="superscript"/>
        </w:rPr>
        <w:t>3</w:t>
      </w:r>
      <w:r>
        <w:rPr>
          <w:rFonts w:hint="eastAsia"/>
        </w:rPr>
        <w:t>/h，依托恩力吉公司现有脱盐水系统。脱盐水站产水率按70%计，则废水排放量为604.39m</w:t>
      </w:r>
      <w:r>
        <w:rPr>
          <w:rFonts w:hint="eastAsia"/>
          <w:vertAlign w:val="superscript"/>
        </w:rPr>
        <w:t>3</w:t>
      </w:r>
      <w:r>
        <w:rPr>
          <w:rFonts w:hint="eastAsia"/>
        </w:rPr>
        <w:t>/d（20.126万m</w:t>
      </w:r>
      <w:r>
        <w:rPr>
          <w:rFonts w:hint="eastAsia"/>
          <w:vertAlign w:val="superscript"/>
        </w:rPr>
        <w:t>3</w:t>
      </w:r>
      <w:r>
        <w:rPr>
          <w:rFonts w:hint="eastAsia"/>
        </w:rPr>
        <w:t>/a），恩力吉公司现有脱盐水站排水由清下水管道集中收集，经厂区雨水排口排入园区雨水系统。</w:t>
      </w:r>
    </w:p>
    <w:p>
      <w:pPr>
        <w:ind w:firstLine="480"/>
      </w:pPr>
      <w:r>
        <w:rPr>
          <w:rFonts w:hint="eastAsia"/>
        </w:rPr>
        <w:t>（4）地坪清洗水：拟建项目合成氨装置区建筑面积20145m</w:t>
      </w:r>
      <w:r>
        <w:rPr>
          <w:rFonts w:hint="eastAsia"/>
          <w:vertAlign w:val="superscript"/>
        </w:rPr>
        <w:t>2</w:t>
      </w:r>
      <w:r>
        <w:rPr>
          <w:rFonts w:hint="eastAsia"/>
        </w:rPr>
        <w:t>，二氧化碳回收液化装置区建筑面积6666m</w:t>
      </w:r>
      <w:r>
        <w:rPr>
          <w:rFonts w:hint="eastAsia"/>
          <w:vertAlign w:val="superscript"/>
        </w:rPr>
        <w:t>2</w:t>
      </w:r>
      <w:r>
        <w:rPr>
          <w:rFonts w:hint="eastAsia"/>
        </w:rPr>
        <w:t>，每周清洗1次，采用拖把拖地的方式清洁。</w:t>
      </w:r>
    </w:p>
    <w:p>
      <w:pPr>
        <w:ind w:firstLine="480"/>
      </w:pPr>
      <w:r>
        <w:rPr>
          <w:rFonts w:hint="eastAsia"/>
        </w:rPr>
        <w:t>地坪清洗耗水量按2L/m</w:t>
      </w:r>
      <w:r>
        <w:rPr>
          <w:rFonts w:hint="eastAsia"/>
          <w:vertAlign w:val="superscript"/>
        </w:rPr>
        <w:t>2</w:t>
      </w:r>
      <w:r>
        <w:rPr>
          <w:rFonts w:hint="eastAsia"/>
        </w:rPr>
        <w:t>次计，排污系数按90%计，则地坪清洗水排放量约为48.26m</w:t>
      </w:r>
      <w:r>
        <w:rPr>
          <w:rFonts w:hint="eastAsia"/>
          <w:vertAlign w:val="superscript"/>
        </w:rPr>
        <w:t>3</w:t>
      </w:r>
      <w:r>
        <w:rPr>
          <w:rFonts w:hint="eastAsia"/>
        </w:rPr>
        <w:t>/次（6.89m</w:t>
      </w:r>
      <w:r>
        <w:rPr>
          <w:rFonts w:hint="eastAsia"/>
          <w:vertAlign w:val="superscript"/>
        </w:rPr>
        <w:t>3</w:t>
      </w:r>
      <w:r>
        <w:rPr>
          <w:rFonts w:hint="eastAsia"/>
        </w:rPr>
        <w:t>/d，2295.8m</w:t>
      </w:r>
      <w:r>
        <w:rPr>
          <w:rFonts w:hint="eastAsia"/>
          <w:vertAlign w:val="superscript"/>
        </w:rPr>
        <w:t>3</w:t>
      </w:r>
      <w:r>
        <w:rPr>
          <w:rFonts w:hint="eastAsia"/>
        </w:rPr>
        <w:t>/a），主要含COD、BOD</w:t>
      </w:r>
      <w:r>
        <w:rPr>
          <w:rFonts w:hint="eastAsia"/>
          <w:vertAlign w:val="subscript"/>
        </w:rPr>
        <w:t>5</w:t>
      </w:r>
      <w:r>
        <w:rPr>
          <w:rFonts w:hint="eastAsia"/>
        </w:rPr>
        <w:t>、SS、NH</w:t>
      </w:r>
      <w:r>
        <w:rPr>
          <w:rFonts w:hint="eastAsia"/>
          <w:vertAlign w:val="subscript"/>
        </w:rPr>
        <w:t>3</w:t>
      </w:r>
      <w:r>
        <w:rPr>
          <w:rFonts w:hint="eastAsia"/>
        </w:rPr>
        <w:t>-N和石油类等，COD：1000mg/L、BOD</w:t>
      </w:r>
      <w:r>
        <w:rPr>
          <w:rFonts w:hint="eastAsia"/>
          <w:vertAlign w:val="subscript"/>
        </w:rPr>
        <w:t>5</w:t>
      </w:r>
      <w:r>
        <w:rPr>
          <w:rFonts w:hint="eastAsia"/>
        </w:rPr>
        <w:t>：300mg/l、SS：400mg/L、NH</w:t>
      </w:r>
      <w:r>
        <w:rPr>
          <w:rFonts w:hint="eastAsia"/>
          <w:vertAlign w:val="subscript"/>
        </w:rPr>
        <w:t>3</w:t>
      </w:r>
      <w:r>
        <w:rPr>
          <w:rFonts w:hint="eastAsia"/>
        </w:rPr>
        <w:t>-N：50mg/l、石油类：8mg/L，间歇排放，作为低浓度废水去公司污水处理站进行处理。</w:t>
      </w:r>
    </w:p>
    <w:p>
      <w:pPr>
        <w:ind w:firstLine="480"/>
      </w:pPr>
      <w:r>
        <w:rPr>
          <w:rFonts w:hint="eastAsia"/>
        </w:rPr>
        <w:t>（5）生活污水：拟建项目劳动定员80名，生活用水量按100L/人•d计，产生的污水量按其用量的90%计，则将产生生活污水7.2m</w:t>
      </w:r>
      <w:r>
        <w:rPr>
          <w:rFonts w:hint="eastAsia"/>
          <w:vertAlign w:val="superscript"/>
        </w:rPr>
        <w:t>3</w:t>
      </w:r>
      <w:r>
        <w:rPr>
          <w:rFonts w:hint="eastAsia"/>
        </w:rPr>
        <w:t>/d（2379.6m</w:t>
      </w:r>
      <w:r>
        <w:rPr>
          <w:rFonts w:hint="eastAsia"/>
          <w:vertAlign w:val="superscript"/>
        </w:rPr>
        <w:t>3</w:t>
      </w:r>
      <w:r>
        <w:rPr>
          <w:rFonts w:hint="eastAsia"/>
        </w:rPr>
        <w:t>/a），主要污染物为COD：400mg/l、BOD</w:t>
      </w:r>
      <w:r>
        <w:rPr>
          <w:rFonts w:hint="eastAsia"/>
          <w:vertAlign w:val="subscript"/>
        </w:rPr>
        <w:t>5</w:t>
      </w:r>
      <w:r>
        <w:rPr>
          <w:rFonts w:hint="eastAsia"/>
        </w:rPr>
        <w:t>：150mg/l、SS：250mg/l、NH</w:t>
      </w:r>
      <w:r>
        <w:rPr>
          <w:rFonts w:hint="eastAsia"/>
          <w:vertAlign w:val="subscript"/>
        </w:rPr>
        <w:t>3</w:t>
      </w:r>
      <w:r>
        <w:rPr>
          <w:rFonts w:hint="eastAsia"/>
        </w:rPr>
        <w:t>-N：50mg/l，集中收集排入厂区化粪池处理。</w:t>
      </w:r>
    </w:p>
    <w:p>
      <w:pPr>
        <w:pStyle w:val="4"/>
        <w:spacing w:before="163" w:after="163"/>
      </w:pPr>
      <w:bookmarkStart w:id="69" w:name="_Toc84844247"/>
      <w:r>
        <w:rPr>
          <w:rFonts w:hint="eastAsia"/>
        </w:rPr>
        <w:t>3.3.2废气</w:t>
      </w:r>
      <w:bookmarkEnd w:id="69"/>
    </w:p>
    <w:p>
      <w:pPr>
        <w:ind w:firstLine="480"/>
      </w:pPr>
      <w:r>
        <w:rPr>
          <w:rFonts w:hint="eastAsia"/>
        </w:rPr>
        <w:t>（1）废水处理站臭气：拟建项目废水处理站调节池、沉淀池和SBR生化池等构筑物运营过程中将产生臭气影响，主要污染物为硫化氢、氨等。</w:t>
      </w:r>
    </w:p>
    <w:p>
      <w:pPr>
        <w:ind w:firstLine="480"/>
      </w:pPr>
      <w:r>
        <w:rPr>
          <w:rFonts w:hint="eastAsia"/>
        </w:rPr>
        <w:t>本工程将对废水处理站产生恶臭的构筑物进行加盖密闭，废气管道集中收集，经“活性炭吸附”处理后15m高空达标排放，同时，采取加强周边绿化等措施。</w:t>
      </w:r>
    </w:p>
    <w:p>
      <w:pPr>
        <w:ind w:firstLine="480"/>
      </w:pPr>
      <w:r>
        <w:rPr>
          <w:rFonts w:hint="eastAsia"/>
        </w:rPr>
        <w:t>（2）无组织排放废气：拟建项目生产过程采用全密闭设备，且安装先进的自动控制系统和安全报警装置，系统可根据压力、阀位检测、温度、流量等参数自动对工艺或设备故障进行自动诊断，并设有可燃、有毒气体检测报警仪，一旦发生气体泄漏，系统将自动报警，并立即采取措施，所以拟建项目生产装置区的无组织排放量控制在较低水平；拟建项目液氨闪蒸槽废气经管道收集接入氨洗塔，水洗处理后排入一段转化炉作为燃料回收利用；二氧化碳储罐区呼吸废气管道集中收集，作为纯化干燥工序再生气回用。</w:t>
      </w:r>
    </w:p>
    <w:p>
      <w:pPr>
        <w:ind w:firstLine="480"/>
      </w:pPr>
      <w:r>
        <w:rPr>
          <w:rFonts w:hint="eastAsia"/>
        </w:rPr>
        <w:t>拟建项目生产装置相对密闭，装置区无组织散排废气主要来源于阀门、法兰等管道连接处，本次评价装置区按原料气（主要为甲烷，非甲烷烃类含量低、约占天然气质量分数的0.99</w:t>
      </w:r>
      <w:r>
        <w:t>%</w:t>
      </w:r>
      <w:r>
        <w:rPr>
          <w:rFonts w:hint="eastAsia"/>
        </w:rPr>
        <w:t>）消耗量，或产品合成氨的产量的十万分之一考虑无组织排放废气量，经计算，无组织排放非甲烷总烃0.0006</w:t>
      </w:r>
      <w:r>
        <w:t>kg/h</w:t>
      </w:r>
      <w:r>
        <w:rPr>
          <w:rFonts w:hint="eastAsia"/>
        </w:rPr>
        <w:t>，NH</w:t>
      </w:r>
      <w:r>
        <w:rPr>
          <w:rFonts w:hint="eastAsia"/>
          <w:vertAlign w:val="subscript"/>
        </w:rPr>
        <w:t>3</w:t>
      </w:r>
      <w:r>
        <w:rPr>
          <w:rFonts w:hint="eastAsia"/>
        </w:rPr>
        <w:t>0.25kg/h。</w:t>
      </w:r>
    </w:p>
    <w:p>
      <w:pPr>
        <w:pStyle w:val="4"/>
        <w:spacing w:before="163" w:after="163"/>
      </w:pPr>
      <w:bookmarkStart w:id="70" w:name="_Toc84844248"/>
      <w:r>
        <w:rPr>
          <w:rFonts w:hint="eastAsia"/>
        </w:rPr>
        <w:t>3.3.3固体废物</w:t>
      </w:r>
      <w:bookmarkEnd w:id="70"/>
    </w:p>
    <w:p>
      <w:pPr>
        <w:ind w:firstLine="480"/>
      </w:pPr>
      <w:r>
        <w:rPr>
          <w:rFonts w:hint="eastAsia"/>
        </w:rPr>
        <w:t>（1）污泥S3：拟建项目废水处理站将产生一定量的剩余污泥，产量约0.5t/a，集中收集送垃圾填埋场处置。</w:t>
      </w:r>
    </w:p>
    <w:p>
      <w:pPr>
        <w:ind w:firstLine="480"/>
      </w:pPr>
      <w:r>
        <w:rPr>
          <w:rFonts w:hint="eastAsia"/>
        </w:rPr>
        <w:t>（2）废活性炭S4：拟建项目废水处理站臭气采用活性炭吸附处理，废气处理系统活性炭预计1个月更换一次，约0.02t/次，则废活性炭产生量约为0.24t/a，根据《国家危险废物名录》，废活性炭属于危险废物HW49（废物代码：900-041-49），集中收集后送有危废处理资质单位进行处置。</w:t>
      </w:r>
    </w:p>
    <w:p>
      <w:pPr>
        <w:ind w:firstLine="480"/>
      </w:pPr>
      <w:r>
        <w:rPr>
          <w:rFonts w:hint="eastAsia"/>
        </w:rPr>
        <w:t>（3）生活垃圾S5：拟建项目劳动定员80人，生活与办公垃圾按照0.5kg/人.天，按333天计算，生活垃圾产生量13.32t/a，由长寿区环卫部门统一处置。</w:t>
      </w:r>
    </w:p>
    <w:p>
      <w:pPr>
        <w:pStyle w:val="4"/>
        <w:spacing w:before="163" w:after="163"/>
      </w:pPr>
      <w:bookmarkStart w:id="71" w:name="_Toc84844249"/>
      <w:r>
        <w:rPr>
          <w:rFonts w:hint="eastAsia"/>
        </w:rPr>
        <w:t>3.3.4噪声</w:t>
      </w:r>
      <w:bookmarkEnd w:id="71"/>
    </w:p>
    <w:p>
      <w:pPr>
        <w:ind w:firstLine="480"/>
      </w:pPr>
      <w:r>
        <w:rPr>
          <w:rFonts w:hint="eastAsia"/>
        </w:rPr>
        <w:t>拟建项目公用工程、环保工程中噪声主要来源于风机以及各类泵等，其噪声级为80~95dB（A）。</w:t>
      </w:r>
    </w:p>
    <w:p>
      <w:pPr>
        <w:pStyle w:val="3"/>
        <w:spacing w:before="163" w:after="163"/>
      </w:pPr>
      <w:bookmarkStart w:id="72" w:name="_Toc84844250"/>
      <w:r>
        <w:rPr>
          <w:rFonts w:hint="eastAsia"/>
        </w:rPr>
        <w:t>3.4水平衡和氨平衡</w:t>
      </w:r>
      <w:bookmarkEnd w:id="72"/>
    </w:p>
    <w:p>
      <w:pPr>
        <w:pStyle w:val="4"/>
        <w:spacing w:before="163" w:after="163"/>
      </w:pPr>
      <w:bookmarkStart w:id="73" w:name="_Toc84844251"/>
      <w:r>
        <w:rPr>
          <w:rFonts w:hint="eastAsia"/>
        </w:rPr>
        <w:t>3.4.1水平衡</w:t>
      </w:r>
      <w:bookmarkEnd w:id="73"/>
    </w:p>
    <w:p>
      <w:pPr>
        <w:pStyle w:val="41"/>
      </w:pPr>
      <w:bookmarkStart w:id="74" w:name="_Toc84844252"/>
      <w:r>
        <w:rPr>
          <w:rFonts w:hint="eastAsia"/>
        </w:rPr>
        <w:t>水平衡涉及商业机密，删除。</w:t>
      </w:r>
    </w:p>
    <w:p>
      <w:pPr>
        <w:pStyle w:val="4"/>
        <w:spacing w:before="163" w:after="163"/>
      </w:pPr>
      <w:r>
        <w:rPr>
          <w:rFonts w:hint="eastAsia"/>
        </w:rPr>
        <w:t>3.4.2氨平衡</w:t>
      </w:r>
      <w:bookmarkEnd w:id="74"/>
    </w:p>
    <w:p>
      <w:pPr>
        <w:ind w:firstLine="480"/>
      </w:pPr>
      <w:r>
        <w:rPr>
          <w:rFonts w:hint="eastAsia"/>
        </w:rPr>
        <w:t>拟建项目氨平衡详见下图3.4-4。</w:t>
      </w:r>
    </w:p>
    <w:p>
      <w:pPr>
        <w:pStyle w:val="41"/>
      </w:pPr>
      <w:r>
        <w:rPr>
          <w:rFonts w:hint="eastAsia"/>
        </w:rPr>
        <w:t>氨平衡涉及商业机密，删除。</w:t>
      </w:r>
    </w:p>
    <w:p>
      <w:pPr>
        <w:ind w:firstLine="480"/>
        <w:sectPr>
          <w:pgSz w:w="11906" w:h="16838"/>
          <w:pgMar w:top="1440" w:right="1800" w:bottom="1440" w:left="1800" w:header="851" w:footer="992" w:gutter="0"/>
          <w:cols w:space="425" w:num="1"/>
          <w:docGrid w:type="lines" w:linePitch="326" w:charSpace="0"/>
        </w:sectPr>
      </w:pPr>
    </w:p>
    <w:p>
      <w:pPr>
        <w:pStyle w:val="3"/>
        <w:spacing w:before="163" w:after="163"/>
      </w:pPr>
      <w:bookmarkStart w:id="75" w:name="_Toc84844253"/>
      <w:r>
        <w:rPr>
          <w:rFonts w:hint="eastAsia"/>
        </w:rPr>
        <w:t>3.5拟建项目污染物产生、治理及排放情况汇总</w:t>
      </w:r>
      <w:bookmarkEnd w:id="75"/>
    </w:p>
    <w:p>
      <w:pPr>
        <w:pStyle w:val="4"/>
        <w:spacing w:before="163" w:after="163"/>
      </w:pPr>
      <w:bookmarkStart w:id="76" w:name="_Toc84844254"/>
      <w:r>
        <w:rPr>
          <w:rFonts w:hint="eastAsia"/>
        </w:rPr>
        <w:t>3.5.1废气</w:t>
      </w:r>
      <w:bookmarkEnd w:id="76"/>
    </w:p>
    <w:p>
      <w:pPr>
        <w:ind w:firstLine="480"/>
      </w:pPr>
      <w:r>
        <w:rPr>
          <w:rFonts w:hint="eastAsia"/>
        </w:rPr>
        <w:t>拟建项目废气污染物产生、治理及排放情况详见下表3.5.1-1。</w:t>
      </w:r>
    </w:p>
    <w:p>
      <w:pPr>
        <w:pStyle w:val="4"/>
        <w:spacing w:before="163" w:after="163"/>
      </w:pPr>
      <w:bookmarkStart w:id="77" w:name="_Toc84844255"/>
      <w:r>
        <w:rPr>
          <w:rFonts w:hint="eastAsia"/>
        </w:rPr>
        <w:t>3.5.2废水</w:t>
      </w:r>
      <w:bookmarkEnd w:id="77"/>
    </w:p>
    <w:p>
      <w:pPr>
        <w:ind w:firstLine="480"/>
      </w:pPr>
      <w:r>
        <w:rPr>
          <w:rFonts w:hint="eastAsia"/>
        </w:rPr>
        <w:t>拟建项目运营期无工艺废水产生，废水主要包括热交换器排水、生活污水、地坪清洗水、循环水系统排水和脱盐水站排水，废水产生、治理及排放情况详见下表3.5.2-1。</w:t>
      </w:r>
    </w:p>
    <w:p>
      <w:pPr>
        <w:pStyle w:val="4"/>
        <w:spacing w:before="163" w:after="163"/>
      </w:pPr>
      <w:bookmarkStart w:id="78" w:name="_Toc84844256"/>
      <w:r>
        <w:rPr>
          <w:rFonts w:hint="eastAsia"/>
        </w:rPr>
        <w:t>3.5.3固体废物</w:t>
      </w:r>
      <w:bookmarkEnd w:id="78"/>
    </w:p>
    <w:p>
      <w:pPr>
        <w:ind w:firstLine="480"/>
      </w:pPr>
      <w:r>
        <w:rPr>
          <w:rFonts w:hint="eastAsia"/>
        </w:rPr>
        <w:t>拟建项目固体废物产生及处置情况详见下表3.5.3-1和3.5.3-2。</w:t>
      </w:r>
    </w:p>
    <w:p>
      <w:pPr>
        <w:pStyle w:val="41"/>
      </w:pPr>
      <w:r>
        <w:rPr>
          <w:rFonts w:hint="eastAsia"/>
        </w:rPr>
        <w:t>表3.5.3-2 一般固体废物产生及处置情况一览表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556"/>
        <w:gridCol w:w="1173"/>
        <w:gridCol w:w="1136"/>
        <w:gridCol w:w="1274"/>
        <w:gridCol w:w="992"/>
        <w:gridCol w:w="1843"/>
        <w:gridCol w:w="851"/>
        <w:gridCol w:w="5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32"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序号</w:t>
            </w:r>
          </w:p>
        </w:tc>
        <w:tc>
          <w:tcPr>
            <w:tcW w:w="701"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固废名称</w:t>
            </w:r>
          </w:p>
        </w:tc>
        <w:tc>
          <w:tcPr>
            <w:tcW w:w="679"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排放位置</w:t>
            </w:r>
          </w:p>
        </w:tc>
        <w:tc>
          <w:tcPr>
            <w:tcW w:w="762"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主要成分</w:t>
            </w:r>
          </w:p>
        </w:tc>
        <w:tc>
          <w:tcPr>
            <w:tcW w:w="593"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产生量</w:t>
            </w:r>
            <w:r>
              <w:t>t/a</w:t>
            </w:r>
          </w:p>
        </w:tc>
        <w:tc>
          <w:tcPr>
            <w:tcW w:w="1102"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处理措施</w:t>
            </w:r>
          </w:p>
        </w:tc>
        <w:tc>
          <w:tcPr>
            <w:tcW w:w="509"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排放量</w:t>
            </w:r>
          </w:p>
          <w:p>
            <w:pPr>
              <w:pStyle w:val="42"/>
            </w:pPr>
            <w:r>
              <w:t>t/a</w:t>
            </w:r>
          </w:p>
        </w:tc>
        <w:tc>
          <w:tcPr>
            <w:tcW w:w="321"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产生</w:t>
            </w:r>
          </w:p>
          <w:p>
            <w:pPr>
              <w:pStyle w:val="42"/>
            </w:pPr>
            <w:r>
              <w:rPr>
                <w:rFonts w:hint="eastAsia"/>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32"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S3</w:t>
            </w:r>
          </w:p>
        </w:tc>
        <w:tc>
          <w:tcPr>
            <w:tcW w:w="701"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污泥</w:t>
            </w:r>
          </w:p>
        </w:tc>
        <w:tc>
          <w:tcPr>
            <w:tcW w:w="679"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废水处理站</w:t>
            </w:r>
          </w:p>
        </w:tc>
        <w:tc>
          <w:tcPr>
            <w:tcW w:w="762"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污泥</w:t>
            </w:r>
          </w:p>
        </w:tc>
        <w:tc>
          <w:tcPr>
            <w:tcW w:w="593"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0.5</w:t>
            </w:r>
          </w:p>
        </w:tc>
        <w:tc>
          <w:tcPr>
            <w:tcW w:w="1102"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集中收集，交垃圾填埋场统一处理</w:t>
            </w:r>
          </w:p>
        </w:tc>
        <w:tc>
          <w:tcPr>
            <w:tcW w:w="509" w:type="pct"/>
            <w:tcBorders>
              <w:top w:val="single" w:color="auto" w:sz="6" w:space="0"/>
              <w:left w:val="single" w:color="auto" w:sz="6" w:space="0"/>
              <w:bottom w:val="single" w:color="auto" w:sz="4" w:space="0"/>
              <w:right w:val="single" w:color="auto" w:sz="6" w:space="0"/>
            </w:tcBorders>
            <w:vAlign w:val="center"/>
          </w:tcPr>
          <w:p>
            <w:pPr>
              <w:pStyle w:val="42"/>
            </w:pPr>
            <w:r>
              <w:rPr>
                <w:rFonts w:hint="eastAsia"/>
              </w:rPr>
              <w:t>0</w:t>
            </w:r>
          </w:p>
        </w:tc>
        <w:tc>
          <w:tcPr>
            <w:tcW w:w="321" w:type="pct"/>
            <w:tcBorders>
              <w:top w:val="single" w:color="auto" w:sz="6" w:space="0"/>
              <w:left w:val="single" w:color="auto" w:sz="6" w:space="0"/>
              <w:bottom w:val="single" w:color="auto" w:sz="6" w:space="0"/>
              <w:right w:val="single" w:color="auto" w:sz="6" w:space="0"/>
            </w:tcBorders>
            <w:vAlign w:val="center"/>
          </w:tcPr>
          <w:p>
            <w:pPr>
              <w:pStyle w:val="42"/>
            </w:pPr>
            <w:r>
              <w:rPr>
                <w:rFonts w:hint="eastAsia"/>
              </w:rPr>
              <w:t>间歇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332" w:type="pct"/>
            <w:tcBorders>
              <w:top w:val="single" w:color="auto" w:sz="6" w:space="0"/>
              <w:left w:val="single" w:color="auto" w:sz="6" w:space="0"/>
              <w:right w:val="single" w:color="auto" w:sz="6" w:space="0"/>
            </w:tcBorders>
            <w:vAlign w:val="center"/>
          </w:tcPr>
          <w:p>
            <w:pPr>
              <w:pStyle w:val="42"/>
            </w:pPr>
            <w:r>
              <w:rPr>
                <w:rFonts w:hint="eastAsia"/>
              </w:rPr>
              <w:t>S5</w:t>
            </w:r>
          </w:p>
        </w:tc>
        <w:tc>
          <w:tcPr>
            <w:tcW w:w="701" w:type="pct"/>
            <w:tcBorders>
              <w:top w:val="single" w:color="auto" w:sz="6" w:space="0"/>
              <w:left w:val="single" w:color="auto" w:sz="6" w:space="0"/>
              <w:right w:val="single" w:color="auto" w:sz="6" w:space="0"/>
            </w:tcBorders>
            <w:vAlign w:val="center"/>
          </w:tcPr>
          <w:p>
            <w:pPr>
              <w:pStyle w:val="42"/>
            </w:pPr>
            <w:r>
              <w:rPr>
                <w:rFonts w:hint="eastAsia"/>
              </w:rPr>
              <w:t>生活垃圾</w:t>
            </w:r>
          </w:p>
        </w:tc>
        <w:tc>
          <w:tcPr>
            <w:tcW w:w="679" w:type="pct"/>
            <w:tcBorders>
              <w:left w:val="single" w:color="auto" w:sz="6" w:space="0"/>
              <w:right w:val="single" w:color="auto" w:sz="6" w:space="0"/>
            </w:tcBorders>
            <w:vAlign w:val="center"/>
          </w:tcPr>
          <w:p>
            <w:pPr>
              <w:pStyle w:val="42"/>
            </w:pPr>
            <w:r>
              <w:rPr>
                <w:rFonts w:hint="eastAsia"/>
              </w:rPr>
              <w:t>综合楼</w:t>
            </w:r>
          </w:p>
        </w:tc>
        <w:tc>
          <w:tcPr>
            <w:tcW w:w="762" w:type="pct"/>
            <w:tcBorders>
              <w:top w:val="single" w:color="auto" w:sz="6" w:space="0"/>
              <w:left w:val="single" w:color="auto" w:sz="6" w:space="0"/>
              <w:right w:val="single" w:color="auto" w:sz="6" w:space="0"/>
            </w:tcBorders>
            <w:vAlign w:val="center"/>
          </w:tcPr>
          <w:p>
            <w:pPr>
              <w:pStyle w:val="42"/>
            </w:pPr>
            <w:r>
              <w:rPr>
                <w:rFonts w:hint="eastAsia"/>
              </w:rPr>
              <w:t>废纸、果皮等</w:t>
            </w:r>
          </w:p>
        </w:tc>
        <w:tc>
          <w:tcPr>
            <w:tcW w:w="593" w:type="pct"/>
            <w:tcBorders>
              <w:top w:val="single" w:color="auto" w:sz="6" w:space="0"/>
              <w:left w:val="single" w:color="auto" w:sz="6" w:space="0"/>
              <w:right w:val="single" w:color="auto" w:sz="6" w:space="0"/>
            </w:tcBorders>
            <w:vAlign w:val="center"/>
          </w:tcPr>
          <w:p>
            <w:pPr>
              <w:pStyle w:val="42"/>
            </w:pPr>
            <w:r>
              <w:rPr>
                <w:rFonts w:hint="eastAsia"/>
              </w:rPr>
              <w:t>13.32</w:t>
            </w:r>
          </w:p>
        </w:tc>
        <w:tc>
          <w:tcPr>
            <w:tcW w:w="1102" w:type="pct"/>
            <w:tcBorders>
              <w:top w:val="single" w:color="auto" w:sz="4" w:space="0"/>
              <w:left w:val="single" w:color="auto" w:sz="6" w:space="0"/>
              <w:bottom w:val="single" w:color="auto" w:sz="4" w:space="0"/>
              <w:right w:val="single" w:color="auto" w:sz="6" w:space="0"/>
            </w:tcBorders>
            <w:vAlign w:val="center"/>
          </w:tcPr>
          <w:p>
            <w:pPr>
              <w:pStyle w:val="42"/>
            </w:pPr>
            <w:r>
              <w:rPr>
                <w:rFonts w:hint="eastAsia"/>
              </w:rPr>
              <w:t>袋装收集，交长寿区环卫部门统一处置</w:t>
            </w:r>
          </w:p>
        </w:tc>
        <w:tc>
          <w:tcPr>
            <w:tcW w:w="509" w:type="pct"/>
            <w:tcBorders>
              <w:top w:val="single" w:color="auto" w:sz="6" w:space="0"/>
              <w:left w:val="single" w:color="auto" w:sz="6" w:space="0"/>
              <w:right w:val="single" w:color="auto" w:sz="6" w:space="0"/>
            </w:tcBorders>
            <w:vAlign w:val="center"/>
          </w:tcPr>
          <w:p>
            <w:pPr>
              <w:pStyle w:val="42"/>
            </w:pPr>
            <w:r>
              <w:t>0</w:t>
            </w:r>
          </w:p>
        </w:tc>
        <w:tc>
          <w:tcPr>
            <w:tcW w:w="321" w:type="pct"/>
            <w:tcBorders>
              <w:top w:val="single" w:color="auto" w:sz="6" w:space="0"/>
              <w:left w:val="single" w:color="auto" w:sz="6" w:space="0"/>
              <w:right w:val="single" w:color="auto" w:sz="6" w:space="0"/>
            </w:tcBorders>
            <w:vAlign w:val="center"/>
          </w:tcPr>
          <w:p>
            <w:pPr>
              <w:pStyle w:val="42"/>
            </w:pPr>
            <w:r>
              <w:rPr>
                <w:rFonts w:hint="eastAsia"/>
              </w:rPr>
              <w:t>间歇</w:t>
            </w:r>
          </w:p>
        </w:tc>
      </w:tr>
    </w:tbl>
    <w:p>
      <w:pPr>
        <w:pStyle w:val="4"/>
        <w:spacing w:before="163" w:after="163"/>
      </w:pPr>
      <w:bookmarkStart w:id="79" w:name="_Toc84844257"/>
      <w:r>
        <w:rPr>
          <w:rFonts w:hint="eastAsia"/>
        </w:rPr>
        <w:t>3.5.4噪声</w:t>
      </w:r>
      <w:bookmarkEnd w:id="79"/>
    </w:p>
    <w:p>
      <w:pPr>
        <w:ind w:firstLine="480"/>
      </w:pPr>
      <w:r>
        <w:rPr>
          <w:rFonts w:hint="eastAsia"/>
        </w:rPr>
        <w:t>拟建项目噪声产生、治理及排放情况详见下表3.5.4-1。</w:t>
      </w:r>
    </w:p>
    <w:p>
      <w:pPr>
        <w:pStyle w:val="41"/>
      </w:pPr>
      <w:r>
        <w:rPr>
          <w:rFonts w:hint="eastAsia"/>
        </w:rPr>
        <w:t>表3.5.4-1 拟建项目噪声产生及治理措施一览表单位：dB（A）</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116"/>
        <w:gridCol w:w="1133"/>
        <w:gridCol w:w="709"/>
        <w:gridCol w:w="1133"/>
        <w:gridCol w:w="914"/>
        <w:gridCol w:w="1231"/>
        <w:gridCol w:w="159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t>序号</w:t>
            </w:r>
          </w:p>
        </w:tc>
        <w:tc>
          <w:tcPr>
            <w:tcW w:w="1320" w:type="pct"/>
            <w:gridSpan w:val="2"/>
            <w:vAlign w:val="center"/>
          </w:tcPr>
          <w:p>
            <w:pPr>
              <w:pStyle w:val="42"/>
            </w:pPr>
            <w:r>
              <w:t>声源</w:t>
            </w:r>
          </w:p>
        </w:tc>
        <w:tc>
          <w:tcPr>
            <w:tcW w:w="416" w:type="pct"/>
            <w:vAlign w:val="center"/>
          </w:tcPr>
          <w:p>
            <w:pPr>
              <w:pStyle w:val="42"/>
            </w:pPr>
            <w:r>
              <w:t>台</w:t>
            </w:r>
            <w:r>
              <w:rPr>
                <w:rFonts w:hint="eastAsia"/>
              </w:rPr>
              <w:t>/套</w:t>
            </w:r>
            <w:r>
              <w:t>数</w:t>
            </w:r>
          </w:p>
        </w:tc>
        <w:tc>
          <w:tcPr>
            <w:tcW w:w="665" w:type="pct"/>
            <w:vAlign w:val="center"/>
          </w:tcPr>
          <w:p>
            <w:pPr>
              <w:pStyle w:val="42"/>
            </w:pPr>
            <w:r>
              <w:t>运行情况</w:t>
            </w:r>
          </w:p>
        </w:tc>
        <w:tc>
          <w:tcPr>
            <w:tcW w:w="536" w:type="pct"/>
            <w:vAlign w:val="center"/>
          </w:tcPr>
          <w:p>
            <w:pPr>
              <w:pStyle w:val="42"/>
            </w:pPr>
            <w:r>
              <w:t>治理前声值</w:t>
            </w:r>
          </w:p>
        </w:tc>
        <w:tc>
          <w:tcPr>
            <w:tcW w:w="722" w:type="pct"/>
            <w:vAlign w:val="center"/>
          </w:tcPr>
          <w:p>
            <w:pPr>
              <w:pStyle w:val="42"/>
            </w:pPr>
            <w:r>
              <w:t>治理措施</w:t>
            </w:r>
          </w:p>
        </w:tc>
        <w:tc>
          <w:tcPr>
            <w:tcW w:w="934" w:type="pct"/>
            <w:vAlign w:val="center"/>
          </w:tcPr>
          <w:p>
            <w:pPr>
              <w:pStyle w:val="42"/>
            </w:pPr>
            <w:r>
              <w:t>治理后声值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t>1</w:t>
            </w:r>
          </w:p>
        </w:tc>
        <w:tc>
          <w:tcPr>
            <w:tcW w:w="655" w:type="pct"/>
            <w:vMerge w:val="restart"/>
            <w:vAlign w:val="center"/>
          </w:tcPr>
          <w:p>
            <w:pPr>
              <w:pStyle w:val="42"/>
            </w:pPr>
            <w:r>
              <w:rPr>
                <w:rFonts w:hint="eastAsia"/>
              </w:rPr>
              <w:t>合成氨装置区</w:t>
            </w:r>
          </w:p>
        </w:tc>
        <w:tc>
          <w:tcPr>
            <w:tcW w:w="665" w:type="pct"/>
            <w:vAlign w:val="center"/>
          </w:tcPr>
          <w:p>
            <w:pPr>
              <w:pStyle w:val="42"/>
            </w:pPr>
            <w:r>
              <w:rPr>
                <w:rFonts w:hint="eastAsia"/>
              </w:rPr>
              <w:t>热交换器</w:t>
            </w:r>
          </w:p>
        </w:tc>
        <w:tc>
          <w:tcPr>
            <w:tcW w:w="416" w:type="pct"/>
            <w:vAlign w:val="center"/>
          </w:tcPr>
          <w:p>
            <w:pPr>
              <w:pStyle w:val="42"/>
            </w:pPr>
            <w:r>
              <w:rPr>
                <w:rFonts w:hint="eastAsia"/>
              </w:rPr>
              <w:t>3</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t>2</w:t>
            </w:r>
          </w:p>
        </w:tc>
        <w:tc>
          <w:tcPr>
            <w:tcW w:w="655" w:type="pct"/>
            <w:vMerge w:val="continue"/>
            <w:vAlign w:val="center"/>
          </w:tcPr>
          <w:p>
            <w:pPr>
              <w:pStyle w:val="42"/>
            </w:pPr>
          </w:p>
        </w:tc>
        <w:tc>
          <w:tcPr>
            <w:tcW w:w="665" w:type="pct"/>
            <w:vAlign w:val="center"/>
          </w:tcPr>
          <w:p>
            <w:pPr>
              <w:pStyle w:val="42"/>
            </w:pPr>
            <w:r>
              <w:rPr>
                <w:rFonts w:hint="eastAsia"/>
              </w:rPr>
              <w:t>余热回收发电装置</w:t>
            </w:r>
          </w:p>
        </w:tc>
        <w:tc>
          <w:tcPr>
            <w:tcW w:w="416" w:type="pct"/>
            <w:vAlign w:val="center"/>
          </w:tcPr>
          <w:p>
            <w:pPr>
              <w:pStyle w:val="42"/>
            </w:pPr>
            <w:r>
              <w:rPr>
                <w:rFonts w:hint="eastAsia"/>
              </w:rPr>
              <w:t>1</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3</w:t>
            </w:r>
          </w:p>
        </w:tc>
        <w:tc>
          <w:tcPr>
            <w:tcW w:w="655" w:type="pct"/>
            <w:vMerge w:val="continue"/>
            <w:vAlign w:val="center"/>
          </w:tcPr>
          <w:p>
            <w:pPr>
              <w:pStyle w:val="42"/>
            </w:pPr>
          </w:p>
        </w:tc>
        <w:tc>
          <w:tcPr>
            <w:tcW w:w="665" w:type="pct"/>
            <w:vAlign w:val="center"/>
          </w:tcPr>
          <w:p>
            <w:pPr>
              <w:pStyle w:val="42"/>
            </w:pPr>
            <w:r>
              <w:rPr>
                <w:rFonts w:hint="eastAsia"/>
              </w:rPr>
              <w:t>风机</w:t>
            </w:r>
          </w:p>
        </w:tc>
        <w:tc>
          <w:tcPr>
            <w:tcW w:w="416" w:type="pct"/>
            <w:vAlign w:val="center"/>
          </w:tcPr>
          <w:p>
            <w:pPr>
              <w:pStyle w:val="42"/>
            </w:pPr>
            <w:r>
              <w:rPr>
                <w:rFonts w:hint="eastAsia"/>
              </w:rPr>
              <w:t>2</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消音、减震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4</w:t>
            </w:r>
          </w:p>
        </w:tc>
        <w:tc>
          <w:tcPr>
            <w:tcW w:w="655" w:type="pct"/>
            <w:vMerge w:val="continue"/>
            <w:vAlign w:val="center"/>
          </w:tcPr>
          <w:p>
            <w:pPr>
              <w:pStyle w:val="42"/>
            </w:pPr>
          </w:p>
        </w:tc>
        <w:tc>
          <w:tcPr>
            <w:tcW w:w="665" w:type="pct"/>
            <w:vAlign w:val="center"/>
          </w:tcPr>
          <w:p>
            <w:pPr>
              <w:pStyle w:val="42"/>
            </w:pPr>
            <w:r>
              <w:rPr>
                <w:rFonts w:hint="eastAsia"/>
              </w:rPr>
              <w:t>各类泵</w:t>
            </w:r>
          </w:p>
        </w:tc>
        <w:tc>
          <w:tcPr>
            <w:tcW w:w="416" w:type="pct"/>
            <w:vAlign w:val="center"/>
          </w:tcPr>
          <w:p>
            <w:pPr>
              <w:pStyle w:val="42"/>
            </w:pPr>
            <w:r>
              <w:rPr>
                <w:rFonts w:hint="eastAsia"/>
              </w:rPr>
              <w:t>7</w:t>
            </w:r>
          </w:p>
        </w:tc>
        <w:tc>
          <w:tcPr>
            <w:tcW w:w="665" w:type="pct"/>
            <w:vAlign w:val="center"/>
          </w:tcPr>
          <w:p>
            <w:pPr>
              <w:pStyle w:val="42"/>
            </w:pPr>
            <w:r>
              <w:rPr>
                <w:rFonts w:hint="eastAsia"/>
              </w:rPr>
              <w:t>连续</w:t>
            </w:r>
          </w:p>
        </w:tc>
        <w:tc>
          <w:tcPr>
            <w:tcW w:w="536" w:type="pct"/>
            <w:vAlign w:val="center"/>
          </w:tcPr>
          <w:p>
            <w:pPr>
              <w:pStyle w:val="42"/>
            </w:pPr>
            <w:r>
              <w:t>85~95</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5</w:t>
            </w:r>
          </w:p>
        </w:tc>
        <w:tc>
          <w:tcPr>
            <w:tcW w:w="655" w:type="pct"/>
            <w:vMerge w:val="continue"/>
            <w:vAlign w:val="center"/>
          </w:tcPr>
          <w:p>
            <w:pPr>
              <w:pStyle w:val="42"/>
            </w:pPr>
          </w:p>
        </w:tc>
        <w:tc>
          <w:tcPr>
            <w:tcW w:w="665" w:type="pct"/>
            <w:vAlign w:val="center"/>
          </w:tcPr>
          <w:p>
            <w:pPr>
              <w:pStyle w:val="42"/>
            </w:pPr>
            <w:r>
              <w:rPr>
                <w:rFonts w:hint="eastAsia"/>
              </w:rPr>
              <w:t>压缩机</w:t>
            </w:r>
          </w:p>
        </w:tc>
        <w:tc>
          <w:tcPr>
            <w:tcW w:w="416" w:type="pct"/>
            <w:vAlign w:val="center"/>
          </w:tcPr>
          <w:p>
            <w:pPr>
              <w:pStyle w:val="42"/>
            </w:pPr>
            <w:r>
              <w:rPr>
                <w:rFonts w:hint="eastAsia"/>
              </w:rPr>
              <w:t>5</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6</w:t>
            </w:r>
          </w:p>
        </w:tc>
        <w:tc>
          <w:tcPr>
            <w:tcW w:w="655" w:type="pct"/>
            <w:vMerge w:val="restart"/>
            <w:vAlign w:val="center"/>
          </w:tcPr>
          <w:p>
            <w:pPr>
              <w:pStyle w:val="42"/>
            </w:pPr>
            <w:r>
              <w:rPr>
                <w:rFonts w:hint="eastAsia"/>
              </w:rPr>
              <w:t>CO</w:t>
            </w:r>
            <w:r>
              <w:rPr>
                <w:rFonts w:hint="eastAsia"/>
                <w:vertAlign w:val="subscript"/>
              </w:rPr>
              <w:t>2</w:t>
            </w:r>
            <w:r>
              <w:rPr>
                <w:rFonts w:hint="eastAsia"/>
              </w:rPr>
              <w:t>液化装置区</w:t>
            </w:r>
          </w:p>
        </w:tc>
        <w:tc>
          <w:tcPr>
            <w:tcW w:w="665" w:type="pct"/>
            <w:vAlign w:val="center"/>
          </w:tcPr>
          <w:p>
            <w:pPr>
              <w:pStyle w:val="42"/>
            </w:pPr>
            <w:r>
              <w:rPr>
                <w:rFonts w:hint="eastAsia"/>
              </w:rPr>
              <w:t>压缩机组</w:t>
            </w:r>
          </w:p>
        </w:tc>
        <w:tc>
          <w:tcPr>
            <w:tcW w:w="416" w:type="pct"/>
            <w:vAlign w:val="center"/>
          </w:tcPr>
          <w:p>
            <w:pPr>
              <w:pStyle w:val="42"/>
            </w:pPr>
            <w:r>
              <w:rPr>
                <w:rFonts w:hint="eastAsia"/>
              </w:rPr>
              <w:t>2</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7</w:t>
            </w:r>
          </w:p>
        </w:tc>
        <w:tc>
          <w:tcPr>
            <w:tcW w:w="655" w:type="pct"/>
            <w:vMerge w:val="continue"/>
            <w:vAlign w:val="center"/>
          </w:tcPr>
          <w:p>
            <w:pPr>
              <w:pStyle w:val="42"/>
            </w:pPr>
          </w:p>
        </w:tc>
        <w:tc>
          <w:tcPr>
            <w:tcW w:w="665" w:type="pct"/>
            <w:vAlign w:val="center"/>
          </w:tcPr>
          <w:p>
            <w:pPr>
              <w:pStyle w:val="42"/>
            </w:pPr>
            <w:r>
              <w:rPr>
                <w:rFonts w:hint="eastAsia"/>
              </w:rPr>
              <w:t>制冷机组</w:t>
            </w:r>
          </w:p>
        </w:tc>
        <w:tc>
          <w:tcPr>
            <w:tcW w:w="416" w:type="pct"/>
            <w:vAlign w:val="center"/>
          </w:tcPr>
          <w:p>
            <w:pPr>
              <w:pStyle w:val="42"/>
            </w:pPr>
            <w:r>
              <w:rPr>
                <w:rFonts w:hint="eastAsia"/>
              </w:rPr>
              <w:t>1</w:t>
            </w:r>
          </w:p>
        </w:tc>
        <w:tc>
          <w:tcPr>
            <w:tcW w:w="665" w:type="pct"/>
            <w:vAlign w:val="center"/>
          </w:tcPr>
          <w:p>
            <w:pPr>
              <w:pStyle w:val="42"/>
            </w:pPr>
            <w:r>
              <w:rPr>
                <w:rFonts w:hint="eastAsia"/>
              </w:rPr>
              <w:t>连续</w:t>
            </w:r>
          </w:p>
        </w:tc>
        <w:tc>
          <w:tcPr>
            <w:tcW w:w="536" w:type="pct"/>
            <w:vAlign w:val="center"/>
          </w:tcPr>
          <w:p>
            <w:pPr>
              <w:pStyle w:val="42"/>
            </w:pPr>
            <w:r>
              <w:t>90~95</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8</w:t>
            </w:r>
          </w:p>
        </w:tc>
        <w:tc>
          <w:tcPr>
            <w:tcW w:w="655" w:type="pct"/>
            <w:vMerge w:val="restart"/>
            <w:vAlign w:val="center"/>
          </w:tcPr>
          <w:p>
            <w:pPr>
              <w:pStyle w:val="42"/>
            </w:pPr>
            <w:r>
              <w:rPr>
                <w:rFonts w:hint="eastAsia"/>
              </w:rPr>
              <w:t>废水处理站</w:t>
            </w:r>
          </w:p>
        </w:tc>
        <w:tc>
          <w:tcPr>
            <w:tcW w:w="665" w:type="pct"/>
            <w:vAlign w:val="center"/>
          </w:tcPr>
          <w:p>
            <w:pPr>
              <w:pStyle w:val="42"/>
            </w:pPr>
            <w:r>
              <w:rPr>
                <w:rFonts w:hint="eastAsia"/>
              </w:rPr>
              <w:t>泵</w:t>
            </w:r>
          </w:p>
        </w:tc>
        <w:tc>
          <w:tcPr>
            <w:tcW w:w="416" w:type="pct"/>
            <w:vAlign w:val="center"/>
          </w:tcPr>
          <w:p>
            <w:pPr>
              <w:pStyle w:val="42"/>
            </w:pPr>
            <w:r>
              <w:rPr>
                <w:rFonts w:hint="eastAsia"/>
              </w:rPr>
              <w:t>若干</w:t>
            </w:r>
          </w:p>
        </w:tc>
        <w:tc>
          <w:tcPr>
            <w:tcW w:w="665" w:type="pct"/>
            <w:vAlign w:val="center"/>
          </w:tcPr>
          <w:p>
            <w:pPr>
              <w:pStyle w:val="42"/>
            </w:pPr>
            <w:r>
              <w:rPr>
                <w:rFonts w:hint="eastAsia"/>
              </w:rPr>
              <w:t>连续</w:t>
            </w:r>
          </w:p>
        </w:tc>
        <w:tc>
          <w:tcPr>
            <w:tcW w:w="536" w:type="pct"/>
            <w:vAlign w:val="center"/>
          </w:tcPr>
          <w:p>
            <w:pPr>
              <w:pStyle w:val="42"/>
            </w:pPr>
            <w:r>
              <w:t>85~95</w:t>
            </w:r>
          </w:p>
        </w:tc>
        <w:tc>
          <w:tcPr>
            <w:tcW w:w="722" w:type="pct"/>
            <w:vAlign w:val="center"/>
          </w:tcPr>
          <w:p>
            <w:pPr>
              <w:pStyle w:val="42"/>
            </w:pPr>
            <w:r>
              <w:rPr>
                <w:rFonts w:hint="eastAsia"/>
                <w:sz w:val="18"/>
                <w:szCs w:val="18"/>
              </w:rPr>
              <w:t>隔声、减震</w:t>
            </w:r>
          </w:p>
        </w:tc>
        <w:tc>
          <w:tcPr>
            <w:tcW w:w="934" w:type="pct"/>
            <w:vAlign w:val="center"/>
          </w:tcPr>
          <w:p>
            <w:pPr>
              <w:pStyle w:val="42"/>
            </w:pPr>
            <w:r>
              <w:rPr>
                <w:rFonts w:hint="eastAsia" w:ascii="宋体" w:hAnsi="宋体"/>
              </w:rPr>
              <w:t>≤</w:t>
            </w:r>
            <w:r>
              <w:rPr>
                <w:rFonts w:hint="eastAsia"/>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vAlign w:val="center"/>
          </w:tcPr>
          <w:p>
            <w:pPr>
              <w:pStyle w:val="42"/>
            </w:pPr>
            <w:r>
              <w:rPr>
                <w:rFonts w:hint="eastAsia"/>
              </w:rPr>
              <w:t>9</w:t>
            </w:r>
          </w:p>
        </w:tc>
        <w:tc>
          <w:tcPr>
            <w:tcW w:w="655" w:type="pct"/>
            <w:vMerge w:val="continue"/>
            <w:vAlign w:val="center"/>
          </w:tcPr>
          <w:p>
            <w:pPr>
              <w:pStyle w:val="42"/>
            </w:pPr>
          </w:p>
        </w:tc>
        <w:tc>
          <w:tcPr>
            <w:tcW w:w="665" w:type="pct"/>
            <w:vAlign w:val="center"/>
          </w:tcPr>
          <w:p>
            <w:pPr>
              <w:pStyle w:val="42"/>
            </w:pPr>
            <w:r>
              <w:rPr>
                <w:rFonts w:hint="eastAsia"/>
              </w:rPr>
              <w:t>风机</w:t>
            </w:r>
          </w:p>
        </w:tc>
        <w:tc>
          <w:tcPr>
            <w:tcW w:w="416" w:type="pct"/>
            <w:vAlign w:val="center"/>
          </w:tcPr>
          <w:p>
            <w:pPr>
              <w:pStyle w:val="42"/>
            </w:pPr>
            <w:r>
              <w:rPr>
                <w:rFonts w:hint="eastAsia"/>
              </w:rPr>
              <w:t>1</w:t>
            </w:r>
          </w:p>
        </w:tc>
        <w:tc>
          <w:tcPr>
            <w:tcW w:w="665" w:type="pct"/>
            <w:vAlign w:val="center"/>
          </w:tcPr>
          <w:p>
            <w:pPr>
              <w:pStyle w:val="42"/>
            </w:pPr>
            <w:r>
              <w:rPr>
                <w:rFonts w:hint="eastAsia"/>
              </w:rPr>
              <w:t>连续</w:t>
            </w:r>
          </w:p>
        </w:tc>
        <w:tc>
          <w:tcPr>
            <w:tcW w:w="536" w:type="pct"/>
            <w:vAlign w:val="center"/>
          </w:tcPr>
          <w:p>
            <w:pPr>
              <w:pStyle w:val="42"/>
            </w:pPr>
            <w:r>
              <w:t>90~100</w:t>
            </w:r>
          </w:p>
        </w:tc>
        <w:tc>
          <w:tcPr>
            <w:tcW w:w="722" w:type="pct"/>
            <w:vAlign w:val="center"/>
          </w:tcPr>
          <w:p>
            <w:pPr>
              <w:pStyle w:val="42"/>
            </w:pPr>
            <w:r>
              <w:rPr>
                <w:rFonts w:hint="eastAsia"/>
                <w:sz w:val="18"/>
                <w:szCs w:val="18"/>
              </w:rPr>
              <w:t>消音、减震</w:t>
            </w:r>
          </w:p>
        </w:tc>
        <w:tc>
          <w:tcPr>
            <w:tcW w:w="934" w:type="pct"/>
            <w:vAlign w:val="center"/>
          </w:tcPr>
          <w:p>
            <w:pPr>
              <w:pStyle w:val="42"/>
            </w:pPr>
            <w:r>
              <w:rPr>
                <w:rFonts w:hint="eastAsia" w:ascii="宋体" w:hAnsi="宋体"/>
              </w:rPr>
              <w:t>≤</w:t>
            </w:r>
            <w:r>
              <w:rPr>
                <w:rFonts w:hint="eastAsia"/>
              </w:rPr>
              <w:t>65</w:t>
            </w:r>
          </w:p>
        </w:tc>
      </w:tr>
    </w:tbl>
    <w:p>
      <w:pPr>
        <w:pStyle w:val="41"/>
        <w:sectPr>
          <w:pgSz w:w="11906" w:h="16838"/>
          <w:pgMar w:top="1440" w:right="1800" w:bottom="1440" w:left="1800" w:header="851" w:footer="992" w:gutter="0"/>
          <w:cols w:space="425" w:num="1"/>
          <w:docGrid w:type="lines" w:linePitch="326" w:charSpace="0"/>
        </w:sectPr>
      </w:pPr>
    </w:p>
    <w:p>
      <w:pPr>
        <w:pStyle w:val="41"/>
      </w:pPr>
      <w:r>
        <w:rPr>
          <w:rFonts w:hint="eastAsia"/>
        </w:rPr>
        <w:t>表3.5.1 拟建项目废气污染物产生及排放情况一览表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482"/>
        <w:gridCol w:w="1222"/>
        <w:gridCol w:w="1134"/>
        <w:gridCol w:w="1134"/>
        <w:gridCol w:w="851"/>
        <w:gridCol w:w="1276"/>
        <w:gridCol w:w="1249"/>
        <w:gridCol w:w="874"/>
        <w:gridCol w:w="733"/>
        <w:gridCol w:w="829"/>
        <w:gridCol w:w="709"/>
        <w:gridCol w:w="875"/>
        <w:gridCol w:w="556"/>
        <w:gridCol w:w="553"/>
        <w:gridCol w:w="829"/>
        <w:gridCol w:w="6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restart"/>
            <w:tcMar>
              <w:left w:w="0" w:type="dxa"/>
              <w:right w:w="0" w:type="dxa"/>
            </w:tcMar>
            <w:vAlign w:val="center"/>
          </w:tcPr>
          <w:p>
            <w:pPr>
              <w:pStyle w:val="42"/>
              <w:spacing w:line="300" w:lineRule="exact"/>
              <w:rPr>
                <w:sz w:val="18"/>
                <w:szCs w:val="18"/>
              </w:rPr>
            </w:pPr>
            <w:r>
              <w:rPr>
                <w:sz w:val="18"/>
                <w:szCs w:val="18"/>
              </w:rPr>
              <w:t>序号</w:t>
            </w:r>
          </w:p>
        </w:tc>
        <w:tc>
          <w:tcPr>
            <w:tcW w:w="1222" w:type="dxa"/>
            <w:vMerge w:val="restart"/>
            <w:tcMar>
              <w:left w:w="0" w:type="dxa"/>
              <w:right w:w="0" w:type="dxa"/>
            </w:tcMar>
            <w:vAlign w:val="center"/>
          </w:tcPr>
          <w:p>
            <w:pPr>
              <w:pStyle w:val="42"/>
              <w:spacing w:line="300" w:lineRule="exact"/>
              <w:rPr>
                <w:sz w:val="18"/>
                <w:szCs w:val="18"/>
              </w:rPr>
            </w:pPr>
            <w:r>
              <w:rPr>
                <w:sz w:val="18"/>
                <w:szCs w:val="18"/>
              </w:rPr>
              <w:t>污染源</w:t>
            </w:r>
          </w:p>
        </w:tc>
        <w:tc>
          <w:tcPr>
            <w:tcW w:w="1134" w:type="dxa"/>
            <w:vMerge w:val="restart"/>
            <w:tcMar>
              <w:left w:w="0" w:type="dxa"/>
              <w:right w:w="0" w:type="dxa"/>
            </w:tcMar>
            <w:vAlign w:val="center"/>
          </w:tcPr>
          <w:p>
            <w:pPr>
              <w:pStyle w:val="42"/>
              <w:spacing w:line="300" w:lineRule="exact"/>
              <w:rPr>
                <w:sz w:val="18"/>
                <w:szCs w:val="18"/>
              </w:rPr>
            </w:pPr>
            <w:r>
              <w:rPr>
                <w:sz w:val="18"/>
                <w:szCs w:val="18"/>
              </w:rPr>
              <w:t>排放量</w:t>
            </w:r>
          </w:p>
          <w:p>
            <w:pPr>
              <w:pStyle w:val="42"/>
              <w:spacing w:line="300" w:lineRule="exact"/>
              <w:rPr>
                <w:sz w:val="18"/>
                <w:szCs w:val="18"/>
              </w:rPr>
            </w:pPr>
            <w:r>
              <w:rPr>
                <w:sz w:val="18"/>
                <w:szCs w:val="18"/>
              </w:rPr>
              <w:t>m</w:t>
            </w:r>
            <w:r>
              <w:rPr>
                <w:sz w:val="18"/>
                <w:szCs w:val="18"/>
                <w:vertAlign w:val="superscript"/>
              </w:rPr>
              <w:t>3</w:t>
            </w:r>
            <w:r>
              <w:rPr>
                <w:sz w:val="18"/>
                <w:szCs w:val="18"/>
              </w:rPr>
              <w:t>/h</w:t>
            </w:r>
          </w:p>
        </w:tc>
        <w:tc>
          <w:tcPr>
            <w:tcW w:w="1134" w:type="dxa"/>
            <w:vMerge w:val="restart"/>
            <w:tcMar>
              <w:left w:w="0" w:type="dxa"/>
              <w:right w:w="0" w:type="dxa"/>
            </w:tcMar>
            <w:vAlign w:val="center"/>
          </w:tcPr>
          <w:p>
            <w:pPr>
              <w:pStyle w:val="42"/>
              <w:spacing w:line="300" w:lineRule="exact"/>
              <w:rPr>
                <w:sz w:val="18"/>
                <w:szCs w:val="18"/>
              </w:rPr>
            </w:pPr>
            <w:r>
              <w:rPr>
                <w:sz w:val="18"/>
                <w:szCs w:val="18"/>
              </w:rPr>
              <w:t>污染物</w:t>
            </w:r>
          </w:p>
          <w:p>
            <w:pPr>
              <w:pStyle w:val="42"/>
              <w:spacing w:line="300" w:lineRule="exact"/>
              <w:rPr>
                <w:sz w:val="18"/>
                <w:szCs w:val="18"/>
              </w:rPr>
            </w:pPr>
            <w:r>
              <w:rPr>
                <w:sz w:val="18"/>
                <w:szCs w:val="18"/>
              </w:rPr>
              <w:t>名称</w:t>
            </w:r>
          </w:p>
        </w:tc>
        <w:tc>
          <w:tcPr>
            <w:tcW w:w="2127" w:type="dxa"/>
            <w:gridSpan w:val="2"/>
            <w:tcMar>
              <w:left w:w="0" w:type="dxa"/>
              <w:right w:w="0" w:type="dxa"/>
            </w:tcMar>
            <w:vAlign w:val="center"/>
          </w:tcPr>
          <w:p>
            <w:pPr>
              <w:pStyle w:val="42"/>
              <w:spacing w:line="300" w:lineRule="exact"/>
              <w:rPr>
                <w:sz w:val="18"/>
                <w:szCs w:val="18"/>
              </w:rPr>
            </w:pPr>
            <w:r>
              <w:rPr>
                <w:sz w:val="18"/>
                <w:szCs w:val="18"/>
              </w:rPr>
              <w:t>治理前</w:t>
            </w:r>
          </w:p>
        </w:tc>
        <w:tc>
          <w:tcPr>
            <w:tcW w:w="1249" w:type="dxa"/>
            <w:vMerge w:val="restart"/>
            <w:tcMar>
              <w:left w:w="0" w:type="dxa"/>
              <w:right w:w="0" w:type="dxa"/>
            </w:tcMar>
            <w:vAlign w:val="center"/>
          </w:tcPr>
          <w:p>
            <w:pPr>
              <w:pStyle w:val="42"/>
              <w:spacing w:line="300" w:lineRule="exact"/>
              <w:rPr>
                <w:sz w:val="18"/>
                <w:szCs w:val="18"/>
              </w:rPr>
            </w:pPr>
            <w:r>
              <w:rPr>
                <w:sz w:val="18"/>
                <w:szCs w:val="18"/>
              </w:rPr>
              <w:t>治理措施</w:t>
            </w:r>
          </w:p>
        </w:tc>
        <w:tc>
          <w:tcPr>
            <w:tcW w:w="874" w:type="dxa"/>
            <w:vMerge w:val="restart"/>
            <w:tcMar>
              <w:left w:w="0" w:type="dxa"/>
              <w:right w:w="0" w:type="dxa"/>
            </w:tcMar>
            <w:vAlign w:val="center"/>
          </w:tcPr>
          <w:p>
            <w:pPr>
              <w:pStyle w:val="42"/>
              <w:spacing w:line="300" w:lineRule="exact"/>
              <w:rPr>
                <w:sz w:val="18"/>
                <w:szCs w:val="18"/>
              </w:rPr>
            </w:pPr>
            <w:r>
              <w:rPr>
                <w:sz w:val="18"/>
                <w:szCs w:val="18"/>
              </w:rPr>
              <w:t>治理</w:t>
            </w:r>
          </w:p>
          <w:p>
            <w:pPr>
              <w:pStyle w:val="42"/>
              <w:spacing w:line="300" w:lineRule="exact"/>
              <w:rPr>
                <w:sz w:val="18"/>
                <w:szCs w:val="18"/>
              </w:rPr>
            </w:pPr>
            <w:r>
              <w:rPr>
                <w:sz w:val="18"/>
                <w:szCs w:val="18"/>
              </w:rPr>
              <w:t>效率</w:t>
            </w:r>
          </w:p>
        </w:tc>
        <w:tc>
          <w:tcPr>
            <w:tcW w:w="2271" w:type="dxa"/>
            <w:gridSpan w:val="3"/>
            <w:tcMar>
              <w:left w:w="0" w:type="dxa"/>
              <w:right w:w="0" w:type="dxa"/>
            </w:tcMar>
            <w:vAlign w:val="center"/>
          </w:tcPr>
          <w:p>
            <w:pPr>
              <w:pStyle w:val="42"/>
              <w:spacing w:line="300" w:lineRule="exact"/>
              <w:rPr>
                <w:sz w:val="18"/>
                <w:szCs w:val="18"/>
              </w:rPr>
            </w:pPr>
            <w:r>
              <w:rPr>
                <w:sz w:val="18"/>
                <w:szCs w:val="18"/>
              </w:rPr>
              <w:t>治理后</w:t>
            </w:r>
          </w:p>
        </w:tc>
        <w:tc>
          <w:tcPr>
            <w:tcW w:w="1431" w:type="dxa"/>
            <w:gridSpan w:val="2"/>
            <w:tcBorders>
              <w:bottom w:val="single" w:color="auto" w:sz="4" w:space="0"/>
            </w:tcBorders>
            <w:tcMar>
              <w:left w:w="0" w:type="dxa"/>
              <w:right w:w="0" w:type="dxa"/>
            </w:tcMar>
            <w:vAlign w:val="center"/>
          </w:tcPr>
          <w:p>
            <w:pPr>
              <w:pStyle w:val="42"/>
              <w:spacing w:line="300" w:lineRule="exact"/>
              <w:rPr>
                <w:sz w:val="18"/>
                <w:szCs w:val="18"/>
              </w:rPr>
            </w:pPr>
            <w:r>
              <w:rPr>
                <w:sz w:val="18"/>
                <w:szCs w:val="18"/>
              </w:rPr>
              <w:t>排气筒参数</w:t>
            </w:r>
          </w:p>
        </w:tc>
        <w:tc>
          <w:tcPr>
            <w:tcW w:w="553" w:type="dxa"/>
            <w:vMerge w:val="restart"/>
            <w:tcMar>
              <w:left w:w="0" w:type="dxa"/>
              <w:right w:w="0" w:type="dxa"/>
            </w:tcMar>
            <w:vAlign w:val="center"/>
          </w:tcPr>
          <w:p>
            <w:pPr>
              <w:pStyle w:val="42"/>
              <w:spacing w:line="300" w:lineRule="exact"/>
              <w:rPr>
                <w:sz w:val="18"/>
                <w:szCs w:val="18"/>
              </w:rPr>
            </w:pPr>
            <w:r>
              <w:rPr>
                <w:sz w:val="18"/>
                <w:szCs w:val="18"/>
              </w:rPr>
              <w:t>排方</w:t>
            </w:r>
          </w:p>
          <w:p>
            <w:pPr>
              <w:pStyle w:val="42"/>
              <w:spacing w:line="300" w:lineRule="exact"/>
              <w:rPr>
                <w:sz w:val="18"/>
                <w:szCs w:val="18"/>
              </w:rPr>
            </w:pPr>
            <w:r>
              <w:rPr>
                <w:sz w:val="18"/>
                <w:szCs w:val="18"/>
              </w:rPr>
              <w:t>放式</w:t>
            </w:r>
          </w:p>
        </w:tc>
        <w:tc>
          <w:tcPr>
            <w:tcW w:w="829" w:type="dxa"/>
            <w:vMerge w:val="restart"/>
            <w:tcMar>
              <w:left w:w="0" w:type="dxa"/>
              <w:right w:w="0" w:type="dxa"/>
            </w:tcMar>
            <w:vAlign w:val="center"/>
          </w:tcPr>
          <w:p>
            <w:pPr>
              <w:pStyle w:val="42"/>
              <w:spacing w:line="300" w:lineRule="exact"/>
              <w:rPr>
                <w:sz w:val="18"/>
                <w:szCs w:val="18"/>
              </w:rPr>
            </w:pPr>
            <w:r>
              <w:rPr>
                <w:sz w:val="18"/>
                <w:szCs w:val="18"/>
              </w:rPr>
              <w:t>标准</w:t>
            </w:r>
          </w:p>
          <w:p>
            <w:pPr>
              <w:pStyle w:val="42"/>
              <w:spacing w:line="300" w:lineRule="exact"/>
              <w:rPr>
                <w:sz w:val="18"/>
                <w:szCs w:val="18"/>
              </w:rPr>
            </w:pPr>
            <w:r>
              <w:rPr>
                <w:sz w:val="18"/>
                <w:szCs w:val="18"/>
              </w:rPr>
              <w:t>mg/m</w:t>
            </w:r>
            <w:r>
              <w:rPr>
                <w:sz w:val="18"/>
                <w:szCs w:val="18"/>
                <w:vertAlign w:val="superscript"/>
              </w:rPr>
              <w:t>3</w:t>
            </w:r>
          </w:p>
        </w:tc>
        <w:tc>
          <w:tcPr>
            <w:tcW w:w="658" w:type="dxa"/>
            <w:vMerge w:val="restart"/>
            <w:tcMar>
              <w:left w:w="0" w:type="dxa"/>
              <w:right w:w="0" w:type="dxa"/>
            </w:tcMar>
            <w:vAlign w:val="center"/>
          </w:tcPr>
          <w:p>
            <w:pPr>
              <w:pStyle w:val="42"/>
              <w:spacing w:line="300" w:lineRule="exact"/>
              <w:rPr>
                <w:sz w:val="18"/>
                <w:szCs w:val="18"/>
              </w:rPr>
            </w:pPr>
            <w:r>
              <w:rPr>
                <w:sz w:val="18"/>
                <w:szCs w:val="18"/>
              </w:rPr>
              <w:t>达标</w:t>
            </w:r>
          </w:p>
          <w:p>
            <w:pPr>
              <w:pStyle w:val="42"/>
              <w:spacing w:line="300" w:lineRule="exact"/>
              <w:rPr>
                <w:sz w:val="18"/>
                <w:szCs w:val="18"/>
              </w:rPr>
            </w:pPr>
            <w:r>
              <w:rPr>
                <w:sz w:val="18"/>
                <w:szCs w:val="18"/>
              </w:rPr>
              <w:t>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851" w:type="dxa"/>
            <w:tcMar>
              <w:left w:w="0" w:type="dxa"/>
              <w:right w:w="0" w:type="dxa"/>
            </w:tcMar>
            <w:vAlign w:val="center"/>
          </w:tcPr>
          <w:p>
            <w:pPr>
              <w:pStyle w:val="42"/>
              <w:spacing w:line="300" w:lineRule="exact"/>
              <w:rPr>
                <w:sz w:val="18"/>
                <w:szCs w:val="18"/>
              </w:rPr>
            </w:pPr>
            <w:r>
              <w:rPr>
                <w:sz w:val="18"/>
                <w:szCs w:val="18"/>
              </w:rPr>
              <w:t>浓度</w:t>
            </w:r>
          </w:p>
          <w:p>
            <w:pPr>
              <w:pStyle w:val="42"/>
              <w:spacing w:line="300" w:lineRule="exact"/>
              <w:rPr>
                <w:sz w:val="18"/>
                <w:szCs w:val="18"/>
              </w:rPr>
            </w:pPr>
            <w:r>
              <w:rPr>
                <w:sz w:val="18"/>
                <w:szCs w:val="18"/>
              </w:rPr>
              <w:t>mg/m</w:t>
            </w:r>
            <w:r>
              <w:rPr>
                <w:sz w:val="18"/>
                <w:szCs w:val="18"/>
                <w:vertAlign w:val="superscript"/>
              </w:rPr>
              <w:t>3</w:t>
            </w:r>
          </w:p>
        </w:tc>
        <w:tc>
          <w:tcPr>
            <w:tcW w:w="1276" w:type="dxa"/>
            <w:tcMar>
              <w:left w:w="0" w:type="dxa"/>
              <w:right w:w="0" w:type="dxa"/>
            </w:tcMar>
            <w:vAlign w:val="center"/>
          </w:tcPr>
          <w:p>
            <w:pPr>
              <w:pStyle w:val="42"/>
              <w:spacing w:line="300" w:lineRule="exact"/>
              <w:rPr>
                <w:sz w:val="18"/>
                <w:szCs w:val="18"/>
              </w:rPr>
            </w:pPr>
            <w:r>
              <w:rPr>
                <w:sz w:val="18"/>
                <w:szCs w:val="18"/>
              </w:rPr>
              <w:t>产生量</w:t>
            </w:r>
          </w:p>
          <w:p>
            <w:pPr>
              <w:pStyle w:val="42"/>
              <w:spacing w:line="300" w:lineRule="exact"/>
              <w:rPr>
                <w:sz w:val="18"/>
                <w:szCs w:val="18"/>
              </w:rPr>
            </w:pPr>
            <w:r>
              <w:rPr>
                <w:sz w:val="18"/>
                <w:szCs w:val="18"/>
              </w:rPr>
              <w:t>（kg/h）</w:t>
            </w:r>
          </w:p>
        </w:tc>
        <w:tc>
          <w:tcPr>
            <w:tcW w:w="1249" w:type="dxa"/>
            <w:vMerge w:val="continue"/>
            <w:tcMar>
              <w:left w:w="0" w:type="dxa"/>
              <w:right w:w="0" w:type="dxa"/>
            </w:tcMar>
            <w:vAlign w:val="center"/>
          </w:tcPr>
          <w:p>
            <w:pPr>
              <w:pStyle w:val="42"/>
              <w:spacing w:line="300" w:lineRule="exact"/>
              <w:rPr>
                <w:sz w:val="18"/>
                <w:szCs w:val="18"/>
              </w:rPr>
            </w:pPr>
          </w:p>
        </w:tc>
        <w:tc>
          <w:tcPr>
            <w:tcW w:w="874" w:type="dxa"/>
            <w:vMerge w:val="continue"/>
            <w:tcMar>
              <w:left w:w="0" w:type="dxa"/>
              <w:right w:w="0" w:type="dxa"/>
            </w:tcMar>
            <w:vAlign w:val="center"/>
          </w:tcPr>
          <w:p>
            <w:pPr>
              <w:pStyle w:val="42"/>
              <w:spacing w:line="300" w:lineRule="exact"/>
              <w:rPr>
                <w:sz w:val="18"/>
                <w:szCs w:val="18"/>
              </w:rPr>
            </w:pPr>
          </w:p>
        </w:tc>
        <w:tc>
          <w:tcPr>
            <w:tcW w:w="733" w:type="dxa"/>
            <w:tcMar>
              <w:left w:w="0" w:type="dxa"/>
              <w:right w:w="0" w:type="dxa"/>
            </w:tcMar>
            <w:vAlign w:val="center"/>
          </w:tcPr>
          <w:p>
            <w:pPr>
              <w:pStyle w:val="42"/>
              <w:spacing w:line="300" w:lineRule="exact"/>
              <w:rPr>
                <w:sz w:val="18"/>
                <w:szCs w:val="18"/>
              </w:rPr>
            </w:pPr>
            <w:r>
              <w:rPr>
                <w:sz w:val="18"/>
                <w:szCs w:val="18"/>
              </w:rPr>
              <w:t>浓度</w:t>
            </w:r>
          </w:p>
          <w:p>
            <w:pPr>
              <w:pStyle w:val="42"/>
              <w:spacing w:line="300" w:lineRule="exact"/>
              <w:rPr>
                <w:sz w:val="18"/>
                <w:szCs w:val="18"/>
              </w:rPr>
            </w:pPr>
            <w:r>
              <w:rPr>
                <w:sz w:val="18"/>
                <w:szCs w:val="18"/>
              </w:rPr>
              <w:t>mg/m</w:t>
            </w:r>
            <w:r>
              <w:rPr>
                <w:sz w:val="18"/>
                <w:szCs w:val="18"/>
                <w:vertAlign w:val="superscript"/>
              </w:rPr>
              <w:t>3</w:t>
            </w:r>
          </w:p>
        </w:tc>
        <w:tc>
          <w:tcPr>
            <w:tcW w:w="829" w:type="dxa"/>
            <w:tcMar>
              <w:left w:w="0" w:type="dxa"/>
              <w:right w:w="0" w:type="dxa"/>
            </w:tcMar>
            <w:vAlign w:val="center"/>
          </w:tcPr>
          <w:p>
            <w:pPr>
              <w:pStyle w:val="42"/>
              <w:spacing w:line="300" w:lineRule="exact"/>
              <w:rPr>
                <w:sz w:val="18"/>
                <w:szCs w:val="18"/>
              </w:rPr>
            </w:pPr>
            <w:r>
              <w:rPr>
                <w:sz w:val="18"/>
                <w:szCs w:val="18"/>
              </w:rPr>
              <w:t>排放量</w:t>
            </w:r>
          </w:p>
          <w:p>
            <w:pPr>
              <w:pStyle w:val="42"/>
              <w:spacing w:line="300" w:lineRule="exact"/>
              <w:rPr>
                <w:sz w:val="18"/>
                <w:szCs w:val="18"/>
              </w:rPr>
            </w:pPr>
            <w:r>
              <w:rPr>
                <w:sz w:val="18"/>
                <w:szCs w:val="18"/>
              </w:rPr>
              <w:t>（kg/h）</w:t>
            </w:r>
          </w:p>
        </w:tc>
        <w:tc>
          <w:tcPr>
            <w:tcW w:w="709" w:type="dxa"/>
            <w:tcMar>
              <w:left w:w="0" w:type="dxa"/>
              <w:right w:w="0" w:type="dxa"/>
            </w:tcMar>
            <w:vAlign w:val="center"/>
          </w:tcPr>
          <w:p>
            <w:pPr>
              <w:pStyle w:val="42"/>
              <w:spacing w:line="300" w:lineRule="exact"/>
              <w:rPr>
                <w:sz w:val="18"/>
                <w:szCs w:val="18"/>
              </w:rPr>
            </w:pPr>
            <w:r>
              <w:rPr>
                <w:sz w:val="18"/>
                <w:szCs w:val="18"/>
              </w:rPr>
              <w:t>排放量</w:t>
            </w:r>
          </w:p>
          <w:p>
            <w:pPr>
              <w:pStyle w:val="42"/>
              <w:spacing w:line="300" w:lineRule="exact"/>
              <w:rPr>
                <w:sz w:val="18"/>
                <w:szCs w:val="18"/>
              </w:rPr>
            </w:pPr>
            <w:r>
              <w:rPr>
                <w:sz w:val="18"/>
                <w:szCs w:val="18"/>
              </w:rPr>
              <w:t>（t/a）</w:t>
            </w:r>
          </w:p>
        </w:tc>
        <w:tc>
          <w:tcPr>
            <w:tcW w:w="875" w:type="dxa"/>
            <w:tcBorders>
              <w:top w:val="single" w:color="auto" w:sz="4" w:space="0"/>
              <w:right w:val="single" w:color="auto" w:sz="4" w:space="0"/>
            </w:tcBorders>
            <w:tcMar>
              <w:left w:w="0" w:type="dxa"/>
              <w:right w:w="0" w:type="dxa"/>
            </w:tcMar>
            <w:vAlign w:val="center"/>
          </w:tcPr>
          <w:p>
            <w:pPr>
              <w:pStyle w:val="42"/>
              <w:spacing w:line="300" w:lineRule="exact"/>
              <w:rPr>
                <w:sz w:val="18"/>
                <w:szCs w:val="18"/>
              </w:rPr>
            </w:pPr>
            <w:r>
              <w:rPr>
                <w:sz w:val="18"/>
                <w:szCs w:val="18"/>
              </w:rPr>
              <w:t>H×Ф（m）</w:t>
            </w:r>
          </w:p>
        </w:tc>
        <w:tc>
          <w:tcPr>
            <w:tcW w:w="556" w:type="dxa"/>
            <w:tcBorders>
              <w:top w:val="single" w:color="auto" w:sz="4" w:space="0"/>
              <w:left w:val="single" w:color="auto" w:sz="4" w:space="0"/>
            </w:tcBorders>
            <w:tcMar>
              <w:left w:w="0" w:type="dxa"/>
              <w:right w:w="0" w:type="dxa"/>
            </w:tcMar>
            <w:vAlign w:val="center"/>
          </w:tcPr>
          <w:p>
            <w:pPr>
              <w:pStyle w:val="42"/>
              <w:spacing w:line="300" w:lineRule="exact"/>
              <w:rPr>
                <w:sz w:val="18"/>
                <w:szCs w:val="18"/>
              </w:rPr>
            </w:pPr>
            <w:r>
              <w:rPr>
                <w:sz w:val="18"/>
                <w:szCs w:val="18"/>
              </w:rPr>
              <w:t>温度</w:t>
            </w:r>
            <w:r>
              <w:rPr>
                <w:rFonts w:hint="eastAsia" w:ascii="宋体" w:hAnsi="宋体" w:cs="宋体"/>
                <w:sz w:val="18"/>
                <w:szCs w:val="18"/>
              </w:rPr>
              <w:t>℃</w:t>
            </w:r>
          </w:p>
        </w:tc>
        <w:tc>
          <w:tcPr>
            <w:tcW w:w="553" w:type="dxa"/>
            <w:vMerge w:val="continue"/>
            <w:tcMar>
              <w:left w:w="0" w:type="dxa"/>
              <w:right w:w="0" w:type="dxa"/>
            </w:tcMar>
            <w:vAlign w:val="center"/>
          </w:tcPr>
          <w:p>
            <w:pPr>
              <w:pStyle w:val="42"/>
              <w:spacing w:line="300" w:lineRule="exact"/>
              <w:rPr>
                <w:sz w:val="18"/>
                <w:szCs w:val="18"/>
              </w:rPr>
            </w:pPr>
          </w:p>
        </w:tc>
        <w:tc>
          <w:tcPr>
            <w:tcW w:w="829" w:type="dxa"/>
            <w:vMerge w:val="continue"/>
            <w:tcMar>
              <w:left w:w="0" w:type="dxa"/>
              <w:right w:w="0" w:type="dxa"/>
            </w:tcMar>
            <w:vAlign w:val="center"/>
          </w:tcPr>
          <w:p>
            <w:pPr>
              <w:pStyle w:val="42"/>
              <w:spacing w:line="300" w:lineRule="exact"/>
              <w:rPr>
                <w:sz w:val="18"/>
                <w:szCs w:val="18"/>
              </w:rPr>
            </w:pPr>
          </w:p>
        </w:tc>
        <w:tc>
          <w:tcPr>
            <w:tcW w:w="658" w:type="dxa"/>
            <w:vMerge w:val="continue"/>
            <w:tcMar>
              <w:left w:w="0" w:type="dxa"/>
              <w:right w:w="0" w:type="dxa"/>
            </w:tcMar>
            <w:vAlign w:val="center"/>
          </w:tcPr>
          <w:p>
            <w:pPr>
              <w:pStyle w:val="42"/>
              <w:spacing w:line="300" w:lineRule="exact"/>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restart"/>
            <w:tcMar>
              <w:left w:w="0" w:type="dxa"/>
              <w:right w:w="0" w:type="dxa"/>
            </w:tcMar>
            <w:vAlign w:val="center"/>
          </w:tcPr>
          <w:p>
            <w:pPr>
              <w:pStyle w:val="42"/>
              <w:spacing w:line="300" w:lineRule="exact"/>
              <w:rPr>
                <w:sz w:val="18"/>
                <w:szCs w:val="18"/>
              </w:rPr>
            </w:pPr>
            <w:bookmarkStart w:id="80" w:name="_Hlk50902634"/>
            <w:r>
              <w:rPr>
                <w:rFonts w:hint="eastAsia"/>
                <w:sz w:val="18"/>
                <w:szCs w:val="18"/>
              </w:rPr>
              <w:t>1</w:t>
            </w:r>
          </w:p>
        </w:tc>
        <w:tc>
          <w:tcPr>
            <w:tcW w:w="1222" w:type="dxa"/>
            <w:vMerge w:val="restart"/>
            <w:tcMar>
              <w:left w:w="0" w:type="dxa"/>
              <w:right w:w="0" w:type="dxa"/>
            </w:tcMar>
            <w:vAlign w:val="center"/>
          </w:tcPr>
          <w:p>
            <w:pPr>
              <w:pStyle w:val="42"/>
              <w:spacing w:line="300" w:lineRule="exact"/>
              <w:rPr>
                <w:sz w:val="18"/>
                <w:szCs w:val="18"/>
              </w:rPr>
            </w:pPr>
            <w:r>
              <w:rPr>
                <w:rFonts w:hint="eastAsia"/>
                <w:sz w:val="18"/>
                <w:szCs w:val="18"/>
              </w:rPr>
              <w:t>一段转化炉烟囱</w:t>
            </w:r>
          </w:p>
        </w:tc>
        <w:tc>
          <w:tcPr>
            <w:tcW w:w="1134" w:type="dxa"/>
            <w:vMerge w:val="restart"/>
            <w:tcMar>
              <w:left w:w="0" w:type="dxa"/>
              <w:right w:w="0" w:type="dxa"/>
            </w:tcMar>
            <w:vAlign w:val="center"/>
          </w:tcPr>
          <w:p>
            <w:pPr>
              <w:pStyle w:val="42"/>
              <w:spacing w:line="300" w:lineRule="exact"/>
              <w:rPr>
                <w:sz w:val="18"/>
                <w:szCs w:val="18"/>
              </w:rPr>
            </w:pPr>
            <w:r>
              <w:rPr>
                <w:rFonts w:hint="eastAsia"/>
                <w:sz w:val="18"/>
                <w:szCs w:val="18"/>
              </w:rPr>
              <w:t>86300</w:t>
            </w:r>
          </w:p>
        </w:tc>
        <w:tc>
          <w:tcPr>
            <w:tcW w:w="1134" w:type="dxa"/>
            <w:tcMar>
              <w:left w:w="0" w:type="dxa"/>
              <w:right w:w="0" w:type="dxa"/>
            </w:tcMar>
            <w:vAlign w:val="center"/>
          </w:tcPr>
          <w:p>
            <w:pPr>
              <w:pStyle w:val="42"/>
              <w:spacing w:line="300" w:lineRule="exact"/>
              <w:rPr>
                <w:sz w:val="18"/>
                <w:szCs w:val="18"/>
              </w:rPr>
            </w:pPr>
            <w:r>
              <w:rPr>
                <w:rFonts w:hint="eastAsia"/>
                <w:sz w:val="18"/>
                <w:szCs w:val="18"/>
              </w:rPr>
              <w:t>烟尘</w:t>
            </w:r>
          </w:p>
        </w:tc>
        <w:tc>
          <w:tcPr>
            <w:tcW w:w="851" w:type="dxa"/>
            <w:tcMar>
              <w:left w:w="0" w:type="dxa"/>
              <w:right w:w="0" w:type="dxa"/>
            </w:tcMar>
            <w:vAlign w:val="center"/>
          </w:tcPr>
          <w:p>
            <w:pPr>
              <w:pStyle w:val="42"/>
            </w:pPr>
            <w:r>
              <w:t>12.76</w:t>
            </w:r>
          </w:p>
        </w:tc>
        <w:tc>
          <w:tcPr>
            <w:tcW w:w="1276" w:type="dxa"/>
            <w:tcMar>
              <w:left w:w="0" w:type="dxa"/>
              <w:right w:w="0" w:type="dxa"/>
            </w:tcMar>
            <w:vAlign w:val="center"/>
          </w:tcPr>
          <w:p>
            <w:pPr>
              <w:pStyle w:val="42"/>
            </w:pPr>
            <w:r>
              <w:t>1.25</w:t>
            </w:r>
          </w:p>
        </w:tc>
        <w:tc>
          <w:tcPr>
            <w:tcW w:w="1249" w:type="dxa"/>
            <w:vMerge w:val="restart"/>
            <w:tcMar>
              <w:left w:w="0" w:type="dxa"/>
              <w:right w:w="0" w:type="dxa"/>
            </w:tcMar>
            <w:vAlign w:val="center"/>
          </w:tcPr>
          <w:p>
            <w:pPr>
              <w:pStyle w:val="42"/>
              <w:spacing w:line="300" w:lineRule="exact"/>
              <w:rPr>
                <w:sz w:val="18"/>
                <w:szCs w:val="18"/>
              </w:rPr>
            </w:pPr>
            <w:r>
              <w:rPr>
                <w:rFonts w:hint="eastAsia"/>
                <w:sz w:val="18"/>
                <w:szCs w:val="18"/>
              </w:rPr>
              <w:t>集中收集，60m高排气筒排放</w:t>
            </w: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12.76</w:t>
            </w:r>
          </w:p>
        </w:tc>
        <w:tc>
          <w:tcPr>
            <w:tcW w:w="829" w:type="dxa"/>
            <w:tcMar>
              <w:left w:w="0" w:type="dxa"/>
              <w:right w:w="0" w:type="dxa"/>
            </w:tcMar>
            <w:vAlign w:val="center"/>
          </w:tcPr>
          <w:p>
            <w:pPr>
              <w:pStyle w:val="42"/>
            </w:pPr>
            <w:r>
              <w:t>1.25</w:t>
            </w:r>
          </w:p>
        </w:tc>
        <w:tc>
          <w:tcPr>
            <w:tcW w:w="709" w:type="dxa"/>
            <w:tcMar>
              <w:left w:w="0" w:type="dxa"/>
              <w:right w:w="0" w:type="dxa"/>
            </w:tcMar>
            <w:vAlign w:val="bottom"/>
          </w:tcPr>
          <w:p>
            <w:pPr>
              <w:pStyle w:val="42"/>
              <w:rPr>
                <w:rFonts w:ascii="宋体" w:hAnsi="宋体" w:cs="宋体"/>
              </w:rPr>
            </w:pPr>
            <w:r>
              <w:rPr>
                <w:rFonts w:hint="eastAsia"/>
              </w:rPr>
              <w:t>10</w:t>
            </w:r>
          </w:p>
        </w:tc>
        <w:tc>
          <w:tcPr>
            <w:tcW w:w="875" w:type="dxa"/>
            <w:vMerge w:val="restart"/>
            <w:tcBorders>
              <w:righ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H=60m</w:t>
            </w:r>
          </w:p>
          <w:p>
            <w:pPr>
              <w:pStyle w:val="42"/>
              <w:spacing w:line="300" w:lineRule="exact"/>
              <w:rPr>
                <w:sz w:val="18"/>
                <w:szCs w:val="18"/>
              </w:rPr>
            </w:pPr>
            <w:r>
              <w:rPr>
                <w:sz w:val="18"/>
                <w:szCs w:val="18"/>
              </w:rPr>
              <w:t>Ф</w:t>
            </w:r>
            <w:r>
              <w:rPr>
                <w:rFonts w:hint="eastAsia"/>
                <w:sz w:val="18"/>
                <w:szCs w:val="18"/>
              </w:rPr>
              <w:t>=2.6m</w:t>
            </w:r>
          </w:p>
        </w:tc>
        <w:tc>
          <w:tcPr>
            <w:tcW w:w="556" w:type="dxa"/>
            <w:vMerge w:val="restart"/>
            <w:tcBorders>
              <w:lef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130</w:t>
            </w:r>
          </w:p>
        </w:tc>
        <w:tc>
          <w:tcPr>
            <w:tcW w:w="553" w:type="dxa"/>
            <w:vMerge w:val="restart"/>
            <w:tcMar>
              <w:left w:w="0" w:type="dxa"/>
              <w:right w:w="0" w:type="dxa"/>
            </w:tcMar>
            <w:vAlign w:val="center"/>
          </w:tcPr>
          <w:p>
            <w:pPr>
              <w:pStyle w:val="42"/>
              <w:spacing w:line="300" w:lineRule="exact"/>
              <w:rPr>
                <w:sz w:val="18"/>
                <w:szCs w:val="18"/>
              </w:rPr>
            </w:pPr>
            <w:r>
              <w:rPr>
                <w:rFonts w:hint="eastAsia"/>
                <w:sz w:val="18"/>
                <w:szCs w:val="18"/>
              </w:rPr>
              <w:t>连续</w:t>
            </w:r>
          </w:p>
        </w:tc>
        <w:tc>
          <w:tcPr>
            <w:tcW w:w="829" w:type="dxa"/>
            <w:tcMar>
              <w:left w:w="0" w:type="dxa"/>
              <w:right w:w="0" w:type="dxa"/>
            </w:tcMar>
            <w:vAlign w:val="center"/>
          </w:tcPr>
          <w:p>
            <w:pPr>
              <w:pStyle w:val="42"/>
              <w:spacing w:line="300" w:lineRule="exact"/>
              <w:rPr>
                <w:sz w:val="18"/>
                <w:szCs w:val="18"/>
              </w:rPr>
            </w:pPr>
            <w:r>
              <w:rPr>
                <w:rFonts w:hint="eastAsia"/>
                <w:sz w:val="18"/>
                <w:szCs w:val="18"/>
              </w:rPr>
              <w:t>30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NO</w:t>
            </w:r>
            <w:r>
              <w:rPr>
                <w:rFonts w:hint="eastAsia"/>
                <w:sz w:val="18"/>
                <w:szCs w:val="18"/>
                <w:vertAlign w:val="subscript"/>
              </w:rPr>
              <w:t>x</w:t>
            </w:r>
          </w:p>
        </w:tc>
        <w:tc>
          <w:tcPr>
            <w:tcW w:w="851" w:type="dxa"/>
            <w:tcMar>
              <w:left w:w="0" w:type="dxa"/>
              <w:right w:w="0" w:type="dxa"/>
            </w:tcMar>
            <w:vAlign w:val="center"/>
          </w:tcPr>
          <w:p>
            <w:pPr>
              <w:pStyle w:val="42"/>
            </w:pPr>
            <w:r>
              <w:t>132.65</w:t>
            </w:r>
          </w:p>
        </w:tc>
        <w:tc>
          <w:tcPr>
            <w:tcW w:w="1276" w:type="dxa"/>
            <w:tcMar>
              <w:left w:w="0" w:type="dxa"/>
              <w:right w:w="0" w:type="dxa"/>
            </w:tcMar>
            <w:vAlign w:val="center"/>
          </w:tcPr>
          <w:p>
            <w:pPr>
              <w:pStyle w:val="42"/>
            </w:pPr>
            <w:r>
              <w:t>13</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132.65</w:t>
            </w:r>
          </w:p>
        </w:tc>
        <w:tc>
          <w:tcPr>
            <w:tcW w:w="829" w:type="dxa"/>
            <w:tcMar>
              <w:left w:w="0" w:type="dxa"/>
              <w:right w:w="0" w:type="dxa"/>
            </w:tcMar>
            <w:vAlign w:val="center"/>
          </w:tcPr>
          <w:p>
            <w:pPr>
              <w:pStyle w:val="42"/>
            </w:pPr>
            <w:r>
              <w:t>13</w:t>
            </w:r>
          </w:p>
        </w:tc>
        <w:tc>
          <w:tcPr>
            <w:tcW w:w="709" w:type="dxa"/>
            <w:tcMar>
              <w:left w:w="0" w:type="dxa"/>
              <w:right w:w="0" w:type="dxa"/>
            </w:tcMar>
            <w:vAlign w:val="bottom"/>
          </w:tcPr>
          <w:p>
            <w:pPr>
              <w:pStyle w:val="42"/>
              <w:rPr>
                <w:rFonts w:ascii="宋体" w:hAnsi="宋体" w:cs="宋体"/>
              </w:rPr>
            </w:pPr>
            <w:r>
              <w:rPr>
                <w:rFonts w:hint="eastAsia"/>
              </w:rPr>
              <w:t>104</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200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SO</w:t>
            </w:r>
            <w:r>
              <w:rPr>
                <w:rFonts w:hint="eastAsia"/>
                <w:sz w:val="18"/>
                <w:szCs w:val="18"/>
                <w:vertAlign w:val="subscript"/>
              </w:rPr>
              <w:t>2</w:t>
            </w:r>
          </w:p>
        </w:tc>
        <w:tc>
          <w:tcPr>
            <w:tcW w:w="851" w:type="dxa"/>
            <w:tcMar>
              <w:left w:w="0" w:type="dxa"/>
              <w:right w:w="0" w:type="dxa"/>
            </w:tcMar>
            <w:vAlign w:val="center"/>
          </w:tcPr>
          <w:p>
            <w:pPr>
              <w:pStyle w:val="42"/>
            </w:pPr>
            <w:r>
              <w:t>10</w:t>
            </w:r>
          </w:p>
        </w:tc>
        <w:tc>
          <w:tcPr>
            <w:tcW w:w="1276" w:type="dxa"/>
            <w:tcMar>
              <w:left w:w="0" w:type="dxa"/>
              <w:right w:w="0" w:type="dxa"/>
            </w:tcMar>
            <w:vAlign w:val="center"/>
          </w:tcPr>
          <w:p>
            <w:pPr>
              <w:pStyle w:val="42"/>
            </w:pPr>
            <w:r>
              <w:t>0.98</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10</w:t>
            </w:r>
          </w:p>
        </w:tc>
        <w:tc>
          <w:tcPr>
            <w:tcW w:w="829" w:type="dxa"/>
            <w:tcMar>
              <w:left w:w="0" w:type="dxa"/>
              <w:right w:w="0" w:type="dxa"/>
            </w:tcMar>
            <w:vAlign w:val="center"/>
          </w:tcPr>
          <w:p>
            <w:pPr>
              <w:pStyle w:val="42"/>
            </w:pPr>
            <w:r>
              <w:t>0.98</w:t>
            </w:r>
          </w:p>
        </w:tc>
        <w:tc>
          <w:tcPr>
            <w:tcW w:w="709" w:type="dxa"/>
            <w:tcMar>
              <w:left w:w="0" w:type="dxa"/>
              <w:right w:w="0" w:type="dxa"/>
            </w:tcMar>
            <w:vAlign w:val="bottom"/>
          </w:tcPr>
          <w:p>
            <w:pPr>
              <w:pStyle w:val="42"/>
              <w:rPr>
                <w:rFonts w:ascii="宋体" w:hAnsi="宋体" w:cs="宋体"/>
              </w:rPr>
            </w:pPr>
            <w:r>
              <w:rPr>
                <w:rFonts w:hint="eastAsia"/>
              </w:rPr>
              <w:t>7.84</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100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NH</w:t>
            </w:r>
            <w:r>
              <w:rPr>
                <w:rFonts w:hint="eastAsia"/>
                <w:sz w:val="18"/>
                <w:szCs w:val="18"/>
                <w:vertAlign w:val="subscript"/>
              </w:rPr>
              <w:t>3</w:t>
            </w:r>
          </w:p>
        </w:tc>
        <w:tc>
          <w:tcPr>
            <w:tcW w:w="851" w:type="dxa"/>
            <w:tcMar>
              <w:left w:w="0" w:type="dxa"/>
              <w:right w:w="0" w:type="dxa"/>
            </w:tcMar>
            <w:vAlign w:val="center"/>
          </w:tcPr>
          <w:p>
            <w:pPr>
              <w:pStyle w:val="42"/>
            </w:pPr>
            <w:r>
              <w:t>0.58</w:t>
            </w:r>
          </w:p>
        </w:tc>
        <w:tc>
          <w:tcPr>
            <w:tcW w:w="1276" w:type="dxa"/>
            <w:tcMar>
              <w:left w:w="0" w:type="dxa"/>
              <w:right w:w="0" w:type="dxa"/>
            </w:tcMar>
            <w:vAlign w:val="center"/>
          </w:tcPr>
          <w:p>
            <w:pPr>
              <w:pStyle w:val="42"/>
            </w:pPr>
            <w:r>
              <w:t>0.057</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0.58</w:t>
            </w:r>
          </w:p>
        </w:tc>
        <w:tc>
          <w:tcPr>
            <w:tcW w:w="829" w:type="dxa"/>
            <w:tcMar>
              <w:left w:w="0" w:type="dxa"/>
              <w:right w:w="0" w:type="dxa"/>
            </w:tcMar>
            <w:vAlign w:val="center"/>
          </w:tcPr>
          <w:p>
            <w:pPr>
              <w:pStyle w:val="42"/>
            </w:pPr>
            <w:r>
              <w:t>0.057</w:t>
            </w:r>
          </w:p>
        </w:tc>
        <w:tc>
          <w:tcPr>
            <w:tcW w:w="709" w:type="dxa"/>
            <w:tcMar>
              <w:left w:w="0" w:type="dxa"/>
              <w:right w:w="0" w:type="dxa"/>
            </w:tcMar>
            <w:vAlign w:val="bottom"/>
          </w:tcPr>
          <w:p>
            <w:pPr>
              <w:pStyle w:val="42"/>
              <w:rPr>
                <w:rFonts w:ascii="宋体" w:hAnsi="宋体" w:cs="宋体"/>
              </w:rPr>
            </w:pPr>
            <w:r>
              <w:rPr>
                <w:rFonts w:hint="eastAsia"/>
              </w:rPr>
              <w:t>0.456</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20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非甲烷总烃</w:t>
            </w:r>
          </w:p>
        </w:tc>
        <w:tc>
          <w:tcPr>
            <w:tcW w:w="851" w:type="dxa"/>
            <w:tcMar>
              <w:left w:w="0" w:type="dxa"/>
              <w:right w:w="0" w:type="dxa"/>
            </w:tcMar>
            <w:vAlign w:val="center"/>
          </w:tcPr>
          <w:p>
            <w:pPr>
              <w:pStyle w:val="42"/>
            </w:pPr>
            <w:r>
              <w:t>1.85</w:t>
            </w:r>
          </w:p>
        </w:tc>
        <w:tc>
          <w:tcPr>
            <w:tcW w:w="1276" w:type="dxa"/>
            <w:tcMar>
              <w:left w:w="0" w:type="dxa"/>
              <w:right w:w="0" w:type="dxa"/>
            </w:tcMar>
            <w:vAlign w:val="center"/>
          </w:tcPr>
          <w:p>
            <w:pPr>
              <w:pStyle w:val="42"/>
            </w:pPr>
            <w:r>
              <w:t>0.18</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1.85</w:t>
            </w:r>
          </w:p>
        </w:tc>
        <w:tc>
          <w:tcPr>
            <w:tcW w:w="829" w:type="dxa"/>
            <w:tcMar>
              <w:left w:w="0" w:type="dxa"/>
              <w:right w:w="0" w:type="dxa"/>
            </w:tcMar>
            <w:vAlign w:val="center"/>
          </w:tcPr>
          <w:p>
            <w:pPr>
              <w:pStyle w:val="42"/>
            </w:pPr>
            <w:r>
              <w:t>0.18</w:t>
            </w:r>
          </w:p>
        </w:tc>
        <w:tc>
          <w:tcPr>
            <w:tcW w:w="709" w:type="dxa"/>
            <w:tcMar>
              <w:left w:w="0" w:type="dxa"/>
              <w:right w:w="0" w:type="dxa"/>
            </w:tcMar>
            <w:vAlign w:val="bottom"/>
          </w:tcPr>
          <w:p>
            <w:pPr>
              <w:pStyle w:val="42"/>
              <w:rPr>
                <w:rFonts w:ascii="宋体" w:hAnsi="宋体" w:cs="宋体"/>
              </w:rPr>
            </w:pPr>
            <w:r>
              <w:rPr>
                <w:rFonts w:hint="eastAsia"/>
              </w:rPr>
              <w:t>1.44</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120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bookmarkEnd w:id="80"/>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甲醇</w:t>
            </w:r>
          </w:p>
        </w:tc>
        <w:tc>
          <w:tcPr>
            <w:tcW w:w="851" w:type="dxa"/>
            <w:tcMar>
              <w:left w:w="0" w:type="dxa"/>
              <w:right w:w="0" w:type="dxa"/>
            </w:tcMar>
            <w:vAlign w:val="center"/>
          </w:tcPr>
          <w:p>
            <w:pPr>
              <w:pStyle w:val="42"/>
            </w:pPr>
            <w:r>
              <w:t>1.16</w:t>
            </w:r>
          </w:p>
        </w:tc>
        <w:tc>
          <w:tcPr>
            <w:tcW w:w="1276" w:type="dxa"/>
            <w:tcMar>
              <w:left w:w="0" w:type="dxa"/>
              <w:right w:w="0" w:type="dxa"/>
            </w:tcMar>
            <w:vAlign w:val="center"/>
          </w:tcPr>
          <w:p>
            <w:pPr>
              <w:pStyle w:val="42"/>
            </w:pPr>
            <w:r>
              <w:t>0.11</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pPr>
            <w:r>
              <w:t>1.16</w:t>
            </w:r>
          </w:p>
        </w:tc>
        <w:tc>
          <w:tcPr>
            <w:tcW w:w="829" w:type="dxa"/>
            <w:tcMar>
              <w:left w:w="0" w:type="dxa"/>
              <w:right w:w="0" w:type="dxa"/>
            </w:tcMar>
            <w:vAlign w:val="center"/>
          </w:tcPr>
          <w:p>
            <w:pPr>
              <w:pStyle w:val="42"/>
            </w:pPr>
            <w:r>
              <w:t>0.11</w:t>
            </w:r>
          </w:p>
        </w:tc>
        <w:tc>
          <w:tcPr>
            <w:tcW w:w="709" w:type="dxa"/>
            <w:tcMar>
              <w:left w:w="0" w:type="dxa"/>
              <w:right w:w="0" w:type="dxa"/>
            </w:tcMar>
            <w:vAlign w:val="bottom"/>
          </w:tcPr>
          <w:p>
            <w:pPr>
              <w:pStyle w:val="42"/>
              <w:rPr>
                <w:rFonts w:ascii="宋体" w:hAnsi="宋体" w:cs="宋体"/>
              </w:rPr>
            </w:pPr>
            <w:r>
              <w:rPr>
                <w:rFonts w:hint="eastAsia"/>
              </w:rPr>
              <w:t>0.88</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190</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restart"/>
            <w:tcMar>
              <w:left w:w="0" w:type="dxa"/>
              <w:right w:w="0" w:type="dxa"/>
            </w:tcMar>
            <w:vAlign w:val="center"/>
          </w:tcPr>
          <w:p>
            <w:pPr>
              <w:pStyle w:val="42"/>
              <w:spacing w:line="300" w:lineRule="exact"/>
              <w:rPr>
                <w:sz w:val="18"/>
                <w:szCs w:val="18"/>
              </w:rPr>
            </w:pPr>
            <w:r>
              <w:rPr>
                <w:rFonts w:hint="eastAsia"/>
                <w:sz w:val="18"/>
                <w:szCs w:val="18"/>
              </w:rPr>
              <w:t>2</w:t>
            </w:r>
          </w:p>
        </w:tc>
        <w:tc>
          <w:tcPr>
            <w:tcW w:w="1222" w:type="dxa"/>
            <w:vMerge w:val="restart"/>
            <w:tcMar>
              <w:left w:w="0" w:type="dxa"/>
              <w:right w:w="0" w:type="dxa"/>
            </w:tcMar>
            <w:vAlign w:val="center"/>
          </w:tcPr>
          <w:p>
            <w:pPr>
              <w:pStyle w:val="42"/>
              <w:spacing w:line="300" w:lineRule="exact"/>
              <w:rPr>
                <w:sz w:val="18"/>
                <w:szCs w:val="18"/>
              </w:rPr>
            </w:pPr>
            <w:r>
              <w:rPr>
                <w:rFonts w:hint="eastAsia"/>
                <w:sz w:val="18"/>
                <w:szCs w:val="18"/>
              </w:rPr>
              <w:t>废水处理站</w:t>
            </w:r>
          </w:p>
        </w:tc>
        <w:tc>
          <w:tcPr>
            <w:tcW w:w="1134" w:type="dxa"/>
            <w:vMerge w:val="restart"/>
            <w:tcMar>
              <w:left w:w="0" w:type="dxa"/>
              <w:right w:w="0" w:type="dxa"/>
            </w:tcMar>
            <w:vAlign w:val="center"/>
          </w:tcPr>
          <w:p>
            <w:pPr>
              <w:pStyle w:val="42"/>
              <w:spacing w:line="300" w:lineRule="exact"/>
              <w:rPr>
                <w:sz w:val="18"/>
                <w:szCs w:val="18"/>
              </w:rPr>
            </w:pPr>
            <w:r>
              <w:rPr>
                <w:rFonts w:hint="eastAsia"/>
                <w:sz w:val="18"/>
                <w:szCs w:val="18"/>
              </w:rPr>
              <w:t>1000</w:t>
            </w:r>
          </w:p>
        </w:tc>
        <w:tc>
          <w:tcPr>
            <w:tcW w:w="1134" w:type="dxa"/>
            <w:tcMar>
              <w:left w:w="0" w:type="dxa"/>
              <w:right w:w="0" w:type="dxa"/>
            </w:tcMar>
            <w:vAlign w:val="center"/>
          </w:tcPr>
          <w:p>
            <w:pPr>
              <w:pStyle w:val="42"/>
              <w:spacing w:line="300" w:lineRule="exact"/>
              <w:rPr>
                <w:sz w:val="18"/>
                <w:szCs w:val="18"/>
              </w:rPr>
            </w:pPr>
            <w:r>
              <w:rPr>
                <w:rFonts w:hint="eastAsia"/>
                <w:sz w:val="18"/>
                <w:szCs w:val="18"/>
              </w:rPr>
              <w:t>H</w:t>
            </w:r>
            <w:r>
              <w:rPr>
                <w:rFonts w:hint="eastAsia"/>
                <w:sz w:val="18"/>
                <w:szCs w:val="18"/>
                <w:vertAlign w:val="subscript"/>
              </w:rPr>
              <w:t>2</w:t>
            </w:r>
            <w:r>
              <w:rPr>
                <w:rFonts w:hint="eastAsia"/>
                <w:sz w:val="18"/>
                <w:szCs w:val="18"/>
              </w:rPr>
              <w:t>S</w:t>
            </w:r>
          </w:p>
        </w:tc>
        <w:tc>
          <w:tcPr>
            <w:tcW w:w="851" w:type="dxa"/>
            <w:tcMar>
              <w:left w:w="0" w:type="dxa"/>
              <w:right w:w="0" w:type="dxa"/>
            </w:tcMar>
            <w:vAlign w:val="center"/>
          </w:tcPr>
          <w:p>
            <w:pPr>
              <w:pStyle w:val="42"/>
              <w:spacing w:line="300" w:lineRule="exact"/>
              <w:rPr>
                <w:sz w:val="18"/>
                <w:szCs w:val="18"/>
              </w:rPr>
            </w:pPr>
            <w:r>
              <w:rPr>
                <w:rFonts w:hint="eastAsia"/>
                <w:sz w:val="18"/>
                <w:szCs w:val="18"/>
              </w:rPr>
              <w:t>/</w:t>
            </w:r>
          </w:p>
        </w:tc>
        <w:tc>
          <w:tcPr>
            <w:tcW w:w="1276"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1249" w:type="dxa"/>
            <w:vMerge w:val="restart"/>
            <w:tcMar>
              <w:left w:w="0" w:type="dxa"/>
              <w:right w:w="0" w:type="dxa"/>
            </w:tcMar>
            <w:vAlign w:val="center"/>
          </w:tcPr>
          <w:p>
            <w:pPr>
              <w:pStyle w:val="42"/>
              <w:spacing w:line="300" w:lineRule="exact"/>
              <w:rPr>
                <w:sz w:val="18"/>
                <w:szCs w:val="18"/>
              </w:rPr>
            </w:pPr>
            <w:r>
              <w:rPr>
                <w:rFonts w:hint="eastAsia"/>
                <w:sz w:val="18"/>
                <w:szCs w:val="18"/>
              </w:rPr>
              <w:t>“活性炭吸附”处理，15m排气筒排放</w:t>
            </w:r>
          </w:p>
        </w:tc>
        <w:tc>
          <w:tcPr>
            <w:tcW w:w="874" w:type="dxa"/>
            <w:tcMar>
              <w:left w:w="0" w:type="dxa"/>
              <w:right w:w="0" w:type="dxa"/>
            </w:tcMar>
            <w:vAlign w:val="center"/>
          </w:tcPr>
          <w:p>
            <w:pPr>
              <w:pStyle w:val="42"/>
              <w:spacing w:line="300" w:lineRule="exact"/>
              <w:rPr>
                <w:sz w:val="18"/>
                <w:szCs w:val="18"/>
              </w:rPr>
            </w:pPr>
            <w:r>
              <w:rPr>
                <w:rFonts w:hint="eastAsia" w:ascii="宋体" w:hAnsi="宋体"/>
                <w:sz w:val="18"/>
                <w:szCs w:val="18"/>
              </w:rPr>
              <w:t>≥</w:t>
            </w:r>
            <w:r>
              <w:rPr>
                <w:rFonts w:hint="eastAsia"/>
                <w:sz w:val="18"/>
                <w:szCs w:val="18"/>
              </w:rPr>
              <w:t>80%</w:t>
            </w:r>
          </w:p>
        </w:tc>
        <w:tc>
          <w:tcPr>
            <w:tcW w:w="73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709"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875" w:type="dxa"/>
            <w:vMerge w:val="restart"/>
            <w:tcBorders>
              <w:righ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H=15m</w:t>
            </w:r>
          </w:p>
          <w:p>
            <w:pPr>
              <w:pStyle w:val="42"/>
              <w:spacing w:line="300" w:lineRule="exact"/>
              <w:rPr>
                <w:sz w:val="18"/>
                <w:szCs w:val="18"/>
              </w:rPr>
            </w:pPr>
            <w:r>
              <w:rPr>
                <w:sz w:val="18"/>
                <w:szCs w:val="18"/>
              </w:rPr>
              <w:t>Ф</w:t>
            </w:r>
            <w:r>
              <w:rPr>
                <w:rFonts w:hint="eastAsia"/>
                <w:sz w:val="18"/>
                <w:szCs w:val="18"/>
              </w:rPr>
              <w:t>=0.15m</w:t>
            </w:r>
          </w:p>
        </w:tc>
        <w:tc>
          <w:tcPr>
            <w:tcW w:w="556" w:type="dxa"/>
            <w:vMerge w:val="restart"/>
            <w:tcBorders>
              <w:lef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25</w:t>
            </w:r>
          </w:p>
        </w:tc>
        <w:tc>
          <w:tcPr>
            <w:tcW w:w="553" w:type="dxa"/>
            <w:vMerge w:val="restart"/>
            <w:tcMar>
              <w:left w:w="0" w:type="dxa"/>
              <w:right w:w="0" w:type="dxa"/>
            </w:tcMar>
            <w:vAlign w:val="center"/>
          </w:tcPr>
          <w:p>
            <w:pPr>
              <w:pStyle w:val="42"/>
              <w:spacing w:line="300" w:lineRule="exact"/>
              <w:rPr>
                <w:sz w:val="18"/>
                <w:szCs w:val="18"/>
              </w:rPr>
            </w:pPr>
            <w:r>
              <w:rPr>
                <w:rFonts w:hint="eastAsia"/>
                <w:sz w:val="18"/>
                <w:szCs w:val="18"/>
              </w:rPr>
              <w:t>连续</w:t>
            </w:r>
          </w:p>
        </w:tc>
        <w:tc>
          <w:tcPr>
            <w:tcW w:w="829" w:type="dxa"/>
            <w:tcMar>
              <w:left w:w="0" w:type="dxa"/>
              <w:right w:w="0" w:type="dxa"/>
            </w:tcMar>
            <w:vAlign w:val="center"/>
          </w:tcPr>
          <w:p>
            <w:pPr>
              <w:pStyle w:val="42"/>
              <w:spacing w:line="300" w:lineRule="exact"/>
              <w:rPr>
                <w:sz w:val="18"/>
                <w:szCs w:val="18"/>
              </w:rPr>
            </w:pPr>
            <w:r>
              <w:rPr>
                <w:rFonts w:hint="eastAsia"/>
                <w:sz w:val="18"/>
                <w:szCs w:val="18"/>
              </w:rPr>
              <w:t>0.33kg/h</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NH</w:t>
            </w:r>
            <w:r>
              <w:rPr>
                <w:rFonts w:hint="eastAsia"/>
                <w:sz w:val="18"/>
                <w:szCs w:val="18"/>
                <w:vertAlign w:val="subscript"/>
              </w:rPr>
              <w:t>3</w:t>
            </w:r>
          </w:p>
        </w:tc>
        <w:tc>
          <w:tcPr>
            <w:tcW w:w="851" w:type="dxa"/>
            <w:tcMar>
              <w:left w:w="0" w:type="dxa"/>
              <w:right w:w="0" w:type="dxa"/>
            </w:tcMar>
            <w:vAlign w:val="center"/>
          </w:tcPr>
          <w:p>
            <w:pPr>
              <w:pStyle w:val="42"/>
              <w:spacing w:line="300" w:lineRule="exact"/>
              <w:rPr>
                <w:sz w:val="18"/>
                <w:szCs w:val="18"/>
              </w:rPr>
            </w:pPr>
            <w:r>
              <w:rPr>
                <w:rFonts w:hint="eastAsia"/>
                <w:sz w:val="18"/>
                <w:szCs w:val="18"/>
              </w:rPr>
              <w:t>/</w:t>
            </w:r>
          </w:p>
        </w:tc>
        <w:tc>
          <w:tcPr>
            <w:tcW w:w="1276"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1249" w:type="dxa"/>
            <w:vMerge w:val="continue"/>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ascii="宋体" w:hAnsi="宋体"/>
                <w:sz w:val="18"/>
                <w:szCs w:val="18"/>
              </w:rPr>
              <w:t>≥</w:t>
            </w:r>
            <w:r>
              <w:rPr>
                <w:rFonts w:hint="eastAsia"/>
                <w:sz w:val="18"/>
                <w:szCs w:val="18"/>
              </w:rPr>
              <w:t>80%</w:t>
            </w:r>
          </w:p>
        </w:tc>
        <w:tc>
          <w:tcPr>
            <w:tcW w:w="73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709" w:type="dxa"/>
            <w:tcMar>
              <w:left w:w="0" w:type="dxa"/>
              <w:right w:w="0" w:type="dxa"/>
            </w:tcMar>
            <w:vAlign w:val="center"/>
          </w:tcPr>
          <w:p>
            <w:pPr>
              <w:pStyle w:val="42"/>
              <w:spacing w:line="300" w:lineRule="exact"/>
              <w:rPr>
                <w:sz w:val="18"/>
                <w:szCs w:val="18"/>
              </w:rPr>
            </w:pPr>
            <w:r>
              <w:rPr>
                <w:rFonts w:hint="eastAsia"/>
                <w:sz w:val="18"/>
                <w:szCs w:val="18"/>
              </w:rPr>
              <w:t>少量</w:t>
            </w:r>
          </w:p>
        </w:tc>
        <w:tc>
          <w:tcPr>
            <w:tcW w:w="875" w:type="dxa"/>
            <w:vMerge w:val="continue"/>
            <w:tcBorders>
              <w:right w:val="single" w:color="auto" w:sz="4" w:space="0"/>
            </w:tcBorders>
            <w:tcMar>
              <w:left w:w="0" w:type="dxa"/>
              <w:right w:w="0" w:type="dxa"/>
            </w:tcMar>
            <w:vAlign w:val="center"/>
          </w:tcPr>
          <w:p>
            <w:pPr>
              <w:pStyle w:val="42"/>
              <w:spacing w:line="300" w:lineRule="exact"/>
              <w:rPr>
                <w:sz w:val="18"/>
                <w:szCs w:val="18"/>
              </w:rPr>
            </w:pPr>
          </w:p>
        </w:tc>
        <w:tc>
          <w:tcPr>
            <w:tcW w:w="556" w:type="dxa"/>
            <w:vMerge w:val="continue"/>
            <w:tcBorders>
              <w:left w:val="single" w:color="auto" w:sz="4" w:space="0"/>
            </w:tcBorders>
            <w:tcMar>
              <w:left w:w="0" w:type="dxa"/>
              <w:right w:w="0" w:type="dxa"/>
            </w:tcMar>
            <w:vAlign w:val="center"/>
          </w:tcPr>
          <w:p>
            <w:pPr>
              <w:pStyle w:val="42"/>
              <w:spacing w:line="300" w:lineRule="exact"/>
              <w:rPr>
                <w:sz w:val="18"/>
                <w:szCs w:val="18"/>
              </w:rPr>
            </w:pPr>
          </w:p>
        </w:tc>
        <w:tc>
          <w:tcPr>
            <w:tcW w:w="553" w:type="dxa"/>
            <w:vMerge w:val="continue"/>
            <w:tcMar>
              <w:left w:w="0" w:type="dxa"/>
              <w:right w:w="0" w:type="dxa"/>
            </w:tcMar>
            <w:vAlign w:val="center"/>
          </w:tcPr>
          <w:p>
            <w:pPr>
              <w:pStyle w:val="42"/>
              <w:spacing w:line="300" w:lineRule="exact"/>
              <w:rPr>
                <w:sz w:val="18"/>
                <w:szCs w:val="18"/>
              </w:rPr>
            </w:pPr>
          </w:p>
        </w:tc>
        <w:tc>
          <w:tcPr>
            <w:tcW w:w="829" w:type="dxa"/>
            <w:tcMar>
              <w:left w:w="0" w:type="dxa"/>
              <w:right w:w="0" w:type="dxa"/>
            </w:tcMar>
            <w:vAlign w:val="center"/>
          </w:tcPr>
          <w:p>
            <w:pPr>
              <w:pStyle w:val="42"/>
              <w:spacing w:line="300" w:lineRule="exact"/>
              <w:rPr>
                <w:sz w:val="18"/>
                <w:szCs w:val="18"/>
              </w:rPr>
            </w:pPr>
            <w:r>
              <w:rPr>
                <w:rFonts w:hint="eastAsia"/>
                <w:sz w:val="18"/>
                <w:szCs w:val="18"/>
              </w:rPr>
              <w:t>4.9kg/h</w:t>
            </w:r>
          </w:p>
        </w:tc>
        <w:tc>
          <w:tcPr>
            <w:tcW w:w="658" w:type="dxa"/>
            <w:tcMar>
              <w:left w:w="0" w:type="dxa"/>
              <w:right w:w="0" w:type="dxa"/>
            </w:tcMar>
            <w:vAlign w:val="center"/>
          </w:tcPr>
          <w:p>
            <w:pPr>
              <w:pStyle w:val="42"/>
              <w:spacing w:line="300" w:lineRule="exact"/>
              <w:rPr>
                <w:sz w:val="18"/>
                <w:szCs w:val="18"/>
              </w:rPr>
            </w:pPr>
            <w:r>
              <w:rPr>
                <w:rFonts w:hint="eastAsia"/>
                <w:sz w:val="18"/>
                <w:szCs w:val="18"/>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restart"/>
            <w:tcMar>
              <w:left w:w="0" w:type="dxa"/>
              <w:right w:w="0" w:type="dxa"/>
            </w:tcMar>
            <w:vAlign w:val="center"/>
          </w:tcPr>
          <w:p>
            <w:pPr>
              <w:pStyle w:val="42"/>
              <w:spacing w:line="300" w:lineRule="exact"/>
              <w:rPr>
                <w:sz w:val="18"/>
                <w:szCs w:val="18"/>
              </w:rPr>
            </w:pPr>
            <w:r>
              <w:rPr>
                <w:rFonts w:hint="eastAsia"/>
                <w:sz w:val="18"/>
                <w:szCs w:val="18"/>
              </w:rPr>
              <w:t>3</w:t>
            </w:r>
          </w:p>
        </w:tc>
        <w:tc>
          <w:tcPr>
            <w:tcW w:w="1222" w:type="dxa"/>
            <w:vMerge w:val="restart"/>
            <w:tcMar>
              <w:left w:w="0" w:type="dxa"/>
              <w:right w:w="0" w:type="dxa"/>
            </w:tcMar>
            <w:vAlign w:val="center"/>
          </w:tcPr>
          <w:p>
            <w:pPr>
              <w:pStyle w:val="42"/>
              <w:spacing w:line="300" w:lineRule="exact"/>
              <w:rPr>
                <w:sz w:val="18"/>
                <w:szCs w:val="18"/>
              </w:rPr>
            </w:pPr>
            <w:r>
              <w:rPr>
                <w:rFonts w:hint="eastAsia"/>
                <w:sz w:val="18"/>
                <w:szCs w:val="18"/>
              </w:rPr>
              <w:t>装置区</w:t>
            </w:r>
          </w:p>
        </w:tc>
        <w:tc>
          <w:tcPr>
            <w:tcW w:w="1134" w:type="dxa"/>
            <w:vMerge w:val="restart"/>
            <w:tcMar>
              <w:left w:w="0" w:type="dxa"/>
              <w:right w:w="0" w:type="dxa"/>
            </w:tcMar>
            <w:vAlign w:val="center"/>
          </w:tcPr>
          <w:p>
            <w:pPr>
              <w:pStyle w:val="42"/>
              <w:spacing w:line="300" w:lineRule="exact"/>
              <w:rPr>
                <w:sz w:val="18"/>
                <w:szCs w:val="18"/>
              </w:rPr>
            </w:pPr>
            <w:r>
              <w:rPr>
                <w:rFonts w:hint="eastAsia"/>
                <w:sz w:val="18"/>
                <w:szCs w:val="18"/>
              </w:rPr>
              <w:t>无组织排放</w:t>
            </w:r>
          </w:p>
        </w:tc>
        <w:tc>
          <w:tcPr>
            <w:tcW w:w="1134" w:type="dxa"/>
            <w:tcMar>
              <w:left w:w="0" w:type="dxa"/>
              <w:right w:w="0" w:type="dxa"/>
            </w:tcMar>
            <w:vAlign w:val="center"/>
          </w:tcPr>
          <w:p>
            <w:pPr>
              <w:pStyle w:val="42"/>
              <w:spacing w:line="300" w:lineRule="exact"/>
              <w:rPr>
                <w:sz w:val="18"/>
                <w:szCs w:val="18"/>
              </w:rPr>
            </w:pPr>
            <w:r>
              <w:rPr>
                <w:rFonts w:hint="eastAsia"/>
                <w:sz w:val="18"/>
                <w:szCs w:val="18"/>
              </w:rPr>
              <w:t>非甲烷总烃</w:t>
            </w:r>
          </w:p>
        </w:tc>
        <w:tc>
          <w:tcPr>
            <w:tcW w:w="851" w:type="dxa"/>
            <w:tcMar>
              <w:left w:w="0" w:type="dxa"/>
              <w:right w:w="0" w:type="dxa"/>
            </w:tcMar>
            <w:vAlign w:val="center"/>
          </w:tcPr>
          <w:p>
            <w:pPr>
              <w:pStyle w:val="42"/>
              <w:spacing w:line="300" w:lineRule="exact"/>
              <w:rPr>
                <w:sz w:val="18"/>
                <w:szCs w:val="18"/>
              </w:rPr>
            </w:pPr>
            <w:r>
              <w:rPr>
                <w:rFonts w:hint="eastAsia"/>
                <w:sz w:val="18"/>
                <w:szCs w:val="18"/>
              </w:rPr>
              <w:t>/</w:t>
            </w:r>
          </w:p>
        </w:tc>
        <w:tc>
          <w:tcPr>
            <w:tcW w:w="1276" w:type="dxa"/>
            <w:tcMar>
              <w:left w:w="0" w:type="dxa"/>
              <w:right w:w="0" w:type="dxa"/>
            </w:tcMar>
            <w:vAlign w:val="center"/>
          </w:tcPr>
          <w:p>
            <w:pPr>
              <w:pStyle w:val="42"/>
              <w:spacing w:line="300" w:lineRule="exact"/>
              <w:rPr>
                <w:sz w:val="18"/>
                <w:szCs w:val="18"/>
              </w:rPr>
            </w:pPr>
            <w:r>
              <w:rPr>
                <w:rFonts w:hint="eastAsia"/>
                <w:sz w:val="18"/>
                <w:szCs w:val="18"/>
              </w:rPr>
              <w:t>0.0006</w:t>
            </w:r>
          </w:p>
        </w:tc>
        <w:tc>
          <w:tcPr>
            <w:tcW w:w="1249" w:type="dxa"/>
            <w:vMerge w:val="restart"/>
            <w:shd w:val="clear" w:color="auto" w:fill="auto"/>
            <w:tcMar>
              <w:left w:w="0" w:type="dxa"/>
              <w:right w:w="0" w:type="dxa"/>
            </w:tcMar>
            <w:vAlign w:val="center"/>
          </w:tcPr>
          <w:p>
            <w:pPr>
              <w:pStyle w:val="42"/>
              <w:spacing w:line="300" w:lineRule="exact"/>
              <w:rPr>
                <w:sz w:val="18"/>
                <w:szCs w:val="18"/>
              </w:rPr>
            </w:pPr>
            <w:r>
              <w:rPr>
                <w:rFonts w:hint="eastAsia"/>
                <w:sz w:val="18"/>
                <w:szCs w:val="18"/>
              </w:rPr>
              <w:t>加强管理</w:t>
            </w: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0.0006</w:t>
            </w:r>
          </w:p>
        </w:tc>
        <w:tc>
          <w:tcPr>
            <w:tcW w:w="709" w:type="dxa"/>
            <w:tcMar>
              <w:left w:w="0" w:type="dxa"/>
              <w:right w:w="0" w:type="dxa"/>
            </w:tcMar>
            <w:vAlign w:val="center"/>
          </w:tcPr>
          <w:p>
            <w:pPr>
              <w:pStyle w:val="42"/>
              <w:spacing w:line="300" w:lineRule="exact"/>
              <w:rPr>
                <w:sz w:val="18"/>
                <w:szCs w:val="18"/>
              </w:rPr>
            </w:pPr>
            <w:r>
              <w:rPr>
                <w:rFonts w:hint="eastAsia"/>
                <w:sz w:val="18"/>
                <w:szCs w:val="18"/>
              </w:rPr>
              <w:t>0.0048</w:t>
            </w:r>
          </w:p>
        </w:tc>
        <w:tc>
          <w:tcPr>
            <w:tcW w:w="875" w:type="dxa"/>
            <w:tcBorders>
              <w:righ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w:t>
            </w:r>
          </w:p>
        </w:tc>
        <w:tc>
          <w:tcPr>
            <w:tcW w:w="556" w:type="dxa"/>
            <w:tcBorders>
              <w:lef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w:t>
            </w:r>
          </w:p>
        </w:tc>
        <w:tc>
          <w:tcPr>
            <w:tcW w:w="55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w:t>
            </w:r>
          </w:p>
        </w:tc>
        <w:tc>
          <w:tcPr>
            <w:tcW w:w="658" w:type="dxa"/>
            <w:tcMar>
              <w:left w:w="0" w:type="dxa"/>
              <w:right w:w="0" w:type="dxa"/>
            </w:tcMar>
            <w:vAlign w:val="center"/>
          </w:tcPr>
          <w:p>
            <w:pPr>
              <w:pStyle w:val="42"/>
              <w:spacing w:line="300" w:lineRule="exact"/>
              <w:rPr>
                <w:sz w:val="18"/>
                <w:szCs w:val="18"/>
              </w:rPr>
            </w:pPr>
            <w:r>
              <w:rPr>
                <w:rFonts w:hint="eastAsia"/>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cantSplit/>
          <w:trHeight w:val="20" w:hRule="atLeast"/>
          <w:jc w:val="center"/>
        </w:trPr>
        <w:tc>
          <w:tcPr>
            <w:tcW w:w="482" w:type="dxa"/>
            <w:vMerge w:val="continue"/>
            <w:tcMar>
              <w:left w:w="0" w:type="dxa"/>
              <w:right w:w="0" w:type="dxa"/>
            </w:tcMar>
            <w:vAlign w:val="center"/>
          </w:tcPr>
          <w:p>
            <w:pPr>
              <w:pStyle w:val="42"/>
              <w:spacing w:line="300" w:lineRule="exact"/>
              <w:rPr>
                <w:sz w:val="18"/>
                <w:szCs w:val="18"/>
              </w:rPr>
            </w:pPr>
          </w:p>
        </w:tc>
        <w:tc>
          <w:tcPr>
            <w:tcW w:w="1222" w:type="dxa"/>
            <w:vMerge w:val="continue"/>
            <w:tcMar>
              <w:left w:w="0" w:type="dxa"/>
              <w:right w:w="0" w:type="dxa"/>
            </w:tcMar>
            <w:vAlign w:val="center"/>
          </w:tcPr>
          <w:p>
            <w:pPr>
              <w:pStyle w:val="42"/>
              <w:spacing w:line="300" w:lineRule="exact"/>
              <w:rPr>
                <w:sz w:val="18"/>
                <w:szCs w:val="18"/>
              </w:rPr>
            </w:pPr>
          </w:p>
        </w:tc>
        <w:tc>
          <w:tcPr>
            <w:tcW w:w="1134" w:type="dxa"/>
            <w:vMerge w:val="continue"/>
            <w:tcMar>
              <w:left w:w="0" w:type="dxa"/>
              <w:right w:w="0" w:type="dxa"/>
            </w:tcMar>
            <w:vAlign w:val="center"/>
          </w:tcPr>
          <w:p>
            <w:pPr>
              <w:pStyle w:val="42"/>
              <w:spacing w:line="300" w:lineRule="exact"/>
              <w:rPr>
                <w:sz w:val="18"/>
                <w:szCs w:val="18"/>
              </w:rPr>
            </w:pPr>
          </w:p>
        </w:tc>
        <w:tc>
          <w:tcPr>
            <w:tcW w:w="1134" w:type="dxa"/>
            <w:tcMar>
              <w:left w:w="0" w:type="dxa"/>
              <w:right w:w="0" w:type="dxa"/>
            </w:tcMar>
            <w:vAlign w:val="center"/>
          </w:tcPr>
          <w:p>
            <w:pPr>
              <w:pStyle w:val="42"/>
              <w:spacing w:line="300" w:lineRule="exact"/>
              <w:rPr>
                <w:sz w:val="18"/>
                <w:szCs w:val="18"/>
              </w:rPr>
            </w:pPr>
            <w:r>
              <w:rPr>
                <w:rFonts w:hint="eastAsia"/>
                <w:sz w:val="18"/>
                <w:szCs w:val="18"/>
              </w:rPr>
              <w:t>NH</w:t>
            </w:r>
            <w:r>
              <w:rPr>
                <w:rFonts w:hint="eastAsia"/>
                <w:sz w:val="18"/>
                <w:szCs w:val="18"/>
                <w:vertAlign w:val="subscript"/>
              </w:rPr>
              <w:t>3</w:t>
            </w:r>
          </w:p>
        </w:tc>
        <w:tc>
          <w:tcPr>
            <w:tcW w:w="851" w:type="dxa"/>
            <w:tcMar>
              <w:left w:w="0" w:type="dxa"/>
              <w:right w:w="0" w:type="dxa"/>
            </w:tcMar>
            <w:vAlign w:val="center"/>
          </w:tcPr>
          <w:p>
            <w:pPr>
              <w:pStyle w:val="42"/>
              <w:spacing w:line="300" w:lineRule="exact"/>
              <w:rPr>
                <w:sz w:val="18"/>
                <w:szCs w:val="18"/>
              </w:rPr>
            </w:pPr>
            <w:r>
              <w:rPr>
                <w:rFonts w:hint="eastAsia"/>
                <w:sz w:val="18"/>
                <w:szCs w:val="18"/>
              </w:rPr>
              <w:t>/</w:t>
            </w:r>
          </w:p>
        </w:tc>
        <w:tc>
          <w:tcPr>
            <w:tcW w:w="1276" w:type="dxa"/>
            <w:tcMar>
              <w:left w:w="0" w:type="dxa"/>
              <w:right w:w="0" w:type="dxa"/>
            </w:tcMar>
            <w:vAlign w:val="center"/>
          </w:tcPr>
          <w:p>
            <w:pPr>
              <w:pStyle w:val="42"/>
              <w:spacing w:line="300" w:lineRule="exact"/>
              <w:rPr>
                <w:sz w:val="18"/>
                <w:szCs w:val="18"/>
              </w:rPr>
            </w:pPr>
            <w:r>
              <w:rPr>
                <w:rFonts w:hint="eastAsia"/>
                <w:sz w:val="18"/>
                <w:szCs w:val="18"/>
              </w:rPr>
              <w:t>0.25</w:t>
            </w:r>
          </w:p>
        </w:tc>
        <w:tc>
          <w:tcPr>
            <w:tcW w:w="1249" w:type="dxa"/>
            <w:vMerge w:val="continue"/>
            <w:shd w:val="clear" w:color="auto" w:fill="auto"/>
            <w:tcMar>
              <w:left w:w="0" w:type="dxa"/>
              <w:right w:w="0" w:type="dxa"/>
            </w:tcMar>
            <w:vAlign w:val="center"/>
          </w:tcPr>
          <w:p>
            <w:pPr>
              <w:pStyle w:val="42"/>
              <w:spacing w:line="300" w:lineRule="exact"/>
              <w:rPr>
                <w:sz w:val="18"/>
                <w:szCs w:val="18"/>
              </w:rPr>
            </w:pPr>
          </w:p>
        </w:tc>
        <w:tc>
          <w:tcPr>
            <w:tcW w:w="874" w:type="dxa"/>
            <w:tcMar>
              <w:left w:w="0" w:type="dxa"/>
              <w:right w:w="0" w:type="dxa"/>
            </w:tcMar>
            <w:vAlign w:val="center"/>
          </w:tcPr>
          <w:p>
            <w:pPr>
              <w:pStyle w:val="42"/>
              <w:spacing w:line="300" w:lineRule="exact"/>
              <w:rPr>
                <w:sz w:val="18"/>
                <w:szCs w:val="18"/>
              </w:rPr>
            </w:pPr>
            <w:r>
              <w:rPr>
                <w:rFonts w:hint="eastAsia"/>
                <w:sz w:val="18"/>
                <w:szCs w:val="18"/>
              </w:rPr>
              <w:t>/</w:t>
            </w:r>
          </w:p>
        </w:tc>
        <w:tc>
          <w:tcPr>
            <w:tcW w:w="73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0.25</w:t>
            </w:r>
          </w:p>
        </w:tc>
        <w:tc>
          <w:tcPr>
            <w:tcW w:w="709" w:type="dxa"/>
            <w:tcMar>
              <w:left w:w="0" w:type="dxa"/>
              <w:right w:w="0" w:type="dxa"/>
            </w:tcMar>
            <w:vAlign w:val="center"/>
          </w:tcPr>
          <w:p>
            <w:pPr>
              <w:pStyle w:val="42"/>
              <w:spacing w:line="300" w:lineRule="exact"/>
              <w:rPr>
                <w:sz w:val="18"/>
                <w:szCs w:val="18"/>
              </w:rPr>
            </w:pPr>
            <w:r>
              <w:rPr>
                <w:rFonts w:hint="eastAsia"/>
                <w:sz w:val="18"/>
                <w:szCs w:val="18"/>
              </w:rPr>
              <w:t>2</w:t>
            </w:r>
          </w:p>
        </w:tc>
        <w:tc>
          <w:tcPr>
            <w:tcW w:w="875" w:type="dxa"/>
            <w:tcBorders>
              <w:righ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w:t>
            </w:r>
          </w:p>
        </w:tc>
        <w:tc>
          <w:tcPr>
            <w:tcW w:w="556" w:type="dxa"/>
            <w:tcBorders>
              <w:left w:val="single" w:color="auto" w:sz="4" w:space="0"/>
            </w:tcBorders>
            <w:tcMar>
              <w:left w:w="0" w:type="dxa"/>
              <w:right w:w="0" w:type="dxa"/>
            </w:tcMar>
            <w:vAlign w:val="center"/>
          </w:tcPr>
          <w:p>
            <w:pPr>
              <w:pStyle w:val="42"/>
              <w:spacing w:line="300" w:lineRule="exact"/>
              <w:rPr>
                <w:sz w:val="18"/>
                <w:szCs w:val="18"/>
              </w:rPr>
            </w:pPr>
            <w:r>
              <w:rPr>
                <w:rFonts w:hint="eastAsia"/>
                <w:sz w:val="18"/>
                <w:szCs w:val="18"/>
              </w:rPr>
              <w:t>/</w:t>
            </w:r>
          </w:p>
        </w:tc>
        <w:tc>
          <w:tcPr>
            <w:tcW w:w="553" w:type="dxa"/>
            <w:tcMar>
              <w:left w:w="0" w:type="dxa"/>
              <w:right w:w="0" w:type="dxa"/>
            </w:tcMar>
            <w:vAlign w:val="center"/>
          </w:tcPr>
          <w:p>
            <w:pPr>
              <w:pStyle w:val="42"/>
              <w:spacing w:line="300" w:lineRule="exact"/>
              <w:rPr>
                <w:sz w:val="18"/>
                <w:szCs w:val="18"/>
              </w:rPr>
            </w:pPr>
            <w:r>
              <w:rPr>
                <w:rFonts w:hint="eastAsia"/>
                <w:sz w:val="18"/>
                <w:szCs w:val="18"/>
              </w:rPr>
              <w:t>/</w:t>
            </w:r>
          </w:p>
        </w:tc>
        <w:tc>
          <w:tcPr>
            <w:tcW w:w="829" w:type="dxa"/>
            <w:tcMar>
              <w:left w:w="0" w:type="dxa"/>
              <w:right w:w="0" w:type="dxa"/>
            </w:tcMar>
            <w:vAlign w:val="center"/>
          </w:tcPr>
          <w:p>
            <w:pPr>
              <w:pStyle w:val="42"/>
              <w:spacing w:line="300" w:lineRule="exact"/>
              <w:rPr>
                <w:sz w:val="18"/>
                <w:szCs w:val="18"/>
              </w:rPr>
            </w:pPr>
            <w:r>
              <w:rPr>
                <w:rFonts w:hint="eastAsia"/>
                <w:sz w:val="18"/>
                <w:szCs w:val="18"/>
              </w:rPr>
              <w:t>/</w:t>
            </w:r>
          </w:p>
        </w:tc>
        <w:tc>
          <w:tcPr>
            <w:tcW w:w="658" w:type="dxa"/>
            <w:tcMar>
              <w:left w:w="0" w:type="dxa"/>
              <w:right w:w="0" w:type="dxa"/>
            </w:tcMar>
            <w:vAlign w:val="center"/>
          </w:tcPr>
          <w:p>
            <w:pPr>
              <w:pStyle w:val="42"/>
              <w:spacing w:line="300" w:lineRule="exact"/>
              <w:rPr>
                <w:sz w:val="18"/>
                <w:szCs w:val="18"/>
              </w:rPr>
            </w:pPr>
            <w:r>
              <w:rPr>
                <w:rFonts w:hint="eastAsia"/>
                <w:sz w:val="18"/>
                <w:szCs w:val="18"/>
              </w:rPr>
              <w:t>/</w:t>
            </w:r>
          </w:p>
        </w:tc>
      </w:tr>
    </w:tbl>
    <w:p>
      <w:pPr>
        <w:pStyle w:val="41"/>
      </w:pPr>
    </w:p>
    <w:p>
      <w:pPr>
        <w:pStyle w:val="41"/>
      </w:pPr>
    </w:p>
    <w:p>
      <w:pPr>
        <w:pStyle w:val="41"/>
      </w:pPr>
    </w:p>
    <w:p>
      <w:pPr>
        <w:pStyle w:val="41"/>
      </w:pPr>
    </w:p>
    <w:p>
      <w:pPr>
        <w:pStyle w:val="41"/>
      </w:pPr>
    </w:p>
    <w:p>
      <w:pPr>
        <w:pStyle w:val="41"/>
      </w:pPr>
    </w:p>
    <w:p>
      <w:pPr>
        <w:pStyle w:val="41"/>
      </w:pPr>
      <w:r>
        <w:rPr>
          <w:rFonts w:hint="eastAsia"/>
        </w:rPr>
        <w:t>表3.5.2-1   拟建项目废水污染物产生及排放情况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992"/>
        <w:gridCol w:w="992"/>
        <w:gridCol w:w="851"/>
        <w:gridCol w:w="1134"/>
        <w:gridCol w:w="1984"/>
        <w:gridCol w:w="993"/>
        <w:gridCol w:w="1417"/>
        <w:gridCol w:w="1134"/>
        <w:gridCol w:w="1276"/>
        <w:gridCol w:w="1134"/>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vMerge w:val="restart"/>
            <w:noWrap/>
            <w:vAlign w:val="center"/>
          </w:tcPr>
          <w:p>
            <w:pPr>
              <w:pStyle w:val="42"/>
              <w:spacing w:line="300" w:lineRule="exact"/>
            </w:pPr>
            <w:r>
              <w:rPr>
                <w:rFonts w:hint="eastAsia"/>
              </w:rPr>
              <w:t>污染源</w:t>
            </w:r>
          </w:p>
        </w:tc>
        <w:tc>
          <w:tcPr>
            <w:tcW w:w="992" w:type="dxa"/>
            <w:vMerge w:val="restart"/>
            <w:noWrap/>
            <w:vAlign w:val="center"/>
          </w:tcPr>
          <w:p>
            <w:pPr>
              <w:pStyle w:val="42"/>
              <w:spacing w:line="300" w:lineRule="exact"/>
            </w:pPr>
            <w:r>
              <w:rPr>
                <w:rFonts w:hint="eastAsia"/>
              </w:rPr>
              <w:t>废水量</w:t>
            </w:r>
            <w:r>
              <w:t>m</w:t>
            </w:r>
            <w:r>
              <w:rPr>
                <w:vertAlign w:val="superscript"/>
              </w:rPr>
              <w:t>3</w:t>
            </w:r>
            <w:r>
              <w:t>/d</w:t>
            </w:r>
          </w:p>
        </w:tc>
        <w:tc>
          <w:tcPr>
            <w:tcW w:w="992" w:type="dxa"/>
            <w:vMerge w:val="restart"/>
            <w:noWrap/>
            <w:vAlign w:val="center"/>
          </w:tcPr>
          <w:p>
            <w:pPr>
              <w:pStyle w:val="42"/>
              <w:spacing w:line="300" w:lineRule="exact"/>
            </w:pPr>
            <w:r>
              <w:rPr>
                <w:rFonts w:hint="eastAsia"/>
              </w:rPr>
              <w:t>污染物</w:t>
            </w:r>
          </w:p>
        </w:tc>
        <w:tc>
          <w:tcPr>
            <w:tcW w:w="1985" w:type="dxa"/>
            <w:gridSpan w:val="2"/>
            <w:noWrap/>
            <w:vAlign w:val="center"/>
          </w:tcPr>
          <w:p>
            <w:pPr>
              <w:pStyle w:val="42"/>
              <w:spacing w:line="300" w:lineRule="exact"/>
            </w:pPr>
            <w:r>
              <w:rPr>
                <w:rFonts w:hint="eastAsia"/>
              </w:rPr>
              <w:t>处理前</w:t>
            </w:r>
          </w:p>
        </w:tc>
        <w:tc>
          <w:tcPr>
            <w:tcW w:w="1984" w:type="dxa"/>
            <w:vMerge w:val="restart"/>
            <w:noWrap/>
            <w:vAlign w:val="center"/>
          </w:tcPr>
          <w:p>
            <w:pPr>
              <w:pStyle w:val="42"/>
              <w:spacing w:line="300" w:lineRule="exact"/>
            </w:pPr>
            <w:r>
              <w:rPr>
                <w:rFonts w:hint="eastAsia"/>
              </w:rPr>
              <w:t>治理措施</w:t>
            </w:r>
          </w:p>
        </w:tc>
        <w:tc>
          <w:tcPr>
            <w:tcW w:w="993" w:type="dxa"/>
            <w:vMerge w:val="restart"/>
            <w:noWrap/>
            <w:vAlign w:val="center"/>
          </w:tcPr>
          <w:p>
            <w:pPr>
              <w:pStyle w:val="42"/>
              <w:spacing w:line="300" w:lineRule="exact"/>
            </w:pPr>
            <w:r>
              <w:rPr>
                <w:rFonts w:hint="eastAsia"/>
              </w:rPr>
              <w:t>污染物</w:t>
            </w:r>
          </w:p>
        </w:tc>
        <w:tc>
          <w:tcPr>
            <w:tcW w:w="2551" w:type="dxa"/>
            <w:gridSpan w:val="2"/>
            <w:vAlign w:val="center"/>
          </w:tcPr>
          <w:p>
            <w:pPr>
              <w:pStyle w:val="42"/>
              <w:spacing w:line="300" w:lineRule="exact"/>
            </w:pPr>
            <w:r>
              <w:rPr>
                <w:rFonts w:hint="eastAsia"/>
              </w:rPr>
              <w:t>厂区废水处理站处理后</w:t>
            </w:r>
          </w:p>
        </w:tc>
        <w:tc>
          <w:tcPr>
            <w:tcW w:w="2410" w:type="dxa"/>
            <w:gridSpan w:val="2"/>
            <w:noWrap/>
            <w:vAlign w:val="center"/>
          </w:tcPr>
          <w:p>
            <w:pPr>
              <w:pStyle w:val="42"/>
              <w:spacing w:line="300" w:lineRule="exact"/>
            </w:pPr>
            <w:r>
              <w:rPr>
                <w:rFonts w:hint="eastAsia"/>
              </w:rPr>
              <w:t>园区污水处理厂处理后</w:t>
            </w:r>
          </w:p>
        </w:tc>
        <w:tc>
          <w:tcPr>
            <w:tcW w:w="741" w:type="dxa"/>
            <w:vMerge w:val="restart"/>
            <w:noWrap/>
            <w:vAlign w:val="center"/>
          </w:tcPr>
          <w:p>
            <w:pPr>
              <w:pStyle w:val="42"/>
              <w:spacing w:line="300" w:lineRule="exact"/>
            </w:pPr>
            <w:r>
              <w:rPr>
                <w:rFonts w:hint="eastAsia"/>
              </w:rPr>
              <w:t>排放标准</w:t>
            </w: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vMerge w:val="continue"/>
            <w:vAlign w:val="center"/>
          </w:tcPr>
          <w:p>
            <w:pPr>
              <w:pStyle w:val="42"/>
              <w:spacing w:line="300" w:lineRule="exact"/>
            </w:pPr>
          </w:p>
        </w:tc>
        <w:tc>
          <w:tcPr>
            <w:tcW w:w="851" w:type="dxa"/>
            <w:noWrap/>
            <w:vAlign w:val="center"/>
          </w:tcPr>
          <w:p>
            <w:pPr>
              <w:pStyle w:val="42"/>
              <w:spacing w:line="300" w:lineRule="exact"/>
            </w:pPr>
            <w:r>
              <w:rPr>
                <w:rFonts w:hint="eastAsia"/>
              </w:rPr>
              <w:t>浓度</w:t>
            </w:r>
            <w:r>
              <w:t>mg/L</w:t>
            </w:r>
          </w:p>
        </w:tc>
        <w:tc>
          <w:tcPr>
            <w:tcW w:w="1134" w:type="dxa"/>
            <w:noWrap/>
            <w:vAlign w:val="center"/>
          </w:tcPr>
          <w:p>
            <w:pPr>
              <w:pStyle w:val="42"/>
              <w:spacing w:line="300" w:lineRule="exact"/>
            </w:pPr>
            <w:r>
              <w:rPr>
                <w:rFonts w:hint="eastAsia"/>
              </w:rPr>
              <w:t>产生量</w:t>
            </w:r>
            <w:r>
              <w:t>t/a</w:t>
            </w:r>
          </w:p>
        </w:tc>
        <w:tc>
          <w:tcPr>
            <w:tcW w:w="1984" w:type="dxa"/>
            <w:vMerge w:val="continue"/>
            <w:vAlign w:val="center"/>
          </w:tcPr>
          <w:p>
            <w:pPr>
              <w:pStyle w:val="42"/>
              <w:spacing w:line="300" w:lineRule="exact"/>
            </w:pPr>
          </w:p>
        </w:tc>
        <w:tc>
          <w:tcPr>
            <w:tcW w:w="993" w:type="dxa"/>
            <w:vMerge w:val="continue"/>
            <w:noWrap/>
            <w:vAlign w:val="center"/>
          </w:tcPr>
          <w:p>
            <w:pPr>
              <w:pStyle w:val="42"/>
              <w:spacing w:line="300" w:lineRule="exact"/>
            </w:pPr>
          </w:p>
        </w:tc>
        <w:tc>
          <w:tcPr>
            <w:tcW w:w="1417" w:type="dxa"/>
            <w:vAlign w:val="center"/>
          </w:tcPr>
          <w:p>
            <w:pPr>
              <w:pStyle w:val="42"/>
              <w:spacing w:line="300" w:lineRule="exact"/>
            </w:pPr>
            <w:r>
              <w:rPr>
                <w:rFonts w:hint="eastAsia"/>
              </w:rPr>
              <w:t>浓度</w:t>
            </w:r>
            <w:r>
              <w:t>mg/L</w:t>
            </w:r>
          </w:p>
        </w:tc>
        <w:tc>
          <w:tcPr>
            <w:tcW w:w="1134" w:type="dxa"/>
            <w:noWrap/>
            <w:vAlign w:val="center"/>
          </w:tcPr>
          <w:p>
            <w:pPr>
              <w:pStyle w:val="42"/>
              <w:spacing w:line="300" w:lineRule="exact"/>
            </w:pPr>
            <w:r>
              <w:rPr>
                <w:rFonts w:hint="eastAsia"/>
              </w:rPr>
              <w:t>排放量</w:t>
            </w:r>
            <w:r>
              <w:t>t/a</w:t>
            </w:r>
          </w:p>
        </w:tc>
        <w:tc>
          <w:tcPr>
            <w:tcW w:w="1276" w:type="dxa"/>
            <w:noWrap/>
            <w:vAlign w:val="center"/>
          </w:tcPr>
          <w:p>
            <w:pPr>
              <w:pStyle w:val="42"/>
              <w:spacing w:line="300" w:lineRule="exact"/>
            </w:pPr>
            <w:r>
              <w:rPr>
                <w:rFonts w:hint="eastAsia"/>
              </w:rPr>
              <w:t>浓度</w:t>
            </w:r>
            <w:r>
              <w:t>mg/L</w:t>
            </w:r>
          </w:p>
        </w:tc>
        <w:tc>
          <w:tcPr>
            <w:tcW w:w="1134" w:type="dxa"/>
            <w:noWrap/>
            <w:vAlign w:val="center"/>
          </w:tcPr>
          <w:p>
            <w:pPr>
              <w:pStyle w:val="42"/>
              <w:spacing w:line="300" w:lineRule="exact"/>
            </w:pPr>
            <w:r>
              <w:rPr>
                <w:rFonts w:hint="eastAsia"/>
              </w:rPr>
              <w:t>排放量</w:t>
            </w:r>
            <w:r>
              <w:t>t/a</w:t>
            </w: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26" w:type="dxa"/>
            <w:gridSpan w:val="2"/>
            <w:vMerge w:val="restart"/>
            <w:vAlign w:val="center"/>
          </w:tcPr>
          <w:p>
            <w:pPr>
              <w:pStyle w:val="42"/>
              <w:spacing w:line="300" w:lineRule="exact"/>
            </w:pPr>
            <w:r>
              <w:rPr>
                <w:rFonts w:hint="eastAsia"/>
              </w:rPr>
              <w:t>地坪清洗水</w:t>
            </w:r>
          </w:p>
        </w:tc>
        <w:tc>
          <w:tcPr>
            <w:tcW w:w="992" w:type="dxa"/>
            <w:vMerge w:val="restart"/>
            <w:vAlign w:val="center"/>
          </w:tcPr>
          <w:p>
            <w:pPr>
              <w:pStyle w:val="42"/>
              <w:spacing w:line="300" w:lineRule="exact"/>
            </w:pPr>
            <w:r>
              <w:rPr>
                <w:rFonts w:hint="eastAsia"/>
              </w:rPr>
              <w:t>6.89</w:t>
            </w:r>
          </w:p>
        </w:tc>
        <w:tc>
          <w:tcPr>
            <w:tcW w:w="992" w:type="dxa"/>
            <w:noWrap/>
            <w:vAlign w:val="center"/>
          </w:tcPr>
          <w:p>
            <w:pPr>
              <w:pStyle w:val="42"/>
              <w:spacing w:line="300" w:lineRule="exact"/>
            </w:pPr>
            <w:r>
              <w:rPr>
                <w:rFonts w:hint="eastAsia"/>
              </w:rPr>
              <w:t>COD</w:t>
            </w:r>
          </w:p>
        </w:tc>
        <w:tc>
          <w:tcPr>
            <w:tcW w:w="851" w:type="dxa"/>
            <w:noWrap/>
            <w:vAlign w:val="center"/>
          </w:tcPr>
          <w:p>
            <w:pPr>
              <w:pStyle w:val="42"/>
              <w:spacing w:line="300" w:lineRule="exact"/>
            </w:pPr>
            <w:r>
              <w:rPr>
                <w:rFonts w:hint="eastAsia"/>
              </w:rPr>
              <w:t>1000</w:t>
            </w:r>
          </w:p>
        </w:tc>
        <w:tc>
          <w:tcPr>
            <w:tcW w:w="1134" w:type="dxa"/>
            <w:noWrap/>
            <w:vAlign w:val="center"/>
          </w:tcPr>
          <w:p>
            <w:pPr>
              <w:pStyle w:val="42"/>
              <w:spacing w:line="300" w:lineRule="exact"/>
            </w:pPr>
            <w:r>
              <w:t xml:space="preserve">2.294 </w:t>
            </w:r>
          </w:p>
        </w:tc>
        <w:tc>
          <w:tcPr>
            <w:tcW w:w="1984" w:type="dxa"/>
            <w:vMerge w:val="restart"/>
            <w:vAlign w:val="center"/>
          </w:tcPr>
          <w:p>
            <w:pPr>
              <w:pStyle w:val="42"/>
              <w:spacing w:line="300" w:lineRule="exact"/>
            </w:pPr>
            <w:r>
              <w:rPr>
                <w:rFonts w:hint="eastAsia"/>
              </w:rPr>
              <w:t>集中收集，经SBR生化处理达标后，排入园区污水处理厂</w:t>
            </w:r>
          </w:p>
        </w:tc>
        <w:tc>
          <w:tcPr>
            <w:tcW w:w="993" w:type="dxa"/>
            <w:vMerge w:val="restart"/>
            <w:vAlign w:val="center"/>
          </w:tcPr>
          <w:p>
            <w:pPr>
              <w:pStyle w:val="42"/>
              <w:spacing w:line="300" w:lineRule="exact"/>
            </w:pPr>
            <w:r>
              <w:rPr>
                <w:rFonts w:hint="eastAsia"/>
              </w:rPr>
              <w:t>COD</w:t>
            </w:r>
          </w:p>
          <w:p>
            <w:pPr>
              <w:pStyle w:val="42"/>
              <w:spacing w:line="300" w:lineRule="exact"/>
            </w:pPr>
            <w:r>
              <w:rPr>
                <w:rFonts w:hint="eastAsia"/>
              </w:rPr>
              <w:t>BOD</w:t>
            </w:r>
            <w:r>
              <w:rPr>
                <w:rFonts w:hint="eastAsia"/>
                <w:vertAlign w:val="subscript"/>
              </w:rPr>
              <w:t>5</w:t>
            </w:r>
          </w:p>
          <w:p>
            <w:pPr>
              <w:pStyle w:val="42"/>
              <w:spacing w:line="300" w:lineRule="exact"/>
            </w:pPr>
            <w:r>
              <w:rPr>
                <w:rFonts w:hint="eastAsia"/>
              </w:rPr>
              <w:t>SS</w:t>
            </w:r>
          </w:p>
          <w:p>
            <w:pPr>
              <w:pStyle w:val="42"/>
              <w:spacing w:line="300" w:lineRule="exact"/>
            </w:pPr>
            <w:r>
              <w:rPr>
                <w:rFonts w:hint="eastAsia"/>
              </w:rPr>
              <w:t>石油类</w:t>
            </w:r>
          </w:p>
          <w:p>
            <w:pPr>
              <w:pStyle w:val="42"/>
              <w:spacing w:line="300" w:lineRule="exact"/>
            </w:pPr>
            <w:r>
              <w:rPr>
                <w:rFonts w:hint="eastAsia"/>
              </w:rPr>
              <w:t>NH</w:t>
            </w:r>
            <w:r>
              <w:rPr>
                <w:rFonts w:hint="eastAsia"/>
                <w:vertAlign w:val="subscript"/>
              </w:rPr>
              <w:t>3</w:t>
            </w:r>
            <w:r>
              <w:rPr>
                <w:rFonts w:hint="eastAsia"/>
              </w:rPr>
              <w:t>-N</w:t>
            </w:r>
          </w:p>
        </w:tc>
        <w:tc>
          <w:tcPr>
            <w:tcW w:w="1417" w:type="dxa"/>
            <w:vMerge w:val="restart"/>
            <w:vAlign w:val="center"/>
          </w:tcPr>
          <w:p>
            <w:pPr>
              <w:pStyle w:val="42"/>
              <w:spacing w:line="300" w:lineRule="exact"/>
            </w:pPr>
            <w:r>
              <w:rPr>
                <w:rFonts w:hint="eastAsia"/>
              </w:rPr>
              <w:t>200</w:t>
            </w:r>
          </w:p>
          <w:p>
            <w:pPr>
              <w:pStyle w:val="42"/>
              <w:spacing w:line="300" w:lineRule="exact"/>
            </w:pPr>
            <w:r>
              <w:rPr>
                <w:rFonts w:hint="eastAsia"/>
              </w:rPr>
              <w:t>--</w:t>
            </w:r>
          </w:p>
          <w:p>
            <w:pPr>
              <w:pStyle w:val="42"/>
              <w:spacing w:line="300" w:lineRule="exact"/>
            </w:pPr>
            <w:r>
              <w:rPr>
                <w:rFonts w:hint="eastAsia"/>
              </w:rPr>
              <w:t>100</w:t>
            </w:r>
          </w:p>
          <w:p>
            <w:pPr>
              <w:pStyle w:val="42"/>
              <w:spacing w:line="300" w:lineRule="exact"/>
            </w:pPr>
            <w:r>
              <w:rPr>
                <w:rFonts w:hint="eastAsia"/>
              </w:rPr>
              <w:t>3</w:t>
            </w:r>
          </w:p>
          <w:p>
            <w:pPr>
              <w:pStyle w:val="42"/>
              <w:spacing w:line="300" w:lineRule="exact"/>
            </w:pPr>
            <w:r>
              <w:rPr>
                <w:rFonts w:hint="eastAsia"/>
              </w:rPr>
              <w:t>50</w:t>
            </w:r>
          </w:p>
        </w:tc>
        <w:tc>
          <w:tcPr>
            <w:tcW w:w="1134" w:type="dxa"/>
            <w:vMerge w:val="restart"/>
            <w:vAlign w:val="center"/>
          </w:tcPr>
          <w:p>
            <w:pPr>
              <w:pStyle w:val="42"/>
              <w:spacing w:line="300" w:lineRule="exact"/>
            </w:pPr>
            <w:r>
              <w:rPr>
                <w:rFonts w:hint="eastAsia"/>
              </w:rPr>
              <w:t>0.934</w:t>
            </w:r>
          </w:p>
          <w:p>
            <w:pPr>
              <w:pStyle w:val="42"/>
              <w:spacing w:line="300" w:lineRule="exact"/>
            </w:pPr>
            <w:r>
              <w:rPr>
                <w:rFonts w:hint="eastAsia"/>
              </w:rPr>
              <w:t>0.469</w:t>
            </w:r>
          </w:p>
          <w:p>
            <w:pPr>
              <w:pStyle w:val="42"/>
              <w:spacing w:line="300" w:lineRule="exact"/>
            </w:pPr>
            <w:r>
              <w:rPr>
                <w:rFonts w:hint="eastAsia"/>
              </w:rPr>
              <w:t>0.469</w:t>
            </w:r>
          </w:p>
          <w:p>
            <w:pPr>
              <w:pStyle w:val="42"/>
              <w:spacing w:line="300" w:lineRule="exact"/>
            </w:pPr>
            <w:r>
              <w:rPr>
                <w:rFonts w:hint="eastAsia"/>
              </w:rPr>
              <w:t>0.007</w:t>
            </w:r>
          </w:p>
          <w:p>
            <w:pPr>
              <w:pStyle w:val="42"/>
              <w:spacing w:line="300" w:lineRule="exact"/>
            </w:pPr>
            <w:r>
              <w:rPr>
                <w:rFonts w:hint="eastAsia"/>
              </w:rPr>
              <w:t>0.24</w:t>
            </w:r>
          </w:p>
        </w:tc>
        <w:tc>
          <w:tcPr>
            <w:tcW w:w="1276" w:type="dxa"/>
            <w:vMerge w:val="restart"/>
            <w:vAlign w:val="center"/>
          </w:tcPr>
          <w:p>
            <w:pPr>
              <w:pStyle w:val="42"/>
              <w:spacing w:line="300" w:lineRule="exact"/>
            </w:pPr>
            <w:r>
              <w:rPr>
                <w:rFonts w:hint="eastAsia"/>
              </w:rPr>
              <w:t>60</w:t>
            </w:r>
          </w:p>
          <w:p>
            <w:pPr>
              <w:pStyle w:val="42"/>
              <w:spacing w:line="300" w:lineRule="exact"/>
            </w:pPr>
            <w:r>
              <w:rPr>
                <w:rFonts w:hint="eastAsia"/>
              </w:rPr>
              <w:t>20</w:t>
            </w:r>
          </w:p>
          <w:p>
            <w:pPr>
              <w:pStyle w:val="42"/>
              <w:spacing w:line="300" w:lineRule="exact"/>
            </w:pPr>
            <w:r>
              <w:rPr>
                <w:rFonts w:hint="eastAsia"/>
              </w:rPr>
              <w:t>70</w:t>
            </w:r>
          </w:p>
          <w:p>
            <w:pPr>
              <w:pStyle w:val="42"/>
              <w:spacing w:line="300" w:lineRule="exact"/>
            </w:pPr>
            <w:r>
              <w:rPr>
                <w:rFonts w:hint="eastAsia"/>
              </w:rPr>
              <w:t>3</w:t>
            </w:r>
          </w:p>
          <w:p>
            <w:pPr>
              <w:pStyle w:val="42"/>
              <w:spacing w:line="300" w:lineRule="exact"/>
            </w:pPr>
            <w:r>
              <w:rPr>
                <w:rFonts w:hint="eastAsia"/>
              </w:rPr>
              <w:t>10</w:t>
            </w:r>
          </w:p>
        </w:tc>
        <w:tc>
          <w:tcPr>
            <w:tcW w:w="1134" w:type="dxa"/>
            <w:vMerge w:val="restart"/>
            <w:vAlign w:val="center"/>
          </w:tcPr>
          <w:p>
            <w:pPr>
              <w:pStyle w:val="42"/>
              <w:spacing w:line="300" w:lineRule="exact"/>
            </w:pPr>
            <w:r>
              <w:rPr>
                <w:rFonts w:hint="eastAsia"/>
              </w:rPr>
              <w:t>0.282</w:t>
            </w:r>
          </w:p>
          <w:p>
            <w:pPr>
              <w:pStyle w:val="42"/>
              <w:spacing w:line="300" w:lineRule="exact"/>
            </w:pPr>
            <w:r>
              <w:rPr>
                <w:rFonts w:hint="eastAsia"/>
              </w:rPr>
              <w:t>0.094</w:t>
            </w:r>
          </w:p>
          <w:p>
            <w:pPr>
              <w:pStyle w:val="42"/>
              <w:spacing w:line="300" w:lineRule="exact"/>
            </w:pPr>
            <w:r>
              <w:rPr>
                <w:rFonts w:hint="eastAsia"/>
              </w:rPr>
              <w:t>0.328</w:t>
            </w:r>
          </w:p>
          <w:p>
            <w:pPr>
              <w:pStyle w:val="42"/>
              <w:spacing w:line="300" w:lineRule="exact"/>
            </w:pPr>
            <w:r>
              <w:rPr>
                <w:rFonts w:hint="eastAsia"/>
              </w:rPr>
              <w:t>0.007</w:t>
            </w:r>
          </w:p>
          <w:p>
            <w:pPr>
              <w:pStyle w:val="42"/>
              <w:spacing w:line="300" w:lineRule="exact"/>
            </w:pPr>
            <w:r>
              <w:rPr>
                <w:rFonts w:hint="eastAsia"/>
              </w:rPr>
              <w:t>0.047</w:t>
            </w:r>
          </w:p>
        </w:tc>
        <w:tc>
          <w:tcPr>
            <w:tcW w:w="741" w:type="dxa"/>
            <w:vMerge w:val="restart"/>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noWrap/>
            <w:vAlign w:val="center"/>
          </w:tcPr>
          <w:p>
            <w:pPr>
              <w:pStyle w:val="42"/>
              <w:spacing w:line="300" w:lineRule="exact"/>
            </w:pPr>
            <w:r>
              <w:rPr>
                <w:rFonts w:hint="eastAsia"/>
              </w:rPr>
              <w:t>BOD</w:t>
            </w:r>
            <w:r>
              <w:rPr>
                <w:rFonts w:hint="eastAsia"/>
                <w:vertAlign w:val="subscript"/>
              </w:rPr>
              <w:t>5</w:t>
            </w:r>
          </w:p>
        </w:tc>
        <w:tc>
          <w:tcPr>
            <w:tcW w:w="851" w:type="dxa"/>
            <w:noWrap/>
            <w:vAlign w:val="center"/>
          </w:tcPr>
          <w:p>
            <w:pPr>
              <w:pStyle w:val="42"/>
              <w:spacing w:line="300" w:lineRule="exact"/>
            </w:pPr>
            <w:r>
              <w:rPr>
                <w:rFonts w:hint="eastAsia"/>
              </w:rPr>
              <w:t>300</w:t>
            </w:r>
          </w:p>
        </w:tc>
        <w:tc>
          <w:tcPr>
            <w:tcW w:w="1134" w:type="dxa"/>
            <w:noWrap/>
            <w:vAlign w:val="center"/>
          </w:tcPr>
          <w:p>
            <w:pPr>
              <w:pStyle w:val="42"/>
              <w:spacing w:line="300" w:lineRule="exact"/>
            </w:pPr>
            <w:r>
              <w:rPr>
                <w:rFonts w:hint="eastAsia"/>
              </w:rPr>
              <w:t>0.688</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noWrap/>
            <w:vAlign w:val="center"/>
          </w:tcPr>
          <w:p>
            <w:pPr>
              <w:pStyle w:val="42"/>
              <w:spacing w:line="300" w:lineRule="exact"/>
            </w:pPr>
            <w:r>
              <w:rPr>
                <w:rFonts w:hint="eastAsia"/>
              </w:rPr>
              <w:t>SS</w:t>
            </w:r>
          </w:p>
        </w:tc>
        <w:tc>
          <w:tcPr>
            <w:tcW w:w="851" w:type="dxa"/>
            <w:noWrap/>
            <w:vAlign w:val="center"/>
          </w:tcPr>
          <w:p>
            <w:pPr>
              <w:pStyle w:val="42"/>
              <w:spacing w:line="300" w:lineRule="exact"/>
            </w:pPr>
            <w:r>
              <w:rPr>
                <w:rFonts w:hint="eastAsia"/>
              </w:rPr>
              <w:t>400</w:t>
            </w:r>
          </w:p>
        </w:tc>
        <w:tc>
          <w:tcPr>
            <w:tcW w:w="1134" w:type="dxa"/>
            <w:noWrap/>
            <w:vAlign w:val="center"/>
          </w:tcPr>
          <w:p>
            <w:pPr>
              <w:pStyle w:val="42"/>
              <w:spacing w:line="300" w:lineRule="exact"/>
            </w:pPr>
            <w:r>
              <w:t xml:space="preserve">0.918 </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noWrap/>
            <w:vAlign w:val="center"/>
          </w:tcPr>
          <w:p>
            <w:pPr>
              <w:pStyle w:val="42"/>
              <w:spacing w:line="300" w:lineRule="exact"/>
            </w:pPr>
            <w:r>
              <w:rPr>
                <w:rFonts w:hint="eastAsia"/>
              </w:rPr>
              <w:t>NH</w:t>
            </w:r>
            <w:r>
              <w:rPr>
                <w:rFonts w:hint="eastAsia"/>
                <w:vertAlign w:val="subscript"/>
              </w:rPr>
              <w:t>3</w:t>
            </w:r>
            <w:r>
              <w:rPr>
                <w:rFonts w:hint="eastAsia"/>
              </w:rPr>
              <w:t>-N</w:t>
            </w:r>
          </w:p>
        </w:tc>
        <w:tc>
          <w:tcPr>
            <w:tcW w:w="851" w:type="dxa"/>
            <w:noWrap/>
            <w:vAlign w:val="center"/>
          </w:tcPr>
          <w:p>
            <w:pPr>
              <w:pStyle w:val="42"/>
              <w:spacing w:line="300" w:lineRule="exact"/>
            </w:pPr>
            <w:r>
              <w:rPr>
                <w:rFonts w:hint="eastAsia"/>
              </w:rPr>
              <w:t>50</w:t>
            </w:r>
          </w:p>
        </w:tc>
        <w:tc>
          <w:tcPr>
            <w:tcW w:w="1134" w:type="dxa"/>
            <w:noWrap/>
            <w:vAlign w:val="center"/>
          </w:tcPr>
          <w:p>
            <w:pPr>
              <w:pStyle w:val="42"/>
              <w:spacing w:line="300" w:lineRule="exact"/>
            </w:pPr>
            <w:r>
              <w:rPr>
                <w:rFonts w:hint="eastAsia"/>
              </w:rPr>
              <w:t>0.120</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noWrap/>
            <w:vAlign w:val="center"/>
          </w:tcPr>
          <w:p>
            <w:pPr>
              <w:pStyle w:val="42"/>
              <w:spacing w:line="300" w:lineRule="exact"/>
            </w:pPr>
            <w:r>
              <w:rPr>
                <w:rFonts w:hint="eastAsia"/>
              </w:rPr>
              <w:t>石油类</w:t>
            </w:r>
          </w:p>
        </w:tc>
        <w:tc>
          <w:tcPr>
            <w:tcW w:w="851" w:type="dxa"/>
            <w:noWrap/>
            <w:vAlign w:val="center"/>
          </w:tcPr>
          <w:p>
            <w:pPr>
              <w:pStyle w:val="42"/>
              <w:spacing w:line="300" w:lineRule="exact"/>
            </w:pPr>
            <w:r>
              <w:rPr>
                <w:rFonts w:hint="eastAsia"/>
              </w:rPr>
              <w:t>8</w:t>
            </w:r>
          </w:p>
        </w:tc>
        <w:tc>
          <w:tcPr>
            <w:tcW w:w="1134" w:type="dxa"/>
            <w:noWrap/>
            <w:vAlign w:val="center"/>
          </w:tcPr>
          <w:p>
            <w:pPr>
              <w:pStyle w:val="42"/>
              <w:spacing w:line="300" w:lineRule="exact"/>
            </w:pPr>
            <w:r>
              <w:t>0.0</w:t>
            </w:r>
            <w:r>
              <w:rPr>
                <w:rFonts w:hint="eastAsia"/>
              </w:rPr>
              <w:t>18</w:t>
            </w:r>
            <w:r>
              <w:t xml:space="preserve"> </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6" w:type="dxa"/>
            <w:gridSpan w:val="2"/>
            <w:vMerge w:val="restart"/>
            <w:vAlign w:val="center"/>
          </w:tcPr>
          <w:p>
            <w:pPr>
              <w:pStyle w:val="42"/>
              <w:spacing w:line="300" w:lineRule="exact"/>
            </w:pPr>
            <w:r>
              <w:rPr>
                <w:rFonts w:hint="eastAsia"/>
              </w:rPr>
              <w:t>生活污水</w:t>
            </w:r>
          </w:p>
        </w:tc>
        <w:tc>
          <w:tcPr>
            <w:tcW w:w="992" w:type="dxa"/>
            <w:vMerge w:val="restart"/>
            <w:vAlign w:val="center"/>
          </w:tcPr>
          <w:p>
            <w:pPr>
              <w:pStyle w:val="42"/>
              <w:spacing w:line="300" w:lineRule="exact"/>
            </w:pPr>
            <w:r>
              <w:rPr>
                <w:rFonts w:hint="eastAsia"/>
              </w:rPr>
              <w:t>7.2</w:t>
            </w:r>
          </w:p>
        </w:tc>
        <w:tc>
          <w:tcPr>
            <w:tcW w:w="992" w:type="dxa"/>
            <w:noWrap/>
            <w:vAlign w:val="center"/>
          </w:tcPr>
          <w:p>
            <w:pPr>
              <w:pStyle w:val="42"/>
              <w:spacing w:line="300" w:lineRule="exact"/>
            </w:pPr>
            <w:r>
              <w:rPr>
                <w:rFonts w:hint="eastAsia"/>
              </w:rPr>
              <w:t>COD</w:t>
            </w:r>
          </w:p>
        </w:tc>
        <w:tc>
          <w:tcPr>
            <w:tcW w:w="851" w:type="dxa"/>
            <w:noWrap/>
            <w:vAlign w:val="center"/>
          </w:tcPr>
          <w:p>
            <w:pPr>
              <w:pStyle w:val="42"/>
              <w:spacing w:line="300" w:lineRule="exact"/>
            </w:pPr>
            <w:r>
              <w:rPr>
                <w:rFonts w:hint="eastAsia"/>
              </w:rPr>
              <w:t>400</w:t>
            </w:r>
          </w:p>
        </w:tc>
        <w:tc>
          <w:tcPr>
            <w:tcW w:w="1134" w:type="dxa"/>
            <w:noWrap/>
            <w:vAlign w:val="center"/>
          </w:tcPr>
          <w:p>
            <w:pPr>
              <w:pStyle w:val="42"/>
              <w:spacing w:line="300" w:lineRule="exact"/>
            </w:pPr>
            <w:r>
              <w:t xml:space="preserve">0.959 </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26" w:type="dxa"/>
            <w:gridSpan w:val="2"/>
            <w:vMerge w:val="continue"/>
            <w:vAlign w:val="center"/>
          </w:tcPr>
          <w:p>
            <w:pPr>
              <w:pStyle w:val="42"/>
              <w:spacing w:line="300" w:lineRule="exact"/>
            </w:pPr>
          </w:p>
        </w:tc>
        <w:tc>
          <w:tcPr>
            <w:tcW w:w="992" w:type="dxa"/>
            <w:vMerge w:val="continue"/>
            <w:vAlign w:val="center"/>
          </w:tcPr>
          <w:p>
            <w:pPr>
              <w:pStyle w:val="42"/>
              <w:spacing w:line="300" w:lineRule="exact"/>
            </w:pPr>
          </w:p>
        </w:tc>
        <w:tc>
          <w:tcPr>
            <w:tcW w:w="992" w:type="dxa"/>
            <w:noWrap/>
            <w:vAlign w:val="center"/>
          </w:tcPr>
          <w:p>
            <w:pPr>
              <w:pStyle w:val="42"/>
              <w:spacing w:line="300" w:lineRule="exact"/>
            </w:pPr>
            <w:r>
              <w:rPr>
                <w:rFonts w:hint="eastAsia"/>
              </w:rPr>
              <w:t>BOD</w:t>
            </w:r>
            <w:r>
              <w:rPr>
                <w:rFonts w:hint="eastAsia"/>
                <w:vertAlign w:val="subscript"/>
              </w:rPr>
              <w:t>5</w:t>
            </w:r>
          </w:p>
        </w:tc>
        <w:tc>
          <w:tcPr>
            <w:tcW w:w="851" w:type="dxa"/>
            <w:noWrap/>
            <w:vAlign w:val="center"/>
          </w:tcPr>
          <w:p>
            <w:pPr>
              <w:pStyle w:val="42"/>
              <w:spacing w:line="300" w:lineRule="exact"/>
            </w:pPr>
            <w:r>
              <w:rPr>
                <w:rFonts w:hint="eastAsia"/>
              </w:rPr>
              <w:t>150</w:t>
            </w:r>
          </w:p>
        </w:tc>
        <w:tc>
          <w:tcPr>
            <w:tcW w:w="1134" w:type="dxa"/>
            <w:noWrap/>
            <w:vAlign w:val="center"/>
          </w:tcPr>
          <w:p>
            <w:pPr>
              <w:pStyle w:val="42"/>
              <w:spacing w:line="300" w:lineRule="exact"/>
            </w:pPr>
            <w:r>
              <w:t xml:space="preserve">0.360 </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vMerge w:val="continue"/>
            <w:noWrap/>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SS</w:t>
            </w:r>
          </w:p>
        </w:tc>
        <w:tc>
          <w:tcPr>
            <w:tcW w:w="851" w:type="dxa"/>
            <w:noWrap/>
            <w:vAlign w:val="center"/>
          </w:tcPr>
          <w:p>
            <w:pPr>
              <w:pStyle w:val="42"/>
              <w:spacing w:line="300" w:lineRule="exact"/>
            </w:pPr>
            <w:r>
              <w:rPr>
                <w:rFonts w:hint="eastAsia"/>
              </w:rPr>
              <w:t>250</w:t>
            </w:r>
          </w:p>
        </w:tc>
        <w:tc>
          <w:tcPr>
            <w:tcW w:w="1134" w:type="dxa"/>
            <w:noWrap/>
            <w:vAlign w:val="center"/>
          </w:tcPr>
          <w:p>
            <w:pPr>
              <w:pStyle w:val="42"/>
              <w:spacing w:line="300" w:lineRule="exact"/>
            </w:pPr>
            <w:r>
              <w:t xml:space="preserve">0.599 </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vMerge w:val="continue"/>
            <w:noWrap/>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NH</w:t>
            </w:r>
            <w:r>
              <w:rPr>
                <w:rFonts w:hint="eastAsia"/>
                <w:vertAlign w:val="subscript"/>
              </w:rPr>
              <w:t>3</w:t>
            </w:r>
            <w:r>
              <w:rPr>
                <w:rFonts w:hint="eastAsia"/>
              </w:rPr>
              <w:t>-N</w:t>
            </w:r>
          </w:p>
        </w:tc>
        <w:tc>
          <w:tcPr>
            <w:tcW w:w="851" w:type="dxa"/>
            <w:noWrap/>
            <w:vAlign w:val="center"/>
          </w:tcPr>
          <w:p>
            <w:pPr>
              <w:pStyle w:val="42"/>
              <w:spacing w:line="300" w:lineRule="exact"/>
            </w:pPr>
            <w:r>
              <w:rPr>
                <w:rFonts w:hint="eastAsia"/>
              </w:rPr>
              <w:t>50</w:t>
            </w:r>
          </w:p>
        </w:tc>
        <w:tc>
          <w:tcPr>
            <w:tcW w:w="1134" w:type="dxa"/>
            <w:noWrap/>
            <w:vAlign w:val="center"/>
          </w:tcPr>
          <w:p>
            <w:pPr>
              <w:pStyle w:val="42"/>
              <w:spacing w:line="300" w:lineRule="exact"/>
            </w:pPr>
            <w:r>
              <w:rPr>
                <w:rFonts w:hint="eastAsia"/>
              </w:rPr>
              <w:t>0.120</w:t>
            </w:r>
          </w:p>
        </w:tc>
        <w:tc>
          <w:tcPr>
            <w:tcW w:w="1984" w:type="dxa"/>
            <w:vMerge w:val="continue"/>
            <w:vAlign w:val="center"/>
          </w:tcPr>
          <w:p>
            <w:pPr>
              <w:pStyle w:val="42"/>
              <w:spacing w:line="300" w:lineRule="exact"/>
            </w:pPr>
          </w:p>
        </w:tc>
        <w:tc>
          <w:tcPr>
            <w:tcW w:w="993" w:type="dxa"/>
            <w:vMerge w:val="continue"/>
            <w:vAlign w:val="center"/>
          </w:tcPr>
          <w:p>
            <w:pPr>
              <w:pStyle w:val="42"/>
              <w:spacing w:line="300" w:lineRule="exact"/>
            </w:pPr>
          </w:p>
        </w:tc>
        <w:tc>
          <w:tcPr>
            <w:tcW w:w="1417"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1276" w:type="dxa"/>
            <w:vMerge w:val="continue"/>
            <w:vAlign w:val="center"/>
          </w:tcPr>
          <w:p>
            <w:pPr>
              <w:pStyle w:val="42"/>
              <w:spacing w:line="300" w:lineRule="exact"/>
            </w:pPr>
          </w:p>
        </w:tc>
        <w:tc>
          <w:tcPr>
            <w:tcW w:w="1134" w:type="dxa"/>
            <w:vMerge w:val="continue"/>
            <w:vAlign w:val="center"/>
          </w:tcPr>
          <w:p>
            <w:pPr>
              <w:pStyle w:val="42"/>
              <w:spacing w:line="300" w:lineRule="exact"/>
            </w:pPr>
          </w:p>
        </w:tc>
        <w:tc>
          <w:tcPr>
            <w:tcW w:w="741" w:type="dxa"/>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noWrap/>
            <w:vAlign w:val="center"/>
          </w:tcPr>
          <w:p>
            <w:pPr>
              <w:pStyle w:val="42"/>
              <w:spacing w:line="300" w:lineRule="exact"/>
            </w:pPr>
            <w:r>
              <w:rPr>
                <w:rFonts w:hint="eastAsia"/>
              </w:rPr>
              <w:t>热交换器排水</w:t>
            </w:r>
          </w:p>
        </w:tc>
        <w:tc>
          <w:tcPr>
            <w:tcW w:w="992" w:type="dxa"/>
            <w:noWrap/>
            <w:vAlign w:val="center"/>
          </w:tcPr>
          <w:p>
            <w:pPr>
              <w:pStyle w:val="42"/>
              <w:spacing w:line="300" w:lineRule="exact"/>
            </w:pPr>
            <w:r>
              <w:rPr>
                <w:rFonts w:hint="eastAsia"/>
              </w:rPr>
              <w:t>190.8</w:t>
            </w:r>
          </w:p>
        </w:tc>
        <w:tc>
          <w:tcPr>
            <w:tcW w:w="992" w:type="dxa"/>
            <w:noWrap/>
            <w:vAlign w:val="center"/>
          </w:tcPr>
          <w:p>
            <w:pPr>
              <w:pStyle w:val="42"/>
              <w:spacing w:line="300" w:lineRule="exact"/>
            </w:pPr>
            <w:r>
              <w:rPr>
                <w:rFonts w:hint="eastAsia"/>
              </w:rPr>
              <w:t>清下水</w:t>
            </w:r>
          </w:p>
        </w:tc>
        <w:tc>
          <w:tcPr>
            <w:tcW w:w="851"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984" w:type="dxa"/>
            <w:noWrap/>
            <w:vAlign w:val="center"/>
          </w:tcPr>
          <w:p>
            <w:pPr>
              <w:pStyle w:val="42"/>
              <w:spacing w:line="300" w:lineRule="exact"/>
            </w:pPr>
            <w:r>
              <w:rPr>
                <w:rFonts w:hint="eastAsia"/>
              </w:rPr>
              <w:t>清下水管网集中收集，经</w:t>
            </w:r>
            <w:bookmarkStart w:id="81" w:name="OLE_LINK2"/>
            <w:bookmarkStart w:id="82" w:name="OLE_LINK1"/>
            <w:r>
              <w:rPr>
                <w:rFonts w:hint="eastAsia"/>
              </w:rPr>
              <w:t>厂区雨水总排口排入园区雨水系统</w:t>
            </w:r>
            <w:bookmarkEnd w:id="81"/>
            <w:bookmarkEnd w:id="82"/>
          </w:p>
        </w:tc>
        <w:tc>
          <w:tcPr>
            <w:tcW w:w="993" w:type="dxa"/>
            <w:noWrap/>
            <w:vAlign w:val="center"/>
          </w:tcPr>
          <w:p>
            <w:pPr>
              <w:pStyle w:val="42"/>
              <w:spacing w:line="300" w:lineRule="exact"/>
            </w:pPr>
            <w:r>
              <w:rPr>
                <w:rFonts w:hint="eastAsia"/>
              </w:rPr>
              <w:t>/</w:t>
            </w:r>
          </w:p>
        </w:tc>
        <w:tc>
          <w:tcPr>
            <w:tcW w:w="1417"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276"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741" w:type="dxa"/>
            <w:noWrap/>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noWrap/>
            <w:vAlign w:val="center"/>
          </w:tcPr>
          <w:p>
            <w:pPr>
              <w:pStyle w:val="42"/>
              <w:spacing w:line="300" w:lineRule="exact"/>
            </w:pPr>
            <w:r>
              <w:rPr>
                <w:rFonts w:hint="eastAsia"/>
              </w:rPr>
              <w:t>循环水系统</w:t>
            </w:r>
          </w:p>
        </w:tc>
        <w:tc>
          <w:tcPr>
            <w:tcW w:w="992" w:type="dxa"/>
            <w:noWrap/>
            <w:vAlign w:val="center"/>
          </w:tcPr>
          <w:p>
            <w:pPr>
              <w:pStyle w:val="42"/>
              <w:spacing w:line="300" w:lineRule="exact"/>
            </w:pPr>
            <w:r>
              <w:rPr>
                <w:rFonts w:hint="eastAsia"/>
              </w:rPr>
              <w:t>195.84</w:t>
            </w:r>
          </w:p>
        </w:tc>
        <w:tc>
          <w:tcPr>
            <w:tcW w:w="992" w:type="dxa"/>
            <w:noWrap/>
            <w:vAlign w:val="center"/>
          </w:tcPr>
          <w:p>
            <w:pPr>
              <w:pStyle w:val="42"/>
              <w:spacing w:line="300" w:lineRule="exact"/>
            </w:pPr>
            <w:r>
              <w:rPr>
                <w:rFonts w:hint="eastAsia"/>
              </w:rPr>
              <w:t>清下水</w:t>
            </w:r>
          </w:p>
        </w:tc>
        <w:tc>
          <w:tcPr>
            <w:tcW w:w="851"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984" w:type="dxa"/>
            <w:vMerge w:val="restart"/>
            <w:noWrap/>
            <w:vAlign w:val="center"/>
          </w:tcPr>
          <w:p>
            <w:pPr>
              <w:pStyle w:val="42"/>
              <w:spacing w:line="300" w:lineRule="exact"/>
            </w:pPr>
            <w:r>
              <w:rPr>
                <w:rFonts w:hint="eastAsia"/>
              </w:rPr>
              <w:t>恩力吉公司现有清下水管网集中收集，经厂区雨水总排口排入园区雨水系统</w:t>
            </w:r>
          </w:p>
        </w:tc>
        <w:tc>
          <w:tcPr>
            <w:tcW w:w="993" w:type="dxa"/>
            <w:noWrap/>
            <w:vAlign w:val="center"/>
          </w:tcPr>
          <w:p>
            <w:pPr>
              <w:pStyle w:val="42"/>
              <w:spacing w:line="300" w:lineRule="exact"/>
            </w:pPr>
            <w:r>
              <w:rPr>
                <w:rFonts w:hint="eastAsia"/>
              </w:rPr>
              <w:t>/</w:t>
            </w:r>
          </w:p>
        </w:tc>
        <w:tc>
          <w:tcPr>
            <w:tcW w:w="1417"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276"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741" w:type="dxa"/>
            <w:noWrap/>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6" w:type="dxa"/>
            <w:gridSpan w:val="2"/>
            <w:noWrap/>
            <w:vAlign w:val="center"/>
          </w:tcPr>
          <w:p>
            <w:pPr>
              <w:pStyle w:val="42"/>
              <w:spacing w:line="300" w:lineRule="exact"/>
            </w:pPr>
            <w:r>
              <w:rPr>
                <w:rFonts w:hint="eastAsia"/>
              </w:rPr>
              <w:t>脱盐水站排水</w:t>
            </w:r>
          </w:p>
        </w:tc>
        <w:tc>
          <w:tcPr>
            <w:tcW w:w="992" w:type="dxa"/>
            <w:noWrap/>
            <w:vAlign w:val="center"/>
          </w:tcPr>
          <w:p>
            <w:pPr>
              <w:pStyle w:val="42"/>
              <w:spacing w:line="300" w:lineRule="exact"/>
            </w:pPr>
            <w:r>
              <w:rPr>
                <w:rFonts w:hint="eastAsia"/>
              </w:rPr>
              <w:t>540.64</w:t>
            </w:r>
          </w:p>
        </w:tc>
        <w:tc>
          <w:tcPr>
            <w:tcW w:w="992" w:type="dxa"/>
            <w:noWrap/>
            <w:vAlign w:val="center"/>
          </w:tcPr>
          <w:p>
            <w:pPr>
              <w:pStyle w:val="42"/>
              <w:spacing w:line="300" w:lineRule="exact"/>
            </w:pPr>
            <w:r>
              <w:rPr>
                <w:rFonts w:hint="eastAsia"/>
              </w:rPr>
              <w:t>清下水</w:t>
            </w:r>
          </w:p>
        </w:tc>
        <w:tc>
          <w:tcPr>
            <w:tcW w:w="851"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984" w:type="dxa"/>
            <w:vMerge w:val="continue"/>
            <w:noWrap/>
            <w:vAlign w:val="center"/>
          </w:tcPr>
          <w:p>
            <w:pPr>
              <w:pStyle w:val="42"/>
              <w:spacing w:line="300" w:lineRule="exact"/>
            </w:pPr>
          </w:p>
        </w:tc>
        <w:tc>
          <w:tcPr>
            <w:tcW w:w="993" w:type="dxa"/>
            <w:noWrap/>
            <w:vAlign w:val="center"/>
          </w:tcPr>
          <w:p>
            <w:pPr>
              <w:pStyle w:val="42"/>
              <w:spacing w:line="300" w:lineRule="exact"/>
            </w:pPr>
            <w:r>
              <w:rPr>
                <w:rFonts w:hint="eastAsia"/>
              </w:rPr>
              <w:t>/</w:t>
            </w:r>
          </w:p>
        </w:tc>
        <w:tc>
          <w:tcPr>
            <w:tcW w:w="1417"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276"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741" w:type="dxa"/>
            <w:noWrap/>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restart"/>
            <w:noWrap/>
            <w:vAlign w:val="center"/>
          </w:tcPr>
          <w:p>
            <w:pPr>
              <w:pStyle w:val="42"/>
              <w:spacing w:line="300" w:lineRule="exact"/>
            </w:pPr>
            <w:bookmarkStart w:id="83" w:name="_Hlk58856729"/>
            <w:r>
              <w:rPr>
                <w:rFonts w:hint="eastAsia"/>
              </w:rPr>
              <w:t>合计</w:t>
            </w:r>
          </w:p>
        </w:tc>
        <w:tc>
          <w:tcPr>
            <w:tcW w:w="851" w:type="dxa"/>
            <w:vMerge w:val="restart"/>
            <w:vAlign w:val="center"/>
          </w:tcPr>
          <w:p>
            <w:pPr>
              <w:pStyle w:val="42"/>
              <w:spacing w:line="300" w:lineRule="exact"/>
            </w:pPr>
            <w:r>
              <w:rPr>
                <w:rFonts w:hint="eastAsia"/>
              </w:rPr>
              <w:t>废水</w:t>
            </w:r>
          </w:p>
        </w:tc>
        <w:tc>
          <w:tcPr>
            <w:tcW w:w="992" w:type="dxa"/>
            <w:vMerge w:val="restart"/>
            <w:noWrap/>
            <w:vAlign w:val="center"/>
          </w:tcPr>
          <w:p>
            <w:pPr>
              <w:pStyle w:val="42"/>
              <w:spacing w:line="300" w:lineRule="exact"/>
            </w:pPr>
            <w:r>
              <w:rPr>
                <w:rFonts w:hint="eastAsia"/>
              </w:rPr>
              <w:t>14.06</w:t>
            </w:r>
          </w:p>
        </w:tc>
        <w:tc>
          <w:tcPr>
            <w:tcW w:w="992" w:type="dxa"/>
            <w:noWrap/>
            <w:vAlign w:val="center"/>
          </w:tcPr>
          <w:p>
            <w:pPr>
              <w:pStyle w:val="42"/>
              <w:spacing w:line="300" w:lineRule="exact"/>
            </w:pPr>
            <w:r>
              <w:rPr>
                <w:rFonts w:hint="eastAsia"/>
              </w:rPr>
              <w:t>COD</w:t>
            </w:r>
          </w:p>
        </w:tc>
        <w:tc>
          <w:tcPr>
            <w:tcW w:w="851" w:type="dxa"/>
            <w:noWrap/>
            <w:vAlign w:val="bottom"/>
          </w:tcPr>
          <w:p>
            <w:pPr>
              <w:pStyle w:val="42"/>
              <w:rPr>
                <w:rFonts w:ascii="宋体" w:hAnsi="宋体" w:cs="宋体"/>
              </w:rPr>
            </w:pPr>
            <w:r>
              <w:rPr>
                <w:rFonts w:hint="eastAsia"/>
              </w:rPr>
              <w:t xml:space="preserve">693 </w:t>
            </w:r>
          </w:p>
        </w:tc>
        <w:tc>
          <w:tcPr>
            <w:tcW w:w="1134" w:type="dxa"/>
            <w:noWrap/>
            <w:vAlign w:val="bottom"/>
          </w:tcPr>
          <w:p>
            <w:pPr>
              <w:pStyle w:val="42"/>
              <w:spacing w:line="300" w:lineRule="exact"/>
              <w:rPr>
                <w:rFonts w:ascii="宋体" w:hAnsi="宋体" w:cs="宋体"/>
              </w:rPr>
            </w:pPr>
            <w:r>
              <w:rPr>
                <w:rFonts w:hint="eastAsia"/>
              </w:rPr>
              <w:t xml:space="preserve">3.253 </w:t>
            </w:r>
          </w:p>
        </w:tc>
        <w:tc>
          <w:tcPr>
            <w:tcW w:w="1984" w:type="dxa"/>
            <w:vAlign w:val="center"/>
          </w:tcPr>
          <w:p>
            <w:pPr>
              <w:pStyle w:val="42"/>
              <w:spacing w:line="300" w:lineRule="exact"/>
            </w:pPr>
          </w:p>
        </w:tc>
        <w:tc>
          <w:tcPr>
            <w:tcW w:w="993" w:type="dxa"/>
            <w:noWrap/>
            <w:vAlign w:val="center"/>
          </w:tcPr>
          <w:p>
            <w:pPr>
              <w:pStyle w:val="42"/>
              <w:spacing w:line="300" w:lineRule="exact"/>
            </w:pPr>
            <w:r>
              <w:rPr>
                <w:rFonts w:hint="eastAsia"/>
              </w:rPr>
              <w:t>COD</w:t>
            </w:r>
          </w:p>
        </w:tc>
        <w:tc>
          <w:tcPr>
            <w:tcW w:w="1417" w:type="dxa"/>
            <w:noWrap/>
            <w:vAlign w:val="center"/>
          </w:tcPr>
          <w:p>
            <w:pPr>
              <w:pStyle w:val="42"/>
              <w:spacing w:line="300" w:lineRule="exact"/>
            </w:pPr>
            <w:r>
              <w:rPr>
                <w:rFonts w:hint="eastAsia"/>
              </w:rPr>
              <w:t>200</w:t>
            </w:r>
          </w:p>
        </w:tc>
        <w:tc>
          <w:tcPr>
            <w:tcW w:w="1134" w:type="dxa"/>
            <w:noWrap/>
            <w:vAlign w:val="bottom"/>
          </w:tcPr>
          <w:p>
            <w:pPr>
              <w:pStyle w:val="42"/>
              <w:spacing w:line="300" w:lineRule="exact"/>
              <w:rPr>
                <w:rFonts w:ascii="宋体" w:hAnsi="宋体" w:cs="宋体"/>
              </w:rPr>
            </w:pPr>
            <w:r>
              <w:rPr>
                <w:rFonts w:hint="eastAsia"/>
              </w:rPr>
              <w:t xml:space="preserve">0.938 </w:t>
            </w:r>
          </w:p>
        </w:tc>
        <w:tc>
          <w:tcPr>
            <w:tcW w:w="1276" w:type="dxa"/>
            <w:noWrap/>
            <w:vAlign w:val="center"/>
          </w:tcPr>
          <w:p>
            <w:pPr>
              <w:pStyle w:val="42"/>
              <w:spacing w:line="300" w:lineRule="exact"/>
            </w:pPr>
            <w:r>
              <w:rPr>
                <w:rFonts w:hint="eastAsia"/>
              </w:rPr>
              <w:t>60</w:t>
            </w:r>
          </w:p>
        </w:tc>
        <w:tc>
          <w:tcPr>
            <w:tcW w:w="1134" w:type="dxa"/>
            <w:noWrap/>
            <w:vAlign w:val="bottom"/>
          </w:tcPr>
          <w:p>
            <w:pPr>
              <w:pStyle w:val="42"/>
              <w:spacing w:line="300" w:lineRule="exact"/>
              <w:rPr>
                <w:rFonts w:ascii="宋体" w:hAnsi="宋体" w:cs="宋体"/>
              </w:rPr>
            </w:pPr>
            <w:r>
              <w:rPr>
                <w:rFonts w:hint="eastAsia"/>
              </w:rPr>
              <w:t xml:space="preserve">0.282 </w:t>
            </w:r>
          </w:p>
        </w:tc>
        <w:tc>
          <w:tcPr>
            <w:tcW w:w="741" w:type="dxa"/>
            <w:noWrap/>
            <w:vAlign w:val="center"/>
          </w:tcPr>
          <w:p>
            <w:pPr>
              <w:pStyle w:val="42"/>
              <w:spacing w:line="300" w:lineRule="exact"/>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continue"/>
            <w:noWrap/>
            <w:vAlign w:val="center"/>
          </w:tcPr>
          <w:p>
            <w:pPr>
              <w:pStyle w:val="42"/>
              <w:spacing w:line="300" w:lineRule="exact"/>
            </w:pPr>
          </w:p>
        </w:tc>
        <w:tc>
          <w:tcPr>
            <w:tcW w:w="851" w:type="dxa"/>
            <w:vMerge w:val="continue"/>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BOD</w:t>
            </w:r>
            <w:r>
              <w:rPr>
                <w:rFonts w:hint="eastAsia"/>
                <w:vertAlign w:val="subscript"/>
              </w:rPr>
              <w:t>5</w:t>
            </w:r>
          </w:p>
        </w:tc>
        <w:tc>
          <w:tcPr>
            <w:tcW w:w="851" w:type="dxa"/>
            <w:noWrap/>
            <w:vAlign w:val="bottom"/>
          </w:tcPr>
          <w:p>
            <w:pPr>
              <w:pStyle w:val="42"/>
              <w:rPr>
                <w:rFonts w:ascii="宋体" w:hAnsi="宋体" w:cs="宋体"/>
              </w:rPr>
            </w:pPr>
            <w:r>
              <w:rPr>
                <w:rFonts w:hint="eastAsia"/>
              </w:rPr>
              <w:t>223</w:t>
            </w:r>
          </w:p>
        </w:tc>
        <w:tc>
          <w:tcPr>
            <w:tcW w:w="1134" w:type="dxa"/>
            <w:noWrap/>
            <w:vAlign w:val="bottom"/>
          </w:tcPr>
          <w:p>
            <w:pPr>
              <w:pStyle w:val="42"/>
              <w:spacing w:line="300" w:lineRule="exact"/>
              <w:rPr>
                <w:rFonts w:ascii="宋体" w:hAnsi="宋体" w:cs="宋体"/>
              </w:rPr>
            </w:pPr>
            <w:r>
              <w:rPr>
                <w:rFonts w:hint="eastAsia"/>
              </w:rPr>
              <w:t>1.408</w:t>
            </w:r>
          </w:p>
        </w:tc>
        <w:tc>
          <w:tcPr>
            <w:tcW w:w="1984" w:type="dxa"/>
            <w:vAlign w:val="center"/>
          </w:tcPr>
          <w:p>
            <w:pPr>
              <w:pStyle w:val="42"/>
              <w:spacing w:line="300" w:lineRule="exact"/>
            </w:pPr>
          </w:p>
        </w:tc>
        <w:tc>
          <w:tcPr>
            <w:tcW w:w="993" w:type="dxa"/>
            <w:noWrap/>
            <w:vAlign w:val="center"/>
          </w:tcPr>
          <w:p>
            <w:pPr>
              <w:pStyle w:val="42"/>
              <w:spacing w:line="300" w:lineRule="exact"/>
            </w:pPr>
            <w:r>
              <w:rPr>
                <w:rFonts w:hint="eastAsia"/>
              </w:rPr>
              <w:t>BOD</w:t>
            </w:r>
            <w:r>
              <w:rPr>
                <w:rFonts w:hint="eastAsia"/>
                <w:vertAlign w:val="subscript"/>
              </w:rPr>
              <w:t>5</w:t>
            </w:r>
          </w:p>
        </w:tc>
        <w:tc>
          <w:tcPr>
            <w:tcW w:w="1417" w:type="dxa"/>
            <w:noWrap/>
            <w:vAlign w:val="center"/>
          </w:tcPr>
          <w:p>
            <w:pPr>
              <w:pStyle w:val="42"/>
              <w:spacing w:line="300" w:lineRule="exact"/>
            </w:pPr>
            <w:r>
              <w:rPr>
                <w:rFonts w:hint="eastAsia"/>
              </w:rPr>
              <w:t>--</w:t>
            </w:r>
          </w:p>
        </w:tc>
        <w:tc>
          <w:tcPr>
            <w:tcW w:w="1134" w:type="dxa"/>
            <w:noWrap/>
            <w:vAlign w:val="bottom"/>
          </w:tcPr>
          <w:p>
            <w:pPr>
              <w:pStyle w:val="42"/>
              <w:spacing w:line="300" w:lineRule="exact"/>
              <w:rPr>
                <w:rFonts w:ascii="宋体" w:hAnsi="宋体" w:cs="宋体"/>
              </w:rPr>
            </w:pPr>
            <w:r>
              <w:rPr>
                <w:rFonts w:hint="eastAsia"/>
              </w:rPr>
              <w:t xml:space="preserve">0.469 </w:t>
            </w:r>
          </w:p>
        </w:tc>
        <w:tc>
          <w:tcPr>
            <w:tcW w:w="1276" w:type="dxa"/>
            <w:noWrap/>
            <w:vAlign w:val="center"/>
          </w:tcPr>
          <w:p>
            <w:pPr>
              <w:pStyle w:val="42"/>
              <w:spacing w:line="300" w:lineRule="exact"/>
            </w:pPr>
            <w:r>
              <w:rPr>
                <w:rFonts w:hint="eastAsia"/>
              </w:rPr>
              <w:t>20</w:t>
            </w:r>
          </w:p>
        </w:tc>
        <w:tc>
          <w:tcPr>
            <w:tcW w:w="1134" w:type="dxa"/>
            <w:noWrap/>
            <w:vAlign w:val="bottom"/>
          </w:tcPr>
          <w:p>
            <w:pPr>
              <w:pStyle w:val="42"/>
              <w:spacing w:line="300" w:lineRule="exact"/>
              <w:rPr>
                <w:rFonts w:ascii="宋体" w:hAnsi="宋体" w:cs="宋体"/>
              </w:rPr>
            </w:pPr>
            <w:r>
              <w:rPr>
                <w:rFonts w:hint="eastAsia"/>
              </w:rPr>
              <w:t xml:space="preserve">0.094 </w:t>
            </w:r>
          </w:p>
        </w:tc>
        <w:tc>
          <w:tcPr>
            <w:tcW w:w="741" w:type="dxa"/>
            <w:noWrap/>
            <w:vAlign w:val="center"/>
          </w:tcPr>
          <w:p>
            <w:pPr>
              <w:pStyle w:val="42"/>
              <w:spacing w:line="300" w:lineRule="exact"/>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continue"/>
            <w:noWrap/>
            <w:vAlign w:val="center"/>
          </w:tcPr>
          <w:p>
            <w:pPr>
              <w:pStyle w:val="42"/>
              <w:spacing w:line="300" w:lineRule="exact"/>
            </w:pPr>
          </w:p>
        </w:tc>
        <w:tc>
          <w:tcPr>
            <w:tcW w:w="851" w:type="dxa"/>
            <w:vMerge w:val="continue"/>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SS</w:t>
            </w:r>
          </w:p>
        </w:tc>
        <w:tc>
          <w:tcPr>
            <w:tcW w:w="851" w:type="dxa"/>
            <w:noWrap/>
            <w:vAlign w:val="bottom"/>
          </w:tcPr>
          <w:p>
            <w:pPr>
              <w:pStyle w:val="42"/>
              <w:rPr>
                <w:rFonts w:ascii="宋体" w:hAnsi="宋体" w:cs="宋体"/>
              </w:rPr>
            </w:pPr>
            <w:r>
              <w:rPr>
                <w:rFonts w:hint="eastAsia"/>
              </w:rPr>
              <w:t xml:space="preserve">323 </w:t>
            </w:r>
          </w:p>
        </w:tc>
        <w:tc>
          <w:tcPr>
            <w:tcW w:w="1134" w:type="dxa"/>
            <w:noWrap/>
            <w:vAlign w:val="bottom"/>
          </w:tcPr>
          <w:p>
            <w:pPr>
              <w:pStyle w:val="42"/>
              <w:spacing w:line="300" w:lineRule="exact"/>
              <w:rPr>
                <w:rFonts w:ascii="宋体" w:hAnsi="宋体" w:cs="宋体"/>
              </w:rPr>
            </w:pPr>
            <w:r>
              <w:rPr>
                <w:rFonts w:hint="eastAsia"/>
              </w:rPr>
              <w:t xml:space="preserve">1.517 </w:t>
            </w:r>
          </w:p>
        </w:tc>
        <w:tc>
          <w:tcPr>
            <w:tcW w:w="1984" w:type="dxa"/>
            <w:vAlign w:val="center"/>
          </w:tcPr>
          <w:p>
            <w:pPr>
              <w:pStyle w:val="42"/>
              <w:spacing w:line="300" w:lineRule="exact"/>
            </w:pPr>
          </w:p>
        </w:tc>
        <w:tc>
          <w:tcPr>
            <w:tcW w:w="993" w:type="dxa"/>
            <w:noWrap/>
            <w:vAlign w:val="center"/>
          </w:tcPr>
          <w:p>
            <w:pPr>
              <w:pStyle w:val="42"/>
              <w:spacing w:line="300" w:lineRule="exact"/>
            </w:pPr>
            <w:r>
              <w:rPr>
                <w:rFonts w:hint="eastAsia"/>
              </w:rPr>
              <w:t>SS</w:t>
            </w:r>
          </w:p>
        </w:tc>
        <w:tc>
          <w:tcPr>
            <w:tcW w:w="1417" w:type="dxa"/>
            <w:noWrap/>
            <w:vAlign w:val="center"/>
          </w:tcPr>
          <w:p>
            <w:pPr>
              <w:pStyle w:val="42"/>
              <w:spacing w:line="300" w:lineRule="exact"/>
            </w:pPr>
            <w:r>
              <w:rPr>
                <w:rFonts w:hint="eastAsia"/>
              </w:rPr>
              <w:t>100</w:t>
            </w:r>
          </w:p>
        </w:tc>
        <w:tc>
          <w:tcPr>
            <w:tcW w:w="1134" w:type="dxa"/>
            <w:noWrap/>
            <w:vAlign w:val="bottom"/>
          </w:tcPr>
          <w:p>
            <w:pPr>
              <w:pStyle w:val="42"/>
              <w:spacing w:line="300" w:lineRule="exact"/>
              <w:rPr>
                <w:rFonts w:ascii="宋体" w:hAnsi="宋体" w:cs="宋体"/>
              </w:rPr>
            </w:pPr>
            <w:r>
              <w:rPr>
                <w:rFonts w:hint="eastAsia"/>
              </w:rPr>
              <w:t xml:space="preserve">0.469 </w:t>
            </w:r>
          </w:p>
        </w:tc>
        <w:tc>
          <w:tcPr>
            <w:tcW w:w="1276" w:type="dxa"/>
            <w:noWrap/>
            <w:vAlign w:val="center"/>
          </w:tcPr>
          <w:p>
            <w:pPr>
              <w:pStyle w:val="42"/>
              <w:spacing w:line="300" w:lineRule="exact"/>
            </w:pPr>
            <w:r>
              <w:rPr>
                <w:rFonts w:hint="eastAsia"/>
              </w:rPr>
              <w:t>70</w:t>
            </w:r>
          </w:p>
        </w:tc>
        <w:tc>
          <w:tcPr>
            <w:tcW w:w="1134" w:type="dxa"/>
            <w:noWrap/>
            <w:vAlign w:val="bottom"/>
          </w:tcPr>
          <w:p>
            <w:pPr>
              <w:pStyle w:val="42"/>
              <w:spacing w:line="300" w:lineRule="exact"/>
              <w:rPr>
                <w:rFonts w:ascii="宋体" w:hAnsi="宋体" w:cs="宋体"/>
              </w:rPr>
            </w:pPr>
            <w:r>
              <w:rPr>
                <w:rFonts w:hint="eastAsia"/>
              </w:rPr>
              <w:t xml:space="preserve">0.328 </w:t>
            </w:r>
          </w:p>
        </w:tc>
        <w:tc>
          <w:tcPr>
            <w:tcW w:w="741" w:type="dxa"/>
            <w:noWrap/>
            <w:vAlign w:val="center"/>
          </w:tcPr>
          <w:p>
            <w:pPr>
              <w:pStyle w:val="42"/>
              <w:spacing w:line="300" w:lineRule="exact"/>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continue"/>
            <w:noWrap/>
            <w:vAlign w:val="center"/>
          </w:tcPr>
          <w:p>
            <w:pPr>
              <w:pStyle w:val="42"/>
              <w:spacing w:line="300" w:lineRule="exact"/>
            </w:pPr>
          </w:p>
        </w:tc>
        <w:tc>
          <w:tcPr>
            <w:tcW w:w="851" w:type="dxa"/>
            <w:vMerge w:val="continue"/>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石油类</w:t>
            </w:r>
          </w:p>
        </w:tc>
        <w:tc>
          <w:tcPr>
            <w:tcW w:w="851" w:type="dxa"/>
            <w:noWrap/>
            <w:vAlign w:val="bottom"/>
          </w:tcPr>
          <w:p>
            <w:pPr>
              <w:pStyle w:val="42"/>
              <w:rPr>
                <w:rFonts w:ascii="宋体" w:hAnsi="宋体" w:cs="宋体"/>
              </w:rPr>
            </w:pPr>
            <w:r>
              <w:rPr>
                <w:rFonts w:hint="eastAsia"/>
              </w:rPr>
              <w:t>4</w:t>
            </w:r>
          </w:p>
        </w:tc>
        <w:tc>
          <w:tcPr>
            <w:tcW w:w="1134" w:type="dxa"/>
            <w:noWrap/>
            <w:vAlign w:val="bottom"/>
          </w:tcPr>
          <w:p>
            <w:pPr>
              <w:pStyle w:val="42"/>
              <w:spacing w:line="300" w:lineRule="exact"/>
              <w:rPr>
                <w:rFonts w:ascii="宋体" w:hAnsi="宋体" w:cs="宋体"/>
              </w:rPr>
            </w:pPr>
            <w:r>
              <w:rPr>
                <w:rFonts w:hint="eastAsia"/>
              </w:rPr>
              <w:t>0.018</w:t>
            </w:r>
          </w:p>
        </w:tc>
        <w:tc>
          <w:tcPr>
            <w:tcW w:w="1984" w:type="dxa"/>
            <w:vAlign w:val="center"/>
          </w:tcPr>
          <w:p>
            <w:pPr>
              <w:pStyle w:val="42"/>
              <w:spacing w:line="300" w:lineRule="exact"/>
            </w:pPr>
          </w:p>
        </w:tc>
        <w:tc>
          <w:tcPr>
            <w:tcW w:w="993" w:type="dxa"/>
            <w:noWrap/>
            <w:vAlign w:val="center"/>
          </w:tcPr>
          <w:p>
            <w:pPr>
              <w:pStyle w:val="42"/>
              <w:spacing w:line="300" w:lineRule="exact"/>
            </w:pPr>
            <w:r>
              <w:rPr>
                <w:rFonts w:hint="eastAsia"/>
              </w:rPr>
              <w:t>石油类</w:t>
            </w:r>
          </w:p>
        </w:tc>
        <w:tc>
          <w:tcPr>
            <w:tcW w:w="1417" w:type="dxa"/>
            <w:noWrap/>
            <w:vAlign w:val="center"/>
          </w:tcPr>
          <w:p>
            <w:pPr>
              <w:pStyle w:val="42"/>
              <w:spacing w:line="300" w:lineRule="exact"/>
            </w:pPr>
            <w:r>
              <w:rPr>
                <w:rFonts w:hint="eastAsia"/>
              </w:rPr>
              <w:t>3</w:t>
            </w:r>
          </w:p>
        </w:tc>
        <w:tc>
          <w:tcPr>
            <w:tcW w:w="1134" w:type="dxa"/>
            <w:noWrap/>
            <w:vAlign w:val="bottom"/>
          </w:tcPr>
          <w:p>
            <w:pPr>
              <w:pStyle w:val="42"/>
              <w:spacing w:line="300" w:lineRule="exact"/>
              <w:rPr>
                <w:rFonts w:ascii="宋体" w:hAnsi="宋体" w:cs="宋体"/>
              </w:rPr>
            </w:pPr>
            <w:r>
              <w:rPr>
                <w:rFonts w:hint="eastAsia"/>
              </w:rPr>
              <w:t xml:space="preserve">0.007 </w:t>
            </w:r>
          </w:p>
        </w:tc>
        <w:tc>
          <w:tcPr>
            <w:tcW w:w="1276" w:type="dxa"/>
            <w:noWrap/>
            <w:vAlign w:val="center"/>
          </w:tcPr>
          <w:p>
            <w:pPr>
              <w:pStyle w:val="42"/>
              <w:spacing w:line="300" w:lineRule="exact"/>
            </w:pPr>
            <w:r>
              <w:rPr>
                <w:rFonts w:hint="eastAsia"/>
              </w:rPr>
              <w:t>3</w:t>
            </w:r>
          </w:p>
        </w:tc>
        <w:tc>
          <w:tcPr>
            <w:tcW w:w="1134" w:type="dxa"/>
            <w:noWrap/>
            <w:vAlign w:val="bottom"/>
          </w:tcPr>
          <w:p>
            <w:pPr>
              <w:pStyle w:val="42"/>
              <w:spacing w:line="300" w:lineRule="exact"/>
              <w:rPr>
                <w:rFonts w:ascii="宋体" w:hAnsi="宋体" w:cs="宋体"/>
              </w:rPr>
            </w:pPr>
            <w:r>
              <w:rPr>
                <w:rFonts w:hint="eastAsia"/>
              </w:rPr>
              <w:t xml:space="preserve">0.007 </w:t>
            </w:r>
          </w:p>
        </w:tc>
        <w:tc>
          <w:tcPr>
            <w:tcW w:w="741" w:type="dxa"/>
            <w:noWrap/>
            <w:vAlign w:val="center"/>
          </w:tcPr>
          <w:p>
            <w:pPr>
              <w:pStyle w:val="42"/>
              <w:spacing w:line="300" w:lineRule="exact"/>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continue"/>
            <w:noWrap/>
            <w:vAlign w:val="center"/>
          </w:tcPr>
          <w:p>
            <w:pPr>
              <w:pStyle w:val="42"/>
              <w:spacing w:line="300" w:lineRule="exact"/>
            </w:pPr>
          </w:p>
        </w:tc>
        <w:tc>
          <w:tcPr>
            <w:tcW w:w="851" w:type="dxa"/>
            <w:vMerge w:val="continue"/>
            <w:vAlign w:val="center"/>
          </w:tcPr>
          <w:p>
            <w:pPr>
              <w:pStyle w:val="42"/>
              <w:spacing w:line="300" w:lineRule="exact"/>
            </w:pPr>
          </w:p>
        </w:tc>
        <w:tc>
          <w:tcPr>
            <w:tcW w:w="992" w:type="dxa"/>
            <w:vMerge w:val="continue"/>
            <w:noWrap/>
            <w:vAlign w:val="center"/>
          </w:tcPr>
          <w:p>
            <w:pPr>
              <w:pStyle w:val="42"/>
              <w:spacing w:line="300" w:lineRule="exact"/>
            </w:pPr>
          </w:p>
        </w:tc>
        <w:tc>
          <w:tcPr>
            <w:tcW w:w="992" w:type="dxa"/>
            <w:noWrap/>
            <w:vAlign w:val="center"/>
          </w:tcPr>
          <w:p>
            <w:pPr>
              <w:pStyle w:val="42"/>
              <w:spacing w:line="300" w:lineRule="exact"/>
            </w:pPr>
            <w:r>
              <w:rPr>
                <w:rFonts w:hint="eastAsia"/>
              </w:rPr>
              <w:t>NH</w:t>
            </w:r>
            <w:r>
              <w:rPr>
                <w:rFonts w:hint="eastAsia"/>
                <w:vertAlign w:val="subscript"/>
              </w:rPr>
              <w:t>3</w:t>
            </w:r>
            <w:r>
              <w:rPr>
                <w:rFonts w:hint="eastAsia"/>
              </w:rPr>
              <w:t>-N</w:t>
            </w:r>
          </w:p>
        </w:tc>
        <w:tc>
          <w:tcPr>
            <w:tcW w:w="851" w:type="dxa"/>
            <w:noWrap/>
            <w:vAlign w:val="bottom"/>
          </w:tcPr>
          <w:p>
            <w:pPr>
              <w:pStyle w:val="42"/>
              <w:rPr>
                <w:rFonts w:ascii="宋体" w:hAnsi="宋体" w:cs="宋体"/>
              </w:rPr>
            </w:pPr>
            <w:r>
              <w:rPr>
                <w:rFonts w:hint="eastAsia"/>
              </w:rPr>
              <w:t xml:space="preserve">51 </w:t>
            </w:r>
          </w:p>
        </w:tc>
        <w:tc>
          <w:tcPr>
            <w:tcW w:w="1134" w:type="dxa"/>
            <w:noWrap/>
            <w:vAlign w:val="bottom"/>
          </w:tcPr>
          <w:p>
            <w:pPr>
              <w:pStyle w:val="42"/>
              <w:spacing w:line="300" w:lineRule="exact"/>
              <w:rPr>
                <w:rFonts w:ascii="宋体" w:hAnsi="宋体" w:cs="宋体"/>
              </w:rPr>
            </w:pPr>
            <w:r>
              <w:rPr>
                <w:rFonts w:hint="eastAsia"/>
              </w:rPr>
              <w:t xml:space="preserve">0.240 </w:t>
            </w:r>
          </w:p>
        </w:tc>
        <w:tc>
          <w:tcPr>
            <w:tcW w:w="1984" w:type="dxa"/>
            <w:vAlign w:val="center"/>
          </w:tcPr>
          <w:p>
            <w:pPr>
              <w:pStyle w:val="42"/>
              <w:spacing w:line="300" w:lineRule="exact"/>
            </w:pPr>
          </w:p>
        </w:tc>
        <w:tc>
          <w:tcPr>
            <w:tcW w:w="993" w:type="dxa"/>
            <w:noWrap/>
            <w:vAlign w:val="center"/>
          </w:tcPr>
          <w:p>
            <w:pPr>
              <w:pStyle w:val="42"/>
              <w:spacing w:line="300" w:lineRule="exact"/>
            </w:pPr>
            <w:r>
              <w:rPr>
                <w:rFonts w:hint="eastAsia"/>
              </w:rPr>
              <w:t>NH</w:t>
            </w:r>
            <w:r>
              <w:rPr>
                <w:rFonts w:hint="eastAsia"/>
                <w:vertAlign w:val="subscript"/>
              </w:rPr>
              <w:t>3</w:t>
            </w:r>
            <w:r>
              <w:rPr>
                <w:rFonts w:hint="eastAsia"/>
              </w:rPr>
              <w:t>-N</w:t>
            </w:r>
          </w:p>
        </w:tc>
        <w:tc>
          <w:tcPr>
            <w:tcW w:w="1417" w:type="dxa"/>
            <w:noWrap/>
            <w:vAlign w:val="center"/>
          </w:tcPr>
          <w:p>
            <w:pPr>
              <w:pStyle w:val="42"/>
              <w:spacing w:line="300" w:lineRule="exact"/>
            </w:pPr>
            <w:r>
              <w:rPr>
                <w:rFonts w:hint="eastAsia"/>
              </w:rPr>
              <w:t>50</w:t>
            </w:r>
          </w:p>
        </w:tc>
        <w:tc>
          <w:tcPr>
            <w:tcW w:w="1134" w:type="dxa"/>
            <w:noWrap/>
            <w:vAlign w:val="bottom"/>
          </w:tcPr>
          <w:p>
            <w:pPr>
              <w:pStyle w:val="42"/>
              <w:spacing w:line="300" w:lineRule="exact"/>
              <w:rPr>
                <w:rFonts w:ascii="宋体" w:hAnsi="宋体" w:cs="宋体"/>
              </w:rPr>
            </w:pPr>
            <w:r>
              <w:rPr>
                <w:rFonts w:hint="eastAsia"/>
              </w:rPr>
              <w:t xml:space="preserve">0.240 </w:t>
            </w:r>
          </w:p>
        </w:tc>
        <w:tc>
          <w:tcPr>
            <w:tcW w:w="1276" w:type="dxa"/>
            <w:noWrap/>
            <w:vAlign w:val="center"/>
          </w:tcPr>
          <w:p>
            <w:pPr>
              <w:pStyle w:val="42"/>
              <w:spacing w:line="300" w:lineRule="exact"/>
            </w:pPr>
            <w:r>
              <w:rPr>
                <w:rFonts w:hint="eastAsia"/>
              </w:rPr>
              <w:t>10</w:t>
            </w:r>
          </w:p>
        </w:tc>
        <w:tc>
          <w:tcPr>
            <w:tcW w:w="1134" w:type="dxa"/>
            <w:noWrap/>
            <w:vAlign w:val="bottom"/>
          </w:tcPr>
          <w:p>
            <w:pPr>
              <w:pStyle w:val="42"/>
              <w:spacing w:line="300" w:lineRule="exact"/>
              <w:rPr>
                <w:rFonts w:ascii="宋体" w:hAnsi="宋体" w:cs="宋体"/>
              </w:rPr>
            </w:pPr>
            <w:r>
              <w:rPr>
                <w:rFonts w:hint="eastAsia"/>
              </w:rPr>
              <w:t xml:space="preserve">0.047 </w:t>
            </w:r>
          </w:p>
        </w:tc>
        <w:tc>
          <w:tcPr>
            <w:tcW w:w="741" w:type="dxa"/>
            <w:noWrap/>
            <w:vAlign w:val="center"/>
          </w:tcPr>
          <w:p>
            <w:pPr>
              <w:pStyle w:val="42"/>
              <w:spacing w:line="300" w:lineRule="exact"/>
            </w:pPr>
            <w:r>
              <w:rPr>
                <w:rFonts w:hint="eastAsia"/>
              </w:rPr>
              <w:t>10</w:t>
            </w:r>
          </w:p>
        </w:tc>
      </w:tr>
      <w:bookmark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vMerge w:val="continue"/>
            <w:noWrap/>
            <w:vAlign w:val="center"/>
          </w:tcPr>
          <w:p>
            <w:pPr>
              <w:pStyle w:val="42"/>
              <w:spacing w:line="300" w:lineRule="exact"/>
            </w:pPr>
          </w:p>
        </w:tc>
        <w:tc>
          <w:tcPr>
            <w:tcW w:w="851" w:type="dxa"/>
            <w:vAlign w:val="center"/>
          </w:tcPr>
          <w:p>
            <w:pPr>
              <w:pStyle w:val="42"/>
              <w:spacing w:line="300" w:lineRule="exact"/>
            </w:pPr>
            <w:r>
              <w:rPr>
                <w:rFonts w:hint="eastAsia"/>
              </w:rPr>
              <w:t>清下水</w:t>
            </w:r>
          </w:p>
        </w:tc>
        <w:tc>
          <w:tcPr>
            <w:tcW w:w="992" w:type="dxa"/>
            <w:noWrap/>
            <w:vAlign w:val="center"/>
          </w:tcPr>
          <w:p>
            <w:pPr>
              <w:pStyle w:val="42"/>
              <w:spacing w:line="300" w:lineRule="exact"/>
            </w:pPr>
            <w:r>
              <w:rPr>
                <w:rFonts w:hint="eastAsia"/>
              </w:rPr>
              <w:t>927.28</w:t>
            </w:r>
          </w:p>
        </w:tc>
        <w:tc>
          <w:tcPr>
            <w:tcW w:w="992" w:type="dxa"/>
            <w:noWrap/>
            <w:vAlign w:val="center"/>
          </w:tcPr>
          <w:p>
            <w:pPr>
              <w:pStyle w:val="42"/>
              <w:spacing w:line="300" w:lineRule="exact"/>
            </w:pPr>
            <w:r>
              <w:rPr>
                <w:rFonts w:hint="eastAsia"/>
              </w:rPr>
              <w:t>/</w:t>
            </w:r>
          </w:p>
        </w:tc>
        <w:tc>
          <w:tcPr>
            <w:tcW w:w="851"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984" w:type="dxa"/>
            <w:vAlign w:val="center"/>
          </w:tcPr>
          <w:p>
            <w:pPr>
              <w:pStyle w:val="42"/>
              <w:spacing w:line="300" w:lineRule="exact"/>
            </w:pPr>
            <w:r>
              <w:rPr>
                <w:rFonts w:hint="eastAsia"/>
              </w:rPr>
              <w:t>/</w:t>
            </w:r>
          </w:p>
        </w:tc>
        <w:tc>
          <w:tcPr>
            <w:tcW w:w="993" w:type="dxa"/>
            <w:noWrap/>
            <w:vAlign w:val="center"/>
          </w:tcPr>
          <w:p>
            <w:pPr>
              <w:pStyle w:val="42"/>
              <w:spacing w:line="300" w:lineRule="exact"/>
            </w:pPr>
            <w:r>
              <w:rPr>
                <w:rFonts w:hint="eastAsia"/>
              </w:rPr>
              <w:t>/</w:t>
            </w:r>
          </w:p>
        </w:tc>
        <w:tc>
          <w:tcPr>
            <w:tcW w:w="1417"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1276" w:type="dxa"/>
            <w:noWrap/>
            <w:vAlign w:val="center"/>
          </w:tcPr>
          <w:p>
            <w:pPr>
              <w:pStyle w:val="42"/>
              <w:spacing w:line="300" w:lineRule="exact"/>
            </w:pPr>
            <w:r>
              <w:rPr>
                <w:rFonts w:hint="eastAsia"/>
              </w:rPr>
              <w:t>/</w:t>
            </w:r>
          </w:p>
        </w:tc>
        <w:tc>
          <w:tcPr>
            <w:tcW w:w="1134" w:type="dxa"/>
            <w:noWrap/>
            <w:vAlign w:val="center"/>
          </w:tcPr>
          <w:p>
            <w:pPr>
              <w:pStyle w:val="42"/>
              <w:spacing w:line="300" w:lineRule="exact"/>
            </w:pPr>
            <w:r>
              <w:rPr>
                <w:rFonts w:hint="eastAsia"/>
              </w:rPr>
              <w:t>/</w:t>
            </w:r>
          </w:p>
        </w:tc>
        <w:tc>
          <w:tcPr>
            <w:tcW w:w="741" w:type="dxa"/>
            <w:noWrap/>
            <w:vAlign w:val="center"/>
          </w:tcPr>
          <w:p>
            <w:pPr>
              <w:pStyle w:val="42"/>
              <w:spacing w:line="300" w:lineRule="exact"/>
            </w:pPr>
            <w:r>
              <w:rPr>
                <w:rFonts w:hint="eastAsia"/>
              </w:rPr>
              <w:t>/</w:t>
            </w:r>
          </w:p>
        </w:tc>
      </w:tr>
    </w:tbl>
    <w:p>
      <w:pPr>
        <w:pStyle w:val="41"/>
      </w:pPr>
      <w:r>
        <w:rPr>
          <w:rFonts w:hint="eastAsia"/>
        </w:rPr>
        <w:t>表3.5.3-1  拟建项目危险废物产生及处置情况一览表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701"/>
        <w:gridCol w:w="1276"/>
        <w:gridCol w:w="1134"/>
        <w:gridCol w:w="1417"/>
        <w:gridCol w:w="850"/>
        <w:gridCol w:w="1701"/>
        <w:gridCol w:w="1420"/>
        <w:gridCol w:w="1134"/>
        <w:gridCol w:w="709"/>
        <w:gridCol w:w="1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8" w:space="0"/>
              <w:left w:val="single" w:color="auto" w:sz="8" w:space="0"/>
              <w:bottom w:val="single" w:color="auto" w:sz="4" w:space="0"/>
              <w:right w:val="single" w:color="auto" w:sz="4" w:space="0"/>
            </w:tcBorders>
            <w:vAlign w:val="center"/>
          </w:tcPr>
          <w:p>
            <w:pPr>
              <w:pStyle w:val="42"/>
            </w:pPr>
            <w:r>
              <w:t>序号</w:t>
            </w:r>
          </w:p>
        </w:tc>
        <w:tc>
          <w:tcPr>
            <w:tcW w:w="400" w:type="pct"/>
            <w:tcBorders>
              <w:top w:val="single" w:color="auto" w:sz="8" w:space="0"/>
              <w:left w:val="single" w:color="auto" w:sz="4" w:space="0"/>
              <w:bottom w:val="single" w:color="auto" w:sz="4" w:space="0"/>
              <w:right w:val="single" w:color="auto" w:sz="4" w:space="0"/>
            </w:tcBorders>
            <w:vAlign w:val="center"/>
          </w:tcPr>
          <w:p>
            <w:pPr>
              <w:pStyle w:val="42"/>
            </w:pPr>
            <w:r>
              <w:t>危险废物名称</w:t>
            </w:r>
          </w:p>
        </w:tc>
        <w:tc>
          <w:tcPr>
            <w:tcW w:w="600" w:type="pct"/>
            <w:tcBorders>
              <w:top w:val="single" w:color="auto" w:sz="8" w:space="0"/>
              <w:left w:val="single" w:color="auto" w:sz="4" w:space="0"/>
              <w:bottom w:val="single" w:color="auto" w:sz="4" w:space="0"/>
              <w:right w:val="single" w:color="auto" w:sz="4" w:space="0"/>
            </w:tcBorders>
            <w:vAlign w:val="center"/>
          </w:tcPr>
          <w:p>
            <w:pPr>
              <w:pStyle w:val="42"/>
            </w:pPr>
            <w:r>
              <w:t>危险废物类别</w:t>
            </w:r>
          </w:p>
        </w:tc>
        <w:tc>
          <w:tcPr>
            <w:tcW w:w="450" w:type="pct"/>
            <w:tcBorders>
              <w:top w:val="single" w:color="auto" w:sz="8" w:space="0"/>
              <w:left w:val="single" w:color="auto" w:sz="4" w:space="0"/>
              <w:bottom w:val="single" w:color="auto" w:sz="4" w:space="0"/>
              <w:right w:val="single" w:color="auto" w:sz="4" w:space="0"/>
            </w:tcBorders>
            <w:vAlign w:val="center"/>
          </w:tcPr>
          <w:p>
            <w:pPr>
              <w:pStyle w:val="42"/>
            </w:pPr>
            <w:r>
              <w:t>危险废物代码</w:t>
            </w:r>
          </w:p>
        </w:tc>
        <w:tc>
          <w:tcPr>
            <w:tcW w:w="400" w:type="pct"/>
            <w:tcBorders>
              <w:top w:val="single" w:color="auto" w:sz="8" w:space="0"/>
              <w:left w:val="single" w:color="auto" w:sz="4" w:space="0"/>
              <w:bottom w:val="single" w:color="auto" w:sz="4" w:space="0"/>
              <w:right w:val="single" w:color="auto" w:sz="4" w:space="0"/>
            </w:tcBorders>
            <w:vAlign w:val="center"/>
          </w:tcPr>
          <w:p>
            <w:pPr>
              <w:pStyle w:val="42"/>
            </w:pPr>
            <w:r>
              <w:t>产生量</w:t>
            </w:r>
          </w:p>
          <w:p>
            <w:pPr>
              <w:pStyle w:val="42"/>
            </w:pPr>
            <w:r>
              <w:t>（</w:t>
            </w:r>
            <w:r>
              <w:rPr>
                <w:rFonts w:hint="eastAsia"/>
              </w:rPr>
              <w:t>t/a</w:t>
            </w:r>
            <w:r>
              <w:t>）</w:t>
            </w:r>
          </w:p>
        </w:tc>
        <w:tc>
          <w:tcPr>
            <w:tcW w:w="500" w:type="pct"/>
            <w:tcBorders>
              <w:top w:val="single" w:color="auto" w:sz="8" w:space="0"/>
              <w:left w:val="single" w:color="auto" w:sz="4" w:space="0"/>
              <w:bottom w:val="single" w:color="auto" w:sz="4" w:space="0"/>
              <w:right w:val="single" w:color="auto" w:sz="4" w:space="0"/>
            </w:tcBorders>
            <w:vAlign w:val="center"/>
          </w:tcPr>
          <w:p>
            <w:pPr>
              <w:pStyle w:val="42"/>
            </w:pPr>
            <w:r>
              <w:t>产生工序及装置</w:t>
            </w:r>
          </w:p>
        </w:tc>
        <w:tc>
          <w:tcPr>
            <w:tcW w:w="300" w:type="pct"/>
            <w:tcBorders>
              <w:top w:val="single" w:color="auto" w:sz="8" w:space="0"/>
              <w:left w:val="single" w:color="auto" w:sz="4" w:space="0"/>
              <w:bottom w:val="single" w:color="auto" w:sz="4" w:space="0"/>
              <w:right w:val="single" w:color="auto" w:sz="4" w:space="0"/>
            </w:tcBorders>
            <w:vAlign w:val="center"/>
          </w:tcPr>
          <w:p>
            <w:pPr>
              <w:pStyle w:val="42"/>
            </w:pPr>
            <w:r>
              <w:t>形态</w:t>
            </w:r>
          </w:p>
        </w:tc>
        <w:tc>
          <w:tcPr>
            <w:tcW w:w="600" w:type="pct"/>
            <w:tcBorders>
              <w:top w:val="single" w:color="auto" w:sz="8" w:space="0"/>
              <w:left w:val="single" w:color="auto" w:sz="4" w:space="0"/>
              <w:bottom w:val="single" w:color="auto" w:sz="4" w:space="0"/>
              <w:right w:val="single" w:color="auto" w:sz="4" w:space="0"/>
            </w:tcBorders>
            <w:vAlign w:val="center"/>
          </w:tcPr>
          <w:p>
            <w:pPr>
              <w:pStyle w:val="42"/>
            </w:pPr>
            <w:r>
              <w:t>主要成分</w:t>
            </w:r>
          </w:p>
        </w:tc>
        <w:tc>
          <w:tcPr>
            <w:tcW w:w="501" w:type="pct"/>
            <w:tcBorders>
              <w:top w:val="single" w:color="auto" w:sz="8" w:space="0"/>
              <w:left w:val="single" w:color="auto" w:sz="4" w:space="0"/>
              <w:bottom w:val="single" w:color="auto" w:sz="4" w:space="0"/>
              <w:right w:val="single" w:color="auto" w:sz="4" w:space="0"/>
            </w:tcBorders>
            <w:vAlign w:val="center"/>
          </w:tcPr>
          <w:p>
            <w:pPr>
              <w:pStyle w:val="42"/>
            </w:pPr>
            <w:r>
              <w:t>有害成分</w:t>
            </w:r>
          </w:p>
        </w:tc>
        <w:tc>
          <w:tcPr>
            <w:tcW w:w="400" w:type="pct"/>
            <w:tcBorders>
              <w:top w:val="single" w:color="auto" w:sz="8" w:space="0"/>
              <w:left w:val="single" w:color="auto" w:sz="4" w:space="0"/>
              <w:bottom w:val="single" w:color="auto" w:sz="4" w:space="0"/>
              <w:right w:val="single" w:color="auto" w:sz="4" w:space="0"/>
            </w:tcBorders>
            <w:vAlign w:val="center"/>
          </w:tcPr>
          <w:p>
            <w:pPr>
              <w:pStyle w:val="42"/>
            </w:pPr>
            <w:r>
              <w:t>产废周期</w:t>
            </w:r>
          </w:p>
        </w:tc>
        <w:tc>
          <w:tcPr>
            <w:tcW w:w="250" w:type="pct"/>
            <w:tcBorders>
              <w:top w:val="single" w:color="auto" w:sz="8" w:space="0"/>
              <w:left w:val="single" w:color="auto" w:sz="4" w:space="0"/>
              <w:bottom w:val="single" w:color="auto" w:sz="4" w:space="0"/>
              <w:right w:val="single" w:color="auto" w:sz="4" w:space="0"/>
            </w:tcBorders>
            <w:vAlign w:val="center"/>
          </w:tcPr>
          <w:p>
            <w:pPr>
              <w:pStyle w:val="42"/>
            </w:pPr>
            <w:r>
              <w:t>危险特性</w:t>
            </w:r>
          </w:p>
        </w:tc>
        <w:tc>
          <w:tcPr>
            <w:tcW w:w="361" w:type="pct"/>
            <w:tcBorders>
              <w:top w:val="single" w:color="auto" w:sz="8" w:space="0"/>
              <w:left w:val="single" w:color="auto" w:sz="4" w:space="0"/>
              <w:bottom w:val="single" w:color="auto" w:sz="4" w:space="0"/>
              <w:right w:val="single" w:color="auto" w:sz="4" w:space="0"/>
            </w:tcBorders>
            <w:vAlign w:val="center"/>
          </w:tcPr>
          <w:p>
            <w:pPr>
              <w:pStyle w:val="42"/>
            </w:pPr>
            <w:r>
              <w:rPr>
                <w:rFonts w:hint="eastAsia"/>
              </w:rPr>
              <w:t>处理措施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S1-1</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废催化剂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t>251-016-50</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153t/3年</w:t>
            </w:r>
          </w:p>
        </w:tc>
        <w:tc>
          <w:tcPr>
            <w:tcW w:w="500" w:type="pct"/>
            <w:tcBorders>
              <w:top w:val="single" w:color="auto" w:sz="4" w:space="0"/>
              <w:left w:val="single" w:color="auto" w:sz="4" w:space="0"/>
              <w:right w:val="single" w:color="auto" w:sz="4" w:space="0"/>
            </w:tcBorders>
            <w:vAlign w:val="center"/>
          </w:tcPr>
          <w:p>
            <w:pPr>
              <w:pStyle w:val="42"/>
            </w:pPr>
            <w:r>
              <w:rPr>
                <w:rFonts w:hint="eastAsia"/>
              </w:rPr>
              <w:t>钴钼反应器</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废钴钼催化剂</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钴、钼</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3年/次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T</w:t>
            </w:r>
          </w:p>
        </w:tc>
        <w:tc>
          <w:tcPr>
            <w:tcW w:w="361" w:type="pct"/>
            <w:vMerge w:val="restart"/>
            <w:tcBorders>
              <w:top w:val="single" w:color="auto" w:sz="4" w:space="0"/>
              <w:left w:val="single" w:color="auto" w:sz="4" w:space="0"/>
              <w:right w:val="single" w:color="auto" w:sz="4" w:space="0"/>
            </w:tcBorders>
            <w:vAlign w:val="center"/>
          </w:tcPr>
          <w:p>
            <w:pPr>
              <w:pStyle w:val="42"/>
            </w:pPr>
            <w:r>
              <w:rPr>
                <w:rFonts w:hint="eastAsia"/>
              </w:rPr>
              <w:t>分类收集，送有危险废物处置资质单位进行处置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S1-2</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废脱硫剂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t>251-016-50</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1.84t/2年</w:t>
            </w:r>
          </w:p>
        </w:tc>
        <w:tc>
          <w:tcPr>
            <w:tcW w:w="500" w:type="pct"/>
            <w:tcBorders>
              <w:top w:val="single" w:color="auto" w:sz="4" w:space="0"/>
              <w:left w:val="single" w:color="auto" w:sz="4" w:space="0"/>
              <w:right w:val="single" w:color="auto" w:sz="4" w:space="0"/>
            </w:tcBorders>
            <w:vAlign w:val="center"/>
          </w:tcPr>
          <w:p>
            <w:pPr>
              <w:pStyle w:val="42"/>
            </w:pPr>
            <w:r>
              <w:rPr>
                <w:rFonts w:hint="eastAsia"/>
              </w:rPr>
              <w:t>脱硫槽</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ZnO、S</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ZnO、S</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2年/次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S1-3</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废催化剂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HW46含镍废物</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900-037-46</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135t/3年</w:t>
            </w:r>
          </w:p>
        </w:tc>
        <w:tc>
          <w:tcPr>
            <w:tcW w:w="500" w:type="pct"/>
            <w:tcBorders>
              <w:left w:val="single" w:color="auto" w:sz="4" w:space="0"/>
              <w:right w:val="single" w:color="auto" w:sz="4" w:space="0"/>
            </w:tcBorders>
            <w:vAlign w:val="center"/>
          </w:tcPr>
          <w:p>
            <w:pPr>
              <w:pStyle w:val="42"/>
            </w:pPr>
            <w:r>
              <w:rPr>
                <w:rFonts w:hint="eastAsia"/>
              </w:rPr>
              <w:t>一段转化炉</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镍系催化剂</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3年/次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S1-4</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废催化剂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HW46含镍废物</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900-037-46</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162t/3年</w:t>
            </w:r>
          </w:p>
        </w:tc>
        <w:tc>
          <w:tcPr>
            <w:tcW w:w="500" w:type="pct"/>
            <w:tcBorders>
              <w:left w:val="single" w:color="auto" w:sz="4" w:space="0"/>
              <w:right w:val="single" w:color="auto" w:sz="4" w:space="0"/>
            </w:tcBorders>
            <w:vAlign w:val="center"/>
          </w:tcPr>
          <w:p>
            <w:pPr>
              <w:pStyle w:val="42"/>
            </w:pPr>
            <w:r>
              <w:rPr>
                <w:rFonts w:hint="eastAsia"/>
              </w:rPr>
              <w:t>高温变换炉</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镍系催化剂</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镍</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3年/次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S1-5</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废吸附剂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HW49其他废物</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900-041-49</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503t/15年</w:t>
            </w:r>
          </w:p>
        </w:tc>
        <w:tc>
          <w:tcPr>
            <w:tcW w:w="500" w:type="pct"/>
            <w:tcBorders>
              <w:left w:val="single" w:color="auto" w:sz="4" w:space="0"/>
              <w:right w:val="single" w:color="auto" w:sz="4" w:space="0"/>
            </w:tcBorders>
            <w:vAlign w:val="center"/>
          </w:tcPr>
          <w:p>
            <w:pPr>
              <w:pStyle w:val="42"/>
            </w:pPr>
            <w:r>
              <w:rPr>
                <w:rFonts w:hint="eastAsia"/>
              </w:rPr>
              <w:t>PSA吸附器</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活性炭、分子筛等</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烷烃、醇类等</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15年/次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T/In</w:t>
            </w:r>
          </w:p>
        </w:tc>
        <w:tc>
          <w:tcPr>
            <w:tcW w:w="361" w:type="pct"/>
            <w:vMerge w:val="continue"/>
            <w:tcBorders>
              <w:left w:val="single" w:color="auto" w:sz="4" w:space="0"/>
              <w:right w:val="single" w:color="auto" w:sz="4" w:space="0"/>
            </w:tcBorders>
            <w:vAlign w:val="center"/>
          </w:tcPr>
          <w:p>
            <w:pPr>
              <w:pStyle w:val="42"/>
              <w:rPr>
                <w:rFonts w:ascii="TimesNewRomanPSMT" w:eastAsia="TimesNewRomanPSMT" w:cs="TimesNewRomanPSMT"/>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S1-6</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废催化剂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261-164-50</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220t/10年</w:t>
            </w:r>
          </w:p>
        </w:tc>
        <w:tc>
          <w:tcPr>
            <w:tcW w:w="500" w:type="pct"/>
            <w:tcBorders>
              <w:left w:val="single" w:color="auto" w:sz="4" w:space="0"/>
              <w:right w:val="single" w:color="auto" w:sz="4" w:space="0"/>
            </w:tcBorders>
            <w:vAlign w:val="center"/>
          </w:tcPr>
          <w:p>
            <w:pPr>
              <w:pStyle w:val="42"/>
            </w:pPr>
            <w:r>
              <w:rPr>
                <w:rFonts w:hint="eastAsia"/>
              </w:rPr>
              <w:t>氨合成塔</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铁系催化剂</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氧化铁</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10年/次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S4</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废活性炭</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HW49其他废物</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900-041-49</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0.24</w:t>
            </w:r>
          </w:p>
        </w:tc>
        <w:tc>
          <w:tcPr>
            <w:tcW w:w="500" w:type="pct"/>
            <w:tcBorders>
              <w:left w:val="single" w:color="auto" w:sz="4" w:space="0"/>
              <w:right w:val="single" w:color="auto" w:sz="4" w:space="0"/>
            </w:tcBorders>
            <w:vAlign w:val="center"/>
          </w:tcPr>
          <w:p>
            <w:pPr>
              <w:pStyle w:val="42"/>
            </w:pPr>
            <w:r>
              <w:rPr>
                <w:rFonts w:hint="eastAsia"/>
              </w:rPr>
              <w:t>废活性炭</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活性炭</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氨、硫化氢</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间歇</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ascii="TimesNewRomanPSMT" w:eastAsia="TimesNewRomanPSMT" w:cs="TimesNewRomanPSMT"/>
                <w:kern w:val="0"/>
                <w:szCs w:val="21"/>
              </w:rPr>
              <w:t>T/In</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S2-1</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废脱硫剂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67.7t/2年</w:t>
            </w:r>
          </w:p>
        </w:tc>
        <w:tc>
          <w:tcPr>
            <w:tcW w:w="500" w:type="pct"/>
            <w:tcBorders>
              <w:left w:val="single" w:color="auto" w:sz="4" w:space="0"/>
              <w:right w:val="single" w:color="auto" w:sz="4" w:space="0"/>
            </w:tcBorders>
            <w:vAlign w:val="center"/>
          </w:tcPr>
          <w:p>
            <w:pPr>
              <w:pStyle w:val="42"/>
              <w:rPr>
                <w:sz w:val="18"/>
                <w:szCs w:val="18"/>
              </w:rPr>
            </w:pPr>
            <w:r>
              <w:rPr>
                <w:rFonts w:hint="eastAsia"/>
                <w:sz w:val="18"/>
                <w:szCs w:val="18"/>
              </w:rPr>
              <w:t>脱硫器</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铁的化合物、活性炭等</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氧化铁、废活性炭</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2年/次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S2-2</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废催化剂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84t/3年</w:t>
            </w:r>
          </w:p>
        </w:tc>
        <w:tc>
          <w:tcPr>
            <w:tcW w:w="500" w:type="pct"/>
            <w:tcBorders>
              <w:left w:val="single" w:color="auto" w:sz="4" w:space="0"/>
              <w:right w:val="single" w:color="auto" w:sz="4" w:space="0"/>
            </w:tcBorders>
            <w:vAlign w:val="center"/>
          </w:tcPr>
          <w:p>
            <w:pPr>
              <w:pStyle w:val="42"/>
              <w:rPr>
                <w:sz w:val="18"/>
                <w:szCs w:val="18"/>
              </w:rPr>
            </w:pPr>
            <w:r>
              <w:rPr>
                <w:rFonts w:hint="eastAsia"/>
                <w:sz w:val="18"/>
                <w:szCs w:val="18"/>
              </w:rPr>
              <w:t>脱烃反应釜</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废钯系催化剂</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钯、烷烃等</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3年/次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361" w:type="pct"/>
            <w:vMerge w:val="continue"/>
            <w:tcBorders>
              <w:left w:val="single" w:color="auto" w:sz="4" w:space="0"/>
              <w:righ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8" w:type="pct"/>
            <w:tcBorders>
              <w:top w:val="single" w:color="auto" w:sz="4" w:space="0"/>
              <w:left w:val="single" w:color="auto" w:sz="8" w:space="0"/>
              <w:bottom w:val="single" w:color="auto" w:sz="4" w:space="0"/>
              <w:right w:val="single" w:color="auto" w:sz="4" w:space="0"/>
            </w:tcBorders>
            <w:vAlign w:val="center"/>
          </w:tcPr>
          <w:p>
            <w:pPr>
              <w:pStyle w:val="42"/>
            </w:pPr>
            <w:r>
              <w:rPr>
                <w:rFonts w:hint="eastAsia"/>
              </w:rPr>
              <w:t>S 2-3</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废吸附剂</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HW50废催化剂</w:t>
            </w:r>
          </w:p>
        </w:tc>
        <w:tc>
          <w:tcPr>
            <w:tcW w:w="4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15.5t/2年</w:t>
            </w:r>
          </w:p>
        </w:tc>
        <w:tc>
          <w:tcPr>
            <w:tcW w:w="500" w:type="pct"/>
            <w:tcBorders>
              <w:left w:val="single" w:color="auto" w:sz="4" w:space="0"/>
              <w:right w:val="single" w:color="auto" w:sz="4" w:space="0"/>
            </w:tcBorders>
            <w:vAlign w:val="center"/>
          </w:tcPr>
          <w:p>
            <w:pPr>
              <w:pStyle w:val="42"/>
              <w:rPr>
                <w:sz w:val="18"/>
                <w:szCs w:val="18"/>
              </w:rPr>
            </w:pPr>
            <w:r>
              <w:rPr>
                <w:rFonts w:hint="eastAsia"/>
                <w:sz w:val="18"/>
                <w:szCs w:val="18"/>
              </w:rPr>
              <w:t>纯化干燥</w:t>
            </w:r>
          </w:p>
        </w:tc>
        <w:tc>
          <w:tcPr>
            <w:tcW w:w="3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固态</w:t>
            </w:r>
          </w:p>
        </w:tc>
        <w:tc>
          <w:tcPr>
            <w:tcW w:w="600"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分子筛、氧化铝和活性炭</w:t>
            </w:r>
          </w:p>
        </w:tc>
        <w:tc>
          <w:tcPr>
            <w:tcW w:w="501" w:type="pct"/>
            <w:tcBorders>
              <w:top w:val="single" w:color="auto" w:sz="4" w:space="0"/>
              <w:left w:val="single" w:color="auto" w:sz="4" w:space="0"/>
              <w:bottom w:val="single" w:color="auto" w:sz="4" w:space="0"/>
              <w:right w:val="single" w:color="auto" w:sz="4" w:space="0"/>
            </w:tcBorders>
            <w:vAlign w:val="center"/>
          </w:tcPr>
          <w:p>
            <w:pPr>
              <w:pStyle w:val="42"/>
              <w:rPr>
                <w:sz w:val="18"/>
                <w:szCs w:val="18"/>
              </w:rPr>
            </w:pPr>
            <w:r>
              <w:rPr>
                <w:rFonts w:hint="eastAsia"/>
                <w:sz w:val="18"/>
                <w:szCs w:val="18"/>
              </w:rPr>
              <w:t>烷烃、醇类等</w:t>
            </w:r>
          </w:p>
        </w:tc>
        <w:tc>
          <w:tcPr>
            <w:tcW w:w="40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2年/次</w:t>
            </w:r>
          </w:p>
        </w:tc>
        <w:tc>
          <w:tcPr>
            <w:tcW w:w="250"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w:t>
            </w:r>
          </w:p>
        </w:tc>
        <w:tc>
          <w:tcPr>
            <w:tcW w:w="361" w:type="pct"/>
            <w:vMerge w:val="continue"/>
            <w:tcBorders>
              <w:left w:val="single" w:color="auto" w:sz="4" w:space="0"/>
              <w:right w:val="single" w:color="auto" w:sz="4" w:space="0"/>
            </w:tcBorders>
            <w:vAlign w:val="center"/>
          </w:tcPr>
          <w:p>
            <w:pPr>
              <w:pStyle w:val="42"/>
            </w:pPr>
          </w:p>
        </w:tc>
      </w:tr>
    </w:tbl>
    <w:p>
      <w:pPr>
        <w:pStyle w:val="41"/>
      </w:pPr>
    </w:p>
    <w:p>
      <w:pPr>
        <w:ind w:firstLine="480"/>
        <w:sectPr>
          <w:pgSz w:w="16838" w:h="11906" w:orient="landscape"/>
          <w:pgMar w:top="1800" w:right="1440" w:bottom="1800" w:left="1440" w:header="851" w:footer="992" w:gutter="0"/>
          <w:cols w:space="425" w:num="1"/>
          <w:docGrid w:type="lines" w:linePitch="326" w:charSpace="0"/>
        </w:sectPr>
      </w:pPr>
    </w:p>
    <w:p>
      <w:pPr>
        <w:pStyle w:val="4"/>
        <w:spacing w:before="156" w:after="156"/>
      </w:pPr>
      <w:bookmarkStart w:id="84" w:name="_Toc84844258"/>
      <w:r>
        <w:rPr>
          <w:rFonts w:hint="eastAsia"/>
        </w:rPr>
        <w:t>3.5.5拟建项目污染物汇总</w:t>
      </w:r>
      <w:bookmarkEnd w:id="84"/>
    </w:p>
    <w:p>
      <w:pPr>
        <w:ind w:firstLine="480"/>
      </w:pPr>
      <w:r>
        <w:rPr>
          <w:rFonts w:hint="eastAsia"/>
        </w:rPr>
        <w:t>拟建项目污染物产生、治理、排放情况见表3.5.5-1。</w:t>
      </w:r>
    </w:p>
    <w:p>
      <w:pPr>
        <w:pStyle w:val="41"/>
      </w:pPr>
      <w:r>
        <w:rPr>
          <w:rFonts w:hint="eastAsia"/>
        </w:rPr>
        <w:t>表3.5.5-1拟建项目污染物产生、治理、排放量统计</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554"/>
        <w:gridCol w:w="591"/>
        <w:gridCol w:w="566"/>
        <w:gridCol w:w="1501"/>
        <w:gridCol w:w="908"/>
        <w:gridCol w:w="991"/>
        <w:gridCol w:w="1153"/>
        <w:gridCol w:w="1116"/>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Align w:val="center"/>
          </w:tcPr>
          <w:p>
            <w:pPr>
              <w:pStyle w:val="42"/>
              <w:spacing w:line="240" w:lineRule="auto"/>
              <w:rPr>
                <w:szCs w:val="21"/>
              </w:rPr>
            </w:pPr>
            <w:r>
              <w:rPr>
                <w:szCs w:val="21"/>
              </w:rPr>
              <w:t>类别</w:t>
            </w:r>
          </w:p>
        </w:tc>
        <w:tc>
          <w:tcPr>
            <w:tcW w:w="1241" w:type="pct"/>
            <w:gridSpan w:val="2"/>
            <w:vAlign w:val="center"/>
          </w:tcPr>
          <w:p>
            <w:pPr>
              <w:pStyle w:val="42"/>
              <w:spacing w:line="240" w:lineRule="auto"/>
              <w:rPr>
                <w:szCs w:val="21"/>
              </w:rPr>
            </w:pPr>
            <w:r>
              <w:rPr>
                <w:szCs w:val="21"/>
              </w:rPr>
              <w:t>项目</w:t>
            </w:r>
          </w:p>
        </w:tc>
        <w:tc>
          <w:tcPr>
            <w:tcW w:w="545" w:type="pct"/>
            <w:vAlign w:val="center"/>
          </w:tcPr>
          <w:p>
            <w:pPr>
              <w:pStyle w:val="42"/>
              <w:spacing w:line="240" w:lineRule="auto"/>
              <w:rPr>
                <w:szCs w:val="21"/>
              </w:rPr>
            </w:pPr>
            <w:r>
              <w:rPr>
                <w:szCs w:val="21"/>
              </w:rPr>
              <w:t>单位</w:t>
            </w:r>
          </w:p>
        </w:tc>
        <w:tc>
          <w:tcPr>
            <w:tcW w:w="595" w:type="pct"/>
            <w:vAlign w:val="center"/>
          </w:tcPr>
          <w:p>
            <w:pPr>
              <w:pStyle w:val="42"/>
              <w:spacing w:line="240" w:lineRule="auto"/>
              <w:rPr>
                <w:szCs w:val="21"/>
              </w:rPr>
            </w:pPr>
            <w:r>
              <w:rPr>
                <w:szCs w:val="21"/>
              </w:rPr>
              <w:t>产生量</w:t>
            </w:r>
          </w:p>
        </w:tc>
        <w:tc>
          <w:tcPr>
            <w:tcW w:w="692" w:type="pct"/>
            <w:vAlign w:val="center"/>
          </w:tcPr>
          <w:p>
            <w:pPr>
              <w:pStyle w:val="42"/>
              <w:spacing w:line="240" w:lineRule="auto"/>
              <w:rPr>
                <w:szCs w:val="21"/>
              </w:rPr>
            </w:pPr>
            <w:r>
              <w:rPr>
                <w:szCs w:val="21"/>
              </w:rPr>
              <w:t>削减量</w:t>
            </w:r>
          </w:p>
        </w:tc>
        <w:tc>
          <w:tcPr>
            <w:tcW w:w="670" w:type="pct"/>
            <w:vAlign w:val="center"/>
          </w:tcPr>
          <w:p>
            <w:pPr>
              <w:pStyle w:val="42"/>
              <w:spacing w:line="240" w:lineRule="auto"/>
              <w:rPr>
                <w:szCs w:val="21"/>
              </w:rPr>
            </w:pPr>
            <w:r>
              <w:rPr>
                <w:rFonts w:hint="eastAsia"/>
                <w:szCs w:val="21"/>
              </w:rPr>
              <w:t>排放量</w:t>
            </w:r>
          </w:p>
        </w:tc>
        <w:tc>
          <w:tcPr>
            <w:tcW w:w="569" w:type="pct"/>
            <w:vAlign w:val="center"/>
          </w:tcPr>
          <w:p>
            <w:pPr>
              <w:pStyle w:val="42"/>
              <w:spacing w:line="240" w:lineRule="auto"/>
              <w:rPr>
                <w:sz w:val="18"/>
                <w:szCs w:val="18"/>
              </w:rPr>
            </w:pPr>
            <w:r>
              <w:rPr>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restart"/>
            <w:vAlign w:val="center"/>
          </w:tcPr>
          <w:p>
            <w:pPr>
              <w:pStyle w:val="42"/>
              <w:spacing w:line="240" w:lineRule="auto"/>
              <w:rPr>
                <w:szCs w:val="21"/>
              </w:rPr>
            </w:pPr>
            <w:r>
              <w:rPr>
                <w:szCs w:val="21"/>
              </w:rPr>
              <w:t>废气</w:t>
            </w:r>
          </w:p>
        </w:tc>
        <w:tc>
          <w:tcPr>
            <w:tcW w:w="355" w:type="pct"/>
            <w:vMerge w:val="restart"/>
            <w:vAlign w:val="center"/>
          </w:tcPr>
          <w:p>
            <w:pPr>
              <w:pStyle w:val="42"/>
              <w:spacing w:line="240" w:lineRule="auto"/>
              <w:rPr>
                <w:szCs w:val="21"/>
              </w:rPr>
            </w:pPr>
            <w:r>
              <w:rPr>
                <w:rFonts w:hint="eastAsia"/>
                <w:szCs w:val="21"/>
              </w:rPr>
              <w:t>有组织</w:t>
            </w:r>
          </w:p>
        </w:tc>
        <w:tc>
          <w:tcPr>
            <w:tcW w:w="1241" w:type="pct"/>
            <w:gridSpan w:val="2"/>
            <w:vAlign w:val="center"/>
          </w:tcPr>
          <w:p>
            <w:pPr>
              <w:pStyle w:val="42"/>
              <w:spacing w:line="240" w:lineRule="auto"/>
              <w:rPr>
                <w:szCs w:val="21"/>
              </w:rPr>
            </w:pPr>
            <w:r>
              <w:rPr>
                <w:szCs w:val="21"/>
              </w:rPr>
              <w:t>废气量</w:t>
            </w:r>
          </w:p>
        </w:tc>
        <w:tc>
          <w:tcPr>
            <w:tcW w:w="545" w:type="pct"/>
            <w:vAlign w:val="center"/>
          </w:tcPr>
          <w:p>
            <w:pPr>
              <w:pStyle w:val="42"/>
              <w:spacing w:line="240" w:lineRule="auto"/>
              <w:rPr>
                <w:szCs w:val="21"/>
              </w:rPr>
            </w:pPr>
            <w:r>
              <w:rPr>
                <w:szCs w:val="21"/>
              </w:rPr>
              <w:t>万Nm</w:t>
            </w:r>
            <w:r>
              <w:rPr>
                <w:szCs w:val="21"/>
                <w:vertAlign w:val="superscript"/>
              </w:rPr>
              <w:t>3</w:t>
            </w:r>
            <w:r>
              <w:rPr>
                <w:szCs w:val="21"/>
              </w:rPr>
              <w:t>/a</w:t>
            </w:r>
          </w:p>
        </w:tc>
        <w:tc>
          <w:tcPr>
            <w:tcW w:w="595" w:type="pct"/>
            <w:vAlign w:val="center"/>
          </w:tcPr>
          <w:p>
            <w:pPr>
              <w:pStyle w:val="42"/>
              <w:spacing w:line="240" w:lineRule="auto"/>
              <w:rPr>
                <w:szCs w:val="21"/>
              </w:rPr>
            </w:pPr>
            <w:r>
              <w:rPr>
                <w:rFonts w:hint="eastAsia"/>
                <w:szCs w:val="21"/>
              </w:rPr>
              <w:t>78400</w:t>
            </w:r>
          </w:p>
        </w:tc>
        <w:tc>
          <w:tcPr>
            <w:tcW w:w="692" w:type="pct"/>
            <w:vAlign w:val="center"/>
          </w:tcPr>
          <w:p>
            <w:pPr>
              <w:pStyle w:val="42"/>
              <w:spacing w:line="240" w:lineRule="auto"/>
              <w:rPr>
                <w:szCs w:val="21"/>
              </w:rPr>
            </w:pPr>
            <w:r>
              <w:rPr>
                <w:rFonts w:hint="eastAsia"/>
                <w:szCs w:val="21"/>
              </w:rPr>
              <w:t>0</w:t>
            </w:r>
          </w:p>
        </w:tc>
        <w:tc>
          <w:tcPr>
            <w:tcW w:w="670" w:type="pct"/>
            <w:vAlign w:val="center"/>
          </w:tcPr>
          <w:p>
            <w:pPr>
              <w:pStyle w:val="42"/>
              <w:spacing w:line="240" w:lineRule="auto"/>
              <w:rPr>
                <w:szCs w:val="21"/>
              </w:rPr>
            </w:pPr>
            <w:r>
              <w:rPr>
                <w:rFonts w:hint="eastAsia"/>
                <w:szCs w:val="21"/>
              </w:rPr>
              <w:t>78400</w:t>
            </w:r>
          </w:p>
        </w:tc>
        <w:tc>
          <w:tcPr>
            <w:tcW w:w="569" w:type="pct"/>
            <w:vMerge w:val="restart"/>
            <w:vAlign w:val="center"/>
          </w:tcPr>
          <w:p>
            <w:pPr>
              <w:pStyle w:val="42"/>
              <w:spacing w:line="240" w:lineRule="auto"/>
              <w:rPr>
                <w:sz w:val="18"/>
                <w:szCs w:val="18"/>
              </w:rPr>
            </w:pPr>
            <w:r>
              <w:rPr>
                <w:sz w:val="18"/>
                <w:szCs w:val="18"/>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rFonts w:ascii="宋体" w:hAnsi="宋体" w:cs="宋体"/>
                <w:szCs w:val="21"/>
              </w:rPr>
            </w:pPr>
            <w:r>
              <w:rPr>
                <w:rFonts w:hint="eastAsia"/>
                <w:szCs w:val="21"/>
              </w:rPr>
              <w:t>烟尘</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10</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10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szCs w:val="21"/>
              </w:rPr>
            </w:pPr>
            <w:r>
              <w:rPr>
                <w:szCs w:val="21"/>
              </w:rPr>
              <w:t>NO</w:t>
            </w:r>
            <w:r>
              <w:rPr>
                <w:szCs w:val="21"/>
                <w:vertAlign w:val="subscript"/>
              </w:rPr>
              <w:t>x</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104</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104</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szCs w:val="21"/>
              </w:rPr>
            </w:pPr>
            <w:r>
              <w:rPr>
                <w:szCs w:val="21"/>
              </w:rPr>
              <w:t>SO</w:t>
            </w:r>
            <w:r>
              <w:rPr>
                <w:szCs w:val="21"/>
                <w:vertAlign w:val="subscript"/>
              </w:rPr>
              <w:t>2</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7.84</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7.84</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szCs w:val="21"/>
              </w:rPr>
            </w:pPr>
            <w:r>
              <w:rPr>
                <w:szCs w:val="21"/>
              </w:rPr>
              <w:t>NH</w:t>
            </w:r>
            <w:r>
              <w:rPr>
                <w:szCs w:val="21"/>
                <w:vertAlign w:val="subscript"/>
              </w:rPr>
              <w:t>3</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0.456</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0.456</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szCs w:val="21"/>
              </w:rPr>
            </w:pPr>
            <w:r>
              <w:rPr>
                <w:rFonts w:hint="eastAsia"/>
                <w:szCs w:val="21"/>
              </w:rPr>
              <w:t>甲醇</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0.88</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0.88</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rPr>
                <w:szCs w:val="21"/>
              </w:rPr>
            </w:pPr>
            <w:r>
              <w:rPr>
                <w:rFonts w:hint="eastAsia"/>
                <w:szCs w:val="21"/>
              </w:rPr>
              <w:t>非甲烷总烃</w:t>
            </w:r>
          </w:p>
        </w:tc>
        <w:tc>
          <w:tcPr>
            <w:tcW w:w="545" w:type="pct"/>
            <w:vAlign w:val="center"/>
          </w:tcPr>
          <w:p>
            <w:pPr>
              <w:pStyle w:val="42"/>
              <w:spacing w:line="240" w:lineRule="auto"/>
              <w:rPr>
                <w:szCs w:val="21"/>
              </w:rPr>
            </w:pPr>
            <w:r>
              <w:rPr>
                <w:rFonts w:hint="eastAsia"/>
                <w:szCs w:val="21"/>
              </w:rPr>
              <w:t>t/a</w:t>
            </w:r>
          </w:p>
        </w:tc>
        <w:tc>
          <w:tcPr>
            <w:tcW w:w="595" w:type="pct"/>
            <w:vAlign w:val="bottom"/>
          </w:tcPr>
          <w:p>
            <w:pPr>
              <w:pStyle w:val="42"/>
              <w:rPr>
                <w:rFonts w:ascii="宋体" w:hAnsi="宋体" w:cs="宋体"/>
              </w:rPr>
            </w:pPr>
            <w:r>
              <w:rPr>
                <w:rFonts w:hint="eastAsia"/>
              </w:rPr>
              <w:t>1.44</w:t>
            </w:r>
          </w:p>
        </w:tc>
        <w:tc>
          <w:tcPr>
            <w:tcW w:w="692" w:type="pct"/>
            <w:vAlign w:val="center"/>
          </w:tcPr>
          <w:p>
            <w:pPr>
              <w:pStyle w:val="42"/>
              <w:spacing w:line="240" w:lineRule="auto"/>
              <w:rPr>
                <w:szCs w:val="21"/>
              </w:rPr>
            </w:pPr>
            <w:r>
              <w:rPr>
                <w:rFonts w:hint="eastAsia"/>
                <w:szCs w:val="21"/>
              </w:rPr>
              <w:t>0</w:t>
            </w:r>
          </w:p>
        </w:tc>
        <w:tc>
          <w:tcPr>
            <w:tcW w:w="670" w:type="pct"/>
            <w:vAlign w:val="bottom"/>
          </w:tcPr>
          <w:p>
            <w:pPr>
              <w:pStyle w:val="42"/>
              <w:rPr>
                <w:rFonts w:ascii="宋体" w:hAnsi="宋体" w:cs="宋体"/>
              </w:rPr>
            </w:pPr>
            <w:r>
              <w:rPr>
                <w:rFonts w:hint="eastAsia"/>
              </w:rPr>
              <w:t>1.44</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bookmarkStart w:id="85" w:name="_Hlk40792756"/>
          </w:p>
        </w:tc>
        <w:tc>
          <w:tcPr>
            <w:tcW w:w="355" w:type="pct"/>
            <w:vMerge w:val="restart"/>
            <w:vAlign w:val="center"/>
          </w:tcPr>
          <w:p>
            <w:pPr>
              <w:pStyle w:val="42"/>
              <w:spacing w:line="240" w:lineRule="auto"/>
              <w:rPr>
                <w:szCs w:val="21"/>
              </w:rPr>
            </w:pPr>
            <w:r>
              <w:rPr>
                <w:rFonts w:hint="eastAsia"/>
                <w:szCs w:val="21"/>
              </w:rPr>
              <w:t>无组织</w:t>
            </w:r>
          </w:p>
        </w:tc>
        <w:tc>
          <w:tcPr>
            <w:tcW w:w="1241" w:type="pct"/>
            <w:gridSpan w:val="2"/>
            <w:vAlign w:val="center"/>
          </w:tcPr>
          <w:p>
            <w:pPr>
              <w:pStyle w:val="42"/>
              <w:spacing w:line="240" w:lineRule="auto"/>
              <w:rPr>
                <w:szCs w:val="21"/>
              </w:rPr>
            </w:pPr>
            <w:r>
              <w:rPr>
                <w:szCs w:val="21"/>
              </w:rPr>
              <w:t>NMHC</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rFonts w:hint="eastAsia"/>
                <w:szCs w:val="21"/>
              </w:rPr>
              <w:t>0.0048</w:t>
            </w:r>
          </w:p>
        </w:tc>
        <w:tc>
          <w:tcPr>
            <w:tcW w:w="692" w:type="pct"/>
            <w:vAlign w:val="center"/>
          </w:tcPr>
          <w:p>
            <w:pPr>
              <w:pStyle w:val="42"/>
              <w:spacing w:line="240" w:lineRule="auto"/>
              <w:rPr>
                <w:szCs w:val="21"/>
              </w:rPr>
            </w:pPr>
            <w:r>
              <w:rPr>
                <w:rFonts w:hint="eastAsia"/>
                <w:szCs w:val="21"/>
              </w:rPr>
              <w:t>0</w:t>
            </w:r>
          </w:p>
        </w:tc>
        <w:tc>
          <w:tcPr>
            <w:tcW w:w="670" w:type="pct"/>
            <w:vAlign w:val="center"/>
          </w:tcPr>
          <w:p>
            <w:pPr>
              <w:pStyle w:val="42"/>
              <w:spacing w:line="240" w:lineRule="auto"/>
              <w:rPr>
                <w:szCs w:val="21"/>
              </w:rPr>
            </w:pPr>
            <w:r>
              <w:rPr>
                <w:rFonts w:hint="eastAsia"/>
                <w:szCs w:val="21"/>
              </w:rPr>
              <w:t>0.0048</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Cs w:val="21"/>
              </w:rPr>
            </w:pPr>
          </w:p>
        </w:tc>
        <w:tc>
          <w:tcPr>
            <w:tcW w:w="355" w:type="pct"/>
            <w:vMerge w:val="continue"/>
            <w:vAlign w:val="center"/>
          </w:tcPr>
          <w:p>
            <w:pPr>
              <w:pStyle w:val="42"/>
              <w:spacing w:line="240" w:lineRule="auto"/>
              <w:rPr>
                <w:szCs w:val="21"/>
              </w:rPr>
            </w:pPr>
          </w:p>
        </w:tc>
        <w:tc>
          <w:tcPr>
            <w:tcW w:w="1241" w:type="pct"/>
            <w:gridSpan w:val="2"/>
            <w:vAlign w:val="center"/>
          </w:tcPr>
          <w:p>
            <w:pPr>
              <w:pStyle w:val="42"/>
              <w:spacing w:line="240" w:lineRule="auto"/>
              <w:rPr>
                <w:szCs w:val="21"/>
              </w:rPr>
            </w:pPr>
            <w:r>
              <w:rPr>
                <w:szCs w:val="21"/>
              </w:rPr>
              <w:t>NH</w:t>
            </w:r>
            <w:r>
              <w:rPr>
                <w:szCs w:val="21"/>
                <w:vertAlign w:val="subscript"/>
              </w:rPr>
              <w:t>3</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rFonts w:hint="eastAsia"/>
                <w:szCs w:val="21"/>
              </w:rPr>
              <w:t>2</w:t>
            </w:r>
          </w:p>
        </w:tc>
        <w:tc>
          <w:tcPr>
            <w:tcW w:w="692" w:type="pct"/>
            <w:vAlign w:val="center"/>
          </w:tcPr>
          <w:p>
            <w:pPr>
              <w:pStyle w:val="42"/>
              <w:spacing w:line="240" w:lineRule="auto"/>
              <w:rPr>
                <w:szCs w:val="21"/>
              </w:rPr>
            </w:pPr>
            <w:r>
              <w:rPr>
                <w:rFonts w:hint="eastAsia"/>
                <w:szCs w:val="21"/>
              </w:rPr>
              <w:t>0</w:t>
            </w:r>
          </w:p>
        </w:tc>
        <w:tc>
          <w:tcPr>
            <w:tcW w:w="670" w:type="pct"/>
            <w:vAlign w:val="center"/>
          </w:tcPr>
          <w:p>
            <w:pPr>
              <w:pStyle w:val="42"/>
              <w:spacing w:line="240" w:lineRule="auto"/>
              <w:rPr>
                <w:szCs w:val="21"/>
              </w:rPr>
            </w:pPr>
            <w:r>
              <w:rPr>
                <w:rFonts w:hint="eastAsia"/>
                <w:szCs w:val="21"/>
              </w:rPr>
              <w:t>2</w:t>
            </w:r>
          </w:p>
        </w:tc>
        <w:tc>
          <w:tcPr>
            <w:tcW w:w="569" w:type="pct"/>
            <w:vMerge w:val="continue"/>
            <w:vAlign w:val="center"/>
          </w:tcPr>
          <w:p>
            <w:pPr>
              <w:pStyle w:val="42"/>
              <w:spacing w:line="240" w:lineRule="auto"/>
              <w:rPr>
                <w:sz w:val="18"/>
                <w:szCs w:val="18"/>
              </w:rPr>
            </w:pPr>
          </w:p>
        </w:tc>
      </w:tr>
      <w:bookmarkEnd w:id="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restart"/>
            <w:vAlign w:val="center"/>
          </w:tcPr>
          <w:p>
            <w:pPr>
              <w:pStyle w:val="42"/>
              <w:spacing w:line="240" w:lineRule="auto"/>
              <w:rPr>
                <w:szCs w:val="21"/>
              </w:rPr>
            </w:pPr>
            <w:r>
              <w:rPr>
                <w:szCs w:val="21"/>
              </w:rPr>
              <w:t>废水</w:t>
            </w:r>
          </w:p>
        </w:tc>
        <w:tc>
          <w:tcPr>
            <w:tcW w:w="1241" w:type="pct"/>
            <w:gridSpan w:val="2"/>
            <w:vAlign w:val="center"/>
          </w:tcPr>
          <w:p>
            <w:pPr>
              <w:pStyle w:val="42"/>
              <w:spacing w:line="240" w:lineRule="auto"/>
              <w:rPr>
                <w:szCs w:val="21"/>
              </w:rPr>
            </w:pPr>
            <w:r>
              <w:rPr>
                <w:szCs w:val="21"/>
              </w:rPr>
              <w:t>废水量</w:t>
            </w:r>
          </w:p>
        </w:tc>
        <w:tc>
          <w:tcPr>
            <w:tcW w:w="545" w:type="pct"/>
            <w:vAlign w:val="center"/>
          </w:tcPr>
          <w:p>
            <w:pPr>
              <w:pStyle w:val="42"/>
              <w:spacing w:line="240" w:lineRule="auto"/>
              <w:rPr>
                <w:szCs w:val="21"/>
              </w:rPr>
            </w:pPr>
            <w:r>
              <w:rPr>
                <w:szCs w:val="21"/>
              </w:rPr>
              <w:t>万m</w:t>
            </w:r>
            <w:r>
              <w:rPr>
                <w:szCs w:val="21"/>
                <w:vertAlign w:val="superscript"/>
              </w:rPr>
              <w:t>3</w:t>
            </w:r>
            <w:r>
              <w:rPr>
                <w:szCs w:val="21"/>
              </w:rPr>
              <w:t>/a</w:t>
            </w:r>
          </w:p>
        </w:tc>
        <w:tc>
          <w:tcPr>
            <w:tcW w:w="595" w:type="pct"/>
            <w:vAlign w:val="center"/>
          </w:tcPr>
          <w:p>
            <w:pPr>
              <w:pStyle w:val="42"/>
              <w:spacing w:line="240" w:lineRule="auto"/>
              <w:rPr>
                <w:szCs w:val="21"/>
              </w:rPr>
            </w:pPr>
            <w:r>
              <w:rPr>
                <w:rFonts w:hint="eastAsia"/>
                <w:szCs w:val="21"/>
              </w:rPr>
              <w:t>0.4692</w:t>
            </w:r>
          </w:p>
        </w:tc>
        <w:tc>
          <w:tcPr>
            <w:tcW w:w="692" w:type="pct"/>
            <w:vAlign w:val="center"/>
          </w:tcPr>
          <w:p>
            <w:pPr>
              <w:pStyle w:val="42"/>
              <w:spacing w:line="240" w:lineRule="auto"/>
              <w:rPr>
                <w:szCs w:val="21"/>
              </w:rPr>
            </w:pPr>
            <w:r>
              <w:rPr>
                <w:rFonts w:hint="eastAsia"/>
                <w:szCs w:val="21"/>
              </w:rPr>
              <w:t>0</w:t>
            </w:r>
          </w:p>
        </w:tc>
        <w:tc>
          <w:tcPr>
            <w:tcW w:w="670" w:type="pct"/>
            <w:vAlign w:val="center"/>
          </w:tcPr>
          <w:p>
            <w:pPr>
              <w:pStyle w:val="42"/>
              <w:spacing w:line="240" w:lineRule="auto"/>
              <w:rPr>
                <w:szCs w:val="21"/>
              </w:rPr>
            </w:pPr>
            <w:r>
              <w:rPr>
                <w:rFonts w:hint="eastAsia"/>
                <w:szCs w:val="21"/>
              </w:rPr>
              <w:t>0.4692</w:t>
            </w:r>
          </w:p>
        </w:tc>
        <w:tc>
          <w:tcPr>
            <w:tcW w:w="569" w:type="pct"/>
            <w:vMerge w:val="restart"/>
            <w:vAlign w:val="center"/>
          </w:tcPr>
          <w:p>
            <w:pPr>
              <w:pStyle w:val="42"/>
              <w:spacing w:line="240" w:lineRule="auto"/>
              <w:rPr>
                <w:sz w:val="18"/>
                <w:szCs w:val="18"/>
              </w:rPr>
            </w:pPr>
            <w:r>
              <w:rPr>
                <w:rFonts w:hint="eastAsia"/>
                <w:sz w:val="18"/>
                <w:szCs w:val="18"/>
              </w:rPr>
              <w:t>厂区污水处理站处理后送园区污水处理厂进一步处理达标后外排长江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continue"/>
            <w:vAlign w:val="center"/>
          </w:tcPr>
          <w:p>
            <w:pPr>
              <w:pStyle w:val="42"/>
              <w:spacing w:line="240" w:lineRule="auto"/>
              <w:rPr>
                <w:szCs w:val="21"/>
              </w:rPr>
            </w:pPr>
          </w:p>
        </w:tc>
        <w:tc>
          <w:tcPr>
            <w:tcW w:w="1241" w:type="pct"/>
            <w:gridSpan w:val="2"/>
            <w:vAlign w:val="center"/>
          </w:tcPr>
          <w:p>
            <w:pPr>
              <w:pStyle w:val="42"/>
              <w:spacing w:line="240" w:lineRule="auto"/>
              <w:rPr>
                <w:szCs w:val="21"/>
              </w:rPr>
            </w:pPr>
            <w:r>
              <w:rPr>
                <w:szCs w:val="21"/>
              </w:rPr>
              <w:t>COD</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szCs w:val="21"/>
              </w:rPr>
              <w:t>3.253</w:t>
            </w:r>
          </w:p>
        </w:tc>
        <w:tc>
          <w:tcPr>
            <w:tcW w:w="692" w:type="pct"/>
            <w:vAlign w:val="bottom"/>
          </w:tcPr>
          <w:p>
            <w:pPr>
              <w:pStyle w:val="42"/>
              <w:rPr>
                <w:rFonts w:ascii="宋体" w:hAnsi="宋体" w:cs="宋体"/>
                <w:szCs w:val="21"/>
              </w:rPr>
            </w:pPr>
            <w:r>
              <w:rPr>
                <w:rFonts w:hint="eastAsia"/>
                <w:szCs w:val="21"/>
              </w:rPr>
              <w:t>2.315/2.971</w:t>
            </w:r>
          </w:p>
        </w:tc>
        <w:tc>
          <w:tcPr>
            <w:tcW w:w="670" w:type="pct"/>
            <w:vAlign w:val="center"/>
          </w:tcPr>
          <w:p>
            <w:pPr>
              <w:pStyle w:val="42"/>
              <w:spacing w:line="240" w:lineRule="auto"/>
              <w:rPr>
                <w:szCs w:val="21"/>
              </w:rPr>
            </w:pPr>
            <w:r>
              <w:rPr>
                <w:szCs w:val="21"/>
              </w:rPr>
              <w:t>0.938</w:t>
            </w:r>
            <w:r>
              <w:rPr>
                <w:rFonts w:hint="eastAsia"/>
                <w:szCs w:val="21"/>
              </w:rPr>
              <w:t>/0.282</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continue"/>
            <w:vAlign w:val="center"/>
          </w:tcPr>
          <w:p>
            <w:pPr>
              <w:pStyle w:val="42"/>
              <w:spacing w:line="240" w:lineRule="auto"/>
              <w:rPr>
                <w:szCs w:val="21"/>
              </w:rPr>
            </w:pPr>
          </w:p>
        </w:tc>
        <w:tc>
          <w:tcPr>
            <w:tcW w:w="1241" w:type="pct"/>
            <w:gridSpan w:val="2"/>
            <w:vAlign w:val="center"/>
          </w:tcPr>
          <w:p>
            <w:pPr>
              <w:pStyle w:val="42"/>
              <w:spacing w:line="240" w:lineRule="auto"/>
              <w:rPr>
                <w:szCs w:val="21"/>
              </w:rPr>
            </w:pPr>
            <w:r>
              <w:rPr>
                <w:szCs w:val="21"/>
              </w:rPr>
              <w:t>BOD</w:t>
            </w:r>
            <w:r>
              <w:rPr>
                <w:szCs w:val="21"/>
                <w:vertAlign w:val="subscript"/>
              </w:rPr>
              <w:t>5</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szCs w:val="21"/>
              </w:rPr>
              <w:t>0.819</w:t>
            </w:r>
          </w:p>
        </w:tc>
        <w:tc>
          <w:tcPr>
            <w:tcW w:w="692" w:type="pct"/>
            <w:vAlign w:val="bottom"/>
          </w:tcPr>
          <w:p>
            <w:pPr>
              <w:pStyle w:val="42"/>
              <w:rPr>
                <w:rFonts w:ascii="宋体" w:hAnsi="宋体" w:cs="宋体"/>
                <w:szCs w:val="21"/>
              </w:rPr>
            </w:pPr>
            <w:r>
              <w:rPr>
                <w:rFonts w:hint="eastAsia"/>
                <w:szCs w:val="21"/>
              </w:rPr>
              <w:t>0.35/0.725</w:t>
            </w:r>
          </w:p>
        </w:tc>
        <w:tc>
          <w:tcPr>
            <w:tcW w:w="670" w:type="pct"/>
            <w:vAlign w:val="center"/>
          </w:tcPr>
          <w:p>
            <w:pPr>
              <w:pStyle w:val="42"/>
              <w:spacing w:line="240" w:lineRule="auto"/>
              <w:rPr>
                <w:szCs w:val="21"/>
              </w:rPr>
            </w:pPr>
            <w:r>
              <w:rPr>
                <w:szCs w:val="21"/>
              </w:rPr>
              <w:t>0.469</w:t>
            </w:r>
            <w:r>
              <w:rPr>
                <w:rFonts w:hint="eastAsia"/>
                <w:szCs w:val="21"/>
              </w:rPr>
              <w:t>/0.094</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continue"/>
            <w:vAlign w:val="center"/>
          </w:tcPr>
          <w:p>
            <w:pPr>
              <w:pStyle w:val="42"/>
              <w:spacing w:line="240" w:lineRule="auto"/>
              <w:rPr>
                <w:szCs w:val="21"/>
              </w:rPr>
            </w:pPr>
          </w:p>
        </w:tc>
        <w:tc>
          <w:tcPr>
            <w:tcW w:w="1241" w:type="pct"/>
            <w:gridSpan w:val="2"/>
            <w:vAlign w:val="center"/>
          </w:tcPr>
          <w:p>
            <w:pPr>
              <w:pStyle w:val="42"/>
              <w:spacing w:line="240" w:lineRule="auto"/>
              <w:rPr>
                <w:szCs w:val="21"/>
              </w:rPr>
            </w:pPr>
            <w:r>
              <w:rPr>
                <w:szCs w:val="21"/>
              </w:rPr>
              <w:t>SS</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szCs w:val="21"/>
              </w:rPr>
              <w:t>1.517</w:t>
            </w:r>
          </w:p>
        </w:tc>
        <w:tc>
          <w:tcPr>
            <w:tcW w:w="692" w:type="pct"/>
            <w:vAlign w:val="bottom"/>
          </w:tcPr>
          <w:p>
            <w:pPr>
              <w:pStyle w:val="42"/>
              <w:rPr>
                <w:rFonts w:ascii="宋体" w:hAnsi="宋体" w:cs="宋体"/>
                <w:szCs w:val="21"/>
              </w:rPr>
            </w:pPr>
            <w:r>
              <w:rPr>
                <w:rFonts w:hint="eastAsia"/>
                <w:szCs w:val="21"/>
              </w:rPr>
              <w:t>1.048/1.189</w:t>
            </w:r>
          </w:p>
        </w:tc>
        <w:tc>
          <w:tcPr>
            <w:tcW w:w="670" w:type="pct"/>
            <w:vAlign w:val="center"/>
          </w:tcPr>
          <w:p>
            <w:pPr>
              <w:pStyle w:val="42"/>
              <w:spacing w:line="240" w:lineRule="auto"/>
              <w:rPr>
                <w:szCs w:val="21"/>
              </w:rPr>
            </w:pPr>
            <w:r>
              <w:rPr>
                <w:szCs w:val="21"/>
              </w:rPr>
              <w:t>0.469</w:t>
            </w:r>
            <w:r>
              <w:rPr>
                <w:rFonts w:hint="eastAsia"/>
                <w:szCs w:val="21"/>
              </w:rPr>
              <w:t>/0.328</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continue"/>
            <w:vAlign w:val="center"/>
          </w:tcPr>
          <w:p>
            <w:pPr>
              <w:pStyle w:val="42"/>
              <w:spacing w:line="240" w:lineRule="auto"/>
              <w:rPr>
                <w:szCs w:val="21"/>
              </w:rPr>
            </w:pPr>
          </w:p>
        </w:tc>
        <w:tc>
          <w:tcPr>
            <w:tcW w:w="1241" w:type="pct"/>
            <w:gridSpan w:val="2"/>
            <w:vAlign w:val="center"/>
          </w:tcPr>
          <w:p>
            <w:pPr>
              <w:pStyle w:val="42"/>
              <w:spacing w:line="240" w:lineRule="auto"/>
              <w:rPr>
                <w:szCs w:val="21"/>
              </w:rPr>
            </w:pPr>
            <w:r>
              <w:rPr>
                <w:rFonts w:hint="eastAsia"/>
                <w:szCs w:val="21"/>
              </w:rPr>
              <w:t>石油类</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szCs w:val="21"/>
              </w:rPr>
              <w:t>0.057</w:t>
            </w:r>
          </w:p>
        </w:tc>
        <w:tc>
          <w:tcPr>
            <w:tcW w:w="692" w:type="pct"/>
            <w:vAlign w:val="bottom"/>
          </w:tcPr>
          <w:p>
            <w:pPr>
              <w:pStyle w:val="42"/>
              <w:rPr>
                <w:rFonts w:ascii="宋体" w:hAnsi="宋体" w:cs="宋体"/>
                <w:szCs w:val="21"/>
              </w:rPr>
            </w:pPr>
            <w:r>
              <w:rPr>
                <w:rFonts w:hint="eastAsia"/>
                <w:szCs w:val="21"/>
              </w:rPr>
              <w:t>0.05/0.05</w:t>
            </w:r>
          </w:p>
        </w:tc>
        <w:tc>
          <w:tcPr>
            <w:tcW w:w="670" w:type="pct"/>
            <w:vAlign w:val="center"/>
          </w:tcPr>
          <w:p>
            <w:pPr>
              <w:pStyle w:val="42"/>
              <w:spacing w:line="240" w:lineRule="auto"/>
              <w:rPr>
                <w:szCs w:val="21"/>
              </w:rPr>
            </w:pPr>
            <w:r>
              <w:rPr>
                <w:szCs w:val="21"/>
              </w:rPr>
              <w:t>0.007</w:t>
            </w:r>
            <w:r>
              <w:rPr>
                <w:rFonts w:hint="eastAsia"/>
                <w:szCs w:val="21"/>
              </w:rPr>
              <w:t>/0.007</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687" w:type="pct"/>
            <w:gridSpan w:val="2"/>
            <w:vMerge w:val="continue"/>
            <w:vAlign w:val="center"/>
          </w:tcPr>
          <w:p>
            <w:pPr>
              <w:pStyle w:val="42"/>
              <w:spacing w:line="240" w:lineRule="auto"/>
              <w:rPr>
                <w:szCs w:val="21"/>
              </w:rPr>
            </w:pPr>
          </w:p>
        </w:tc>
        <w:tc>
          <w:tcPr>
            <w:tcW w:w="1241" w:type="pct"/>
            <w:gridSpan w:val="2"/>
            <w:vAlign w:val="center"/>
          </w:tcPr>
          <w:p>
            <w:pPr>
              <w:pStyle w:val="42"/>
              <w:spacing w:line="240" w:lineRule="auto"/>
              <w:rPr>
                <w:rFonts w:ascii="宋体" w:hAnsi="宋体" w:cs="宋体"/>
                <w:szCs w:val="21"/>
              </w:rPr>
            </w:pPr>
            <w:r>
              <w:rPr>
                <w:szCs w:val="21"/>
              </w:rPr>
              <w:t>NH</w:t>
            </w:r>
            <w:r>
              <w:rPr>
                <w:szCs w:val="21"/>
                <w:vertAlign w:val="subscript"/>
              </w:rPr>
              <w:t>3</w:t>
            </w:r>
            <w:r>
              <w:rPr>
                <w:szCs w:val="21"/>
              </w:rPr>
              <w:t>-N</w:t>
            </w:r>
          </w:p>
        </w:tc>
        <w:tc>
          <w:tcPr>
            <w:tcW w:w="545" w:type="pct"/>
            <w:vAlign w:val="center"/>
          </w:tcPr>
          <w:p>
            <w:pPr>
              <w:pStyle w:val="42"/>
              <w:spacing w:line="240" w:lineRule="auto"/>
              <w:rPr>
                <w:szCs w:val="21"/>
              </w:rPr>
            </w:pPr>
            <w:r>
              <w:rPr>
                <w:rFonts w:hint="eastAsia"/>
                <w:szCs w:val="21"/>
              </w:rPr>
              <w:t>t/a</w:t>
            </w:r>
          </w:p>
        </w:tc>
        <w:tc>
          <w:tcPr>
            <w:tcW w:w="595" w:type="pct"/>
            <w:vAlign w:val="center"/>
          </w:tcPr>
          <w:p>
            <w:pPr>
              <w:pStyle w:val="42"/>
              <w:spacing w:line="240" w:lineRule="auto"/>
              <w:rPr>
                <w:szCs w:val="21"/>
              </w:rPr>
            </w:pPr>
            <w:r>
              <w:rPr>
                <w:szCs w:val="21"/>
              </w:rPr>
              <w:t>0.</w:t>
            </w:r>
            <w:r>
              <w:rPr>
                <w:rFonts w:hint="eastAsia"/>
                <w:szCs w:val="21"/>
              </w:rPr>
              <w:t>24</w:t>
            </w:r>
          </w:p>
        </w:tc>
        <w:tc>
          <w:tcPr>
            <w:tcW w:w="692" w:type="pct"/>
            <w:vAlign w:val="bottom"/>
          </w:tcPr>
          <w:p>
            <w:pPr>
              <w:pStyle w:val="42"/>
              <w:rPr>
                <w:rFonts w:ascii="宋体" w:hAnsi="宋体" w:cs="宋体"/>
                <w:szCs w:val="21"/>
              </w:rPr>
            </w:pPr>
            <w:r>
              <w:rPr>
                <w:rFonts w:hint="eastAsia"/>
                <w:szCs w:val="21"/>
              </w:rPr>
              <w:t>0/0.193</w:t>
            </w:r>
          </w:p>
        </w:tc>
        <w:tc>
          <w:tcPr>
            <w:tcW w:w="670" w:type="pct"/>
            <w:vAlign w:val="center"/>
          </w:tcPr>
          <w:p>
            <w:pPr>
              <w:pStyle w:val="42"/>
              <w:spacing w:line="240" w:lineRule="auto"/>
              <w:rPr>
                <w:szCs w:val="21"/>
              </w:rPr>
            </w:pPr>
            <w:r>
              <w:rPr>
                <w:szCs w:val="21"/>
              </w:rPr>
              <w:t>0.</w:t>
            </w:r>
            <w:r>
              <w:rPr>
                <w:rFonts w:hint="eastAsia"/>
                <w:szCs w:val="21"/>
              </w:rPr>
              <w:t>24/0.047</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restart"/>
            <w:vAlign w:val="center"/>
          </w:tcPr>
          <w:p>
            <w:pPr>
              <w:pStyle w:val="42"/>
              <w:spacing w:line="240" w:lineRule="auto"/>
              <w:rPr>
                <w:sz w:val="18"/>
                <w:szCs w:val="18"/>
              </w:rPr>
            </w:pPr>
            <w:r>
              <w:rPr>
                <w:sz w:val="18"/>
                <w:szCs w:val="18"/>
              </w:rPr>
              <w:t>固体废物</w:t>
            </w:r>
          </w:p>
        </w:tc>
        <w:tc>
          <w:tcPr>
            <w:tcW w:w="355" w:type="pct"/>
            <w:vMerge w:val="restart"/>
            <w:vAlign w:val="center"/>
          </w:tcPr>
          <w:p>
            <w:pPr>
              <w:pStyle w:val="42"/>
              <w:spacing w:line="240" w:lineRule="auto"/>
              <w:rPr>
                <w:sz w:val="18"/>
                <w:szCs w:val="18"/>
              </w:rPr>
            </w:pPr>
            <w:r>
              <w:rPr>
                <w:rFonts w:hint="eastAsia"/>
                <w:sz w:val="18"/>
                <w:szCs w:val="18"/>
              </w:rPr>
              <w:t>危险废物</w:t>
            </w:r>
          </w:p>
        </w:tc>
        <w:tc>
          <w:tcPr>
            <w:tcW w:w="340" w:type="pct"/>
            <w:vMerge w:val="restart"/>
            <w:vAlign w:val="center"/>
          </w:tcPr>
          <w:p>
            <w:pPr>
              <w:pStyle w:val="42"/>
              <w:spacing w:line="240" w:lineRule="auto"/>
              <w:rPr>
                <w:sz w:val="18"/>
                <w:szCs w:val="18"/>
              </w:rPr>
            </w:pPr>
            <w:r>
              <w:rPr>
                <w:rFonts w:hint="eastAsia"/>
                <w:sz w:val="18"/>
                <w:szCs w:val="18"/>
              </w:rPr>
              <w:t>HW50</w:t>
            </w:r>
          </w:p>
        </w:tc>
        <w:tc>
          <w:tcPr>
            <w:tcW w:w="901" w:type="pct"/>
            <w:vAlign w:val="center"/>
          </w:tcPr>
          <w:p>
            <w:pPr>
              <w:pStyle w:val="42"/>
              <w:spacing w:line="240" w:lineRule="auto"/>
              <w:rPr>
                <w:sz w:val="18"/>
                <w:szCs w:val="18"/>
              </w:rPr>
            </w:pPr>
            <w:r>
              <w:rPr>
                <w:rFonts w:hint="eastAsia"/>
                <w:sz w:val="18"/>
                <w:szCs w:val="18"/>
              </w:rPr>
              <w:t>钴钼反应器废催化剂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153t/3年</w:t>
            </w:r>
          </w:p>
        </w:tc>
        <w:tc>
          <w:tcPr>
            <w:tcW w:w="692" w:type="pct"/>
            <w:vAlign w:val="center"/>
          </w:tcPr>
          <w:p>
            <w:pPr>
              <w:pStyle w:val="42"/>
              <w:spacing w:line="240" w:lineRule="auto"/>
              <w:rPr>
                <w:sz w:val="18"/>
                <w:szCs w:val="18"/>
              </w:rPr>
            </w:pPr>
            <w:r>
              <w:rPr>
                <w:rFonts w:hint="eastAsia"/>
                <w:sz w:val="18"/>
                <w:szCs w:val="18"/>
              </w:rPr>
              <w:t>153t/3年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restart"/>
            <w:vAlign w:val="center"/>
          </w:tcPr>
          <w:p>
            <w:pPr>
              <w:pStyle w:val="42"/>
              <w:spacing w:line="240" w:lineRule="auto"/>
              <w:rPr>
                <w:sz w:val="18"/>
                <w:szCs w:val="18"/>
              </w:rPr>
            </w:pPr>
            <w:r>
              <w:rPr>
                <w:sz w:val="18"/>
                <w:szCs w:val="18"/>
              </w:rPr>
              <w:t>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废脱硫剂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1.84t/2年</w:t>
            </w:r>
          </w:p>
        </w:tc>
        <w:tc>
          <w:tcPr>
            <w:tcW w:w="692" w:type="pct"/>
            <w:vAlign w:val="center"/>
          </w:tcPr>
          <w:p>
            <w:pPr>
              <w:pStyle w:val="42"/>
              <w:spacing w:line="240" w:lineRule="auto"/>
              <w:rPr>
                <w:sz w:val="18"/>
                <w:szCs w:val="18"/>
              </w:rPr>
            </w:pPr>
            <w:r>
              <w:rPr>
                <w:rFonts w:hint="eastAsia"/>
                <w:sz w:val="18"/>
                <w:szCs w:val="18"/>
              </w:rPr>
              <w:t>1.84t/2年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废脱硫剂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67.7t/2年</w:t>
            </w:r>
          </w:p>
        </w:tc>
        <w:tc>
          <w:tcPr>
            <w:tcW w:w="692" w:type="pct"/>
            <w:vAlign w:val="center"/>
          </w:tcPr>
          <w:p>
            <w:pPr>
              <w:pStyle w:val="42"/>
              <w:spacing w:line="240" w:lineRule="auto"/>
              <w:rPr>
                <w:sz w:val="18"/>
                <w:szCs w:val="18"/>
              </w:rPr>
            </w:pPr>
            <w:r>
              <w:rPr>
                <w:rFonts w:hint="eastAsia"/>
                <w:sz w:val="18"/>
                <w:szCs w:val="18"/>
              </w:rPr>
              <w:t>67.7t/2年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氨合成塔废催化剂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220t/10年</w:t>
            </w:r>
          </w:p>
        </w:tc>
        <w:tc>
          <w:tcPr>
            <w:tcW w:w="692" w:type="pct"/>
            <w:vAlign w:val="center"/>
          </w:tcPr>
          <w:p>
            <w:pPr>
              <w:pStyle w:val="42"/>
              <w:spacing w:line="240" w:lineRule="auto"/>
              <w:rPr>
                <w:sz w:val="18"/>
                <w:szCs w:val="18"/>
              </w:rPr>
            </w:pPr>
            <w:r>
              <w:rPr>
                <w:rFonts w:hint="eastAsia"/>
                <w:sz w:val="18"/>
                <w:szCs w:val="18"/>
              </w:rPr>
              <w:t>220t/10年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脱烃反应釜废催化剂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84t/3年</w:t>
            </w:r>
          </w:p>
        </w:tc>
        <w:tc>
          <w:tcPr>
            <w:tcW w:w="692" w:type="pct"/>
            <w:vAlign w:val="center"/>
          </w:tcPr>
          <w:p>
            <w:pPr>
              <w:pStyle w:val="42"/>
              <w:spacing w:line="240" w:lineRule="auto"/>
              <w:rPr>
                <w:sz w:val="18"/>
                <w:szCs w:val="18"/>
              </w:rPr>
            </w:pPr>
            <w:r>
              <w:rPr>
                <w:rFonts w:hint="eastAsia"/>
                <w:sz w:val="18"/>
                <w:szCs w:val="18"/>
              </w:rPr>
              <w:t>84t/3年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restart"/>
            <w:vAlign w:val="center"/>
          </w:tcPr>
          <w:p>
            <w:pPr>
              <w:pStyle w:val="42"/>
              <w:spacing w:line="240" w:lineRule="auto"/>
              <w:rPr>
                <w:sz w:val="18"/>
                <w:szCs w:val="18"/>
              </w:rPr>
            </w:pPr>
            <w:r>
              <w:rPr>
                <w:rFonts w:hint="eastAsia"/>
                <w:sz w:val="18"/>
                <w:szCs w:val="18"/>
              </w:rPr>
              <w:t>HW46</w:t>
            </w:r>
          </w:p>
        </w:tc>
        <w:tc>
          <w:tcPr>
            <w:tcW w:w="901" w:type="pct"/>
            <w:vAlign w:val="center"/>
          </w:tcPr>
          <w:p>
            <w:pPr>
              <w:pStyle w:val="42"/>
              <w:spacing w:line="240" w:lineRule="auto"/>
              <w:rPr>
                <w:sz w:val="18"/>
                <w:szCs w:val="18"/>
              </w:rPr>
            </w:pPr>
            <w:r>
              <w:rPr>
                <w:rFonts w:hint="eastAsia"/>
                <w:sz w:val="18"/>
                <w:szCs w:val="18"/>
              </w:rPr>
              <w:t>一段转化炉废催化剂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135t/3年</w:t>
            </w:r>
          </w:p>
        </w:tc>
        <w:tc>
          <w:tcPr>
            <w:tcW w:w="692" w:type="pct"/>
            <w:vAlign w:val="center"/>
          </w:tcPr>
          <w:p>
            <w:pPr>
              <w:pStyle w:val="42"/>
              <w:spacing w:line="240" w:lineRule="auto"/>
              <w:rPr>
                <w:sz w:val="18"/>
                <w:szCs w:val="18"/>
              </w:rPr>
            </w:pPr>
            <w:r>
              <w:rPr>
                <w:rFonts w:hint="eastAsia"/>
                <w:sz w:val="18"/>
                <w:szCs w:val="18"/>
              </w:rPr>
              <w:t>135t/3年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高温变换炉废催化剂</w:t>
            </w:r>
          </w:p>
        </w:tc>
        <w:tc>
          <w:tcPr>
            <w:tcW w:w="545" w:type="pct"/>
            <w:vAlign w:val="center"/>
          </w:tcPr>
          <w:p>
            <w:pPr>
              <w:pStyle w:val="42"/>
              <w:spacing w:line="240" w:lineRule="auto"/>
              <w:rPr>
                <w:sz w:val="18"/>
                <w:szCs w:val="18"/>
              </w:rPr>
            </w:pPr>
            <w:r>
              <w:rPr>
                <w:rFonts w:hint="eastAsia"/>
                <w:sz w:val="18"/>
                <w:szCs w:val="18"/>
              </w:rPr>
              <w:t>/</w:t>
            </w:r>
          </w:p>
        </w:tc>
        <w:tc>
          <w:tcPr>
            <w:tcW w:w="595" w:type="pct"/>
            <w:vAlign w:val="center"/>
          </w:tcPr>
          <w:p>
            <w:pPr>
              <w:pStyle w:val="42"/>
              <w:spacing w:line="240" w:lineRule="auto"/>
              <w:rPr>
                <w:sz w:val="18"/>
                <w:szCs w:val="18"/>
              </w:rPr>
            </w:pPr>
            <w:r>
              <w:rPr>
                <w:rFonts w:hint="eastAsia"/>
                <w:sz w:val="18"/>
                <w:szCs w:val="18"/>
              </w:rPr>
              <w:t>162t/3年</w:t>
            </w:r>
          </w:p>
        </w:tc>
        <w:tc>
          <w:tcPr>
            <w:tcW w:w="692" w:type="pct"/>
            <w:vAlign w:val="center"/>
          </w:tcPr>
          <w:p>
            <w:pPr>
              <w:pStyle w:val="42"/>
              <w:spacing w:line="240" w:lineRule="auto"/>
              <w:rPr>
                <w:sz w:val="18"/>
                <w:szCs w:val="18"/>
              </w:rPr>
            </w:pPr>
            <w:r>
              <w:rPr>
                <w:rFonts w:hint="eastAsia"/>
                <w:sz w:val="18"/>
                <w:szCs w:val="18"/>
              </w:rPr>
              <w:t>162t/3年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restart"/>
            <w:vAlign w:val="center"/>
          </w:tcPr>
          <w:p>
            <w:pPr>
              <w:pStyle w:val="42"/>
              <w:spacing w:line="240" w:lineRule="auto"/>
              <w:rPr>
                <w:sz w:val="18"/>
                <w:szCs w:val="18"/>
              </w:rPr>
            </w:pPr>
            <w:r>
              <w:rPr>
                <w:rFonts w:hint="eastAsia"/>
                <w:sz w:val="18"/>
                <w:szCs w:val="18"/>
              </w:rPr>
              <w:t>HW49</w:t>
            </w:r>
          </w:p>
        </w:tc>
        <w:tc>
          <w:tcPr>
            <w:tcW w:w="901" w:type="pct"/>
            <w:vAlign w:val="center"/>
          </w:tcPr>
          <w:p>
            <w:pPr>
              <w:pStyle w:val="42"/>
              <w:spacing w:line="240" w:lineRule="auto"/>
              <w:rPr>
                <w:sz w:val="18"/>
                <w:szCs w:val="18"/>
              </w:rPr>
            </w:pPr>
            <w:r>
              <w:rPr>
                <w:rFonts w:hint="eastAsia"/>
                <w:sz w:val="18"/>
                <w:szCs w:val="18"/>
              </w:rPr>
              <w:t>废吸附剂</w:t>
            </w:r>
          </w:p>
        </w:tc>
        <w:tc>
          <w:tcPr>
            <w:tcW w:w="545" w:type="pct"/>
            <w:vAlign w:val="center"/>
          </w:tcPr>
          <w:p>
            <w:pPr>
              <w:pStyle w:val="42"/>
              <w:spacing w:line="240" w:lineRule="auto"/>
              <w:rPr>
                <w:sz w:val="18"/>
                <w:szCs w:val="18"/>
              </w:rPr>
            </w:pPr>
            <w:r>
              <w:rPr>
                <w:rFonts w:hint="eastAsia"/>
                <w:sz w:val="18"/>
                <w:szCs w:val="18"/>
              </w:rPr>
              <w:t>t/a</w:t>
            </w:r>
          </w:p>
        </w:tc>
        <w:tc>
          <w:tcPr>
            <w:tcW w:w="595" w:type="pct"/>
            <w:vAlign w:val="center"/>
          </w:tcPr>
          <w:p>
            <w:pPr>
              <w:pStyle w:val="42"/>
              <w:spacing w:line="240" w:lineRule="auto"/>
              <w:rPr>
                <w:sz w:val="18"/>
                <w:szCs w:val="18"/>
              </w:rPr>
            </w:pPr>
            <w:r>
              <w:rPr>
                <w:rFonts w:hint="eastAsia"/>
                <w:sz w:val="18"/>
                <w:szCs w:val="18"/>
              </w:rPr>
              <w:t>15.5t/2年</w:t>
            </w:r>
          </w:p>
        </w:tc>
        <w:tc>
          <w:tcPr>
            <w:tcW w:w="692" w:type="pct"/>
            <w:vAlign w:val="center"/>
          </w:tcPr>
          <w:p>
            <w:pPr>
              <w:pStyle w:val="42"/>
              <w:spacing w:line="240" w:lineRule="auto"/>
              <w:rPr>
                <w:sz w:val="18"/>
                <w:szCs w:val="18"/>
              </w:rPr>
            </w:pPr>
            <w:r>
              <w:rPr>
                <w:rFonts w:hint="eastAsia"/>
                <w:sz w:val="18"/>
                <w:szCs w:val="18"/>
              </w:rPr>
              <w:t>15.5t/2年</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355" w:type="pct"/>
            <w:vMerge w:val="continue"/>
            <w:vAlign w:val="center"/>
          </w:tcPr>
          <w:p>
            <w:pPr>
              <w:pStyle w:val="42"/>
              <w:spacing w:line="240" w:lineRule="auto"/>
              <w:rPr>
                <w:sz w:val="18"/>
                <w:szCs w:val="18"/>
              </w:rPr>
            </w:pPr>
          </w:p>
        </w:tc>
        <w:tc>
          <w:tcPr>
            <w:tcW w:w="340" w:type="pct"/>
            <w:vMerge w:val="continue"/>
            <w:vAlign w:val="center"/>
          </w:tcPr>
          <w:p>
            <w:pPr>
              <w:pStyle w:val="42"/>
              <w:spacing w:line="240" w:lineRule="auto"/>
              <w:rPr>
                <w:sz w:val="18"/>
                <w:szCs w:val="18"/>
              </w:rPr>
            </w:pPr>
          </w:p>
        </w:tc>
        <w:tc>
          <w:tcPr>
            <w:tcW w:w="901" w:type="pct"/>
            <w:vAlign w:val="center"/>
          </w:tcPr>
          <w:p>
            <w:pPr>
              <w:pStyle w:val="42"/>
              <w:spacing w:line="240" w:lineRule="auto"/>
              <w:rPr>
                <w:sz w:val="18"/>
                <w:szCs w:val="18"/>
              </w:rPr>
            </w:pPr>
            <w:r>
              <w:rPr>
                <w:rFonts w:hint="eastAsia"/>
                <w:sz w:val="18"/>
                <w:szCs w:val="18"/>
              </w:rPr>
              <w:t>废活性炭</w:t>
            </w:r>
          </w:p>
        </w:tc>
        <w:tc>
          <w:tcPr>
            <w:tcW w:w="545" w:type="pct"/>
            <w:vAlign w:val="center"/>
          </w:tcPr>
          <w:p>
            <w:pPr>
              <w:pStyle w:val="42"/>
              <w:spacing w:line="240" w:lineRule="auto"/>
              <w:rPr>
                <w:sz w:val="18"/>
                <w:szCs w:val="18"/>
              </w:rPr>
            </w:pPr>
            <w:r>
              <w:rPr>
                <w:sz w:val="18"/>
                <w:szCs w:val="18"/>
              </w:rPr>
              <w:t>t</w:t>
            </w:r>
            <w:r>
              <w:rPr>
                <w:rFonts w:hint="eastAsia"/>
                <w:sz w:val="18"/>
                <w:szCs w:val="18"/>
              </w:rPr>
              <w:t>/a</w:t>
            </w:r>
          </w:p>
        </w:tc>
        <w:tc>
          <w:tcPr>
            <w:tcW w:w="595" w:type="pct"/>
            <w:vAlign w:val="center"/>
          </w:tcPr>
          <w:p>
            <w:pPr>
              <w:pStyle w:val="42"/>
              <w:spacing w:line="240" w:lineRule="auto"/>
              <w:rPr>
                <w:sz w:val="18"/>
                <w:szCs w:val="18"/>
              </w:rPr>
            </w:pPr>
            <w:r>
              <w:rPr>
                <w:rFonts w:hint="eastAsia"/>
                <w:sz w:val="18"/>
                <w:szCs w:val="18"/>
              </w:rPr>
              <w:t>0.24</w:t>
            </w:r>
          </w:p>
        </w:tc>
        <w:tc>
          <w:tcPr>
            <w:tcW w:w="692" w:type="pct"/>
            <w:vAlign w:val="center"/>
          </w:tcPr>
          <w:p>
            <w:pPr>
              <w:pStyle w:val="42"/>
              <w:spacing w:line="240" w:lineRule="auto"/>
              <w:rPr>
                <w:sz w:val="18"/>
                <w:szCs w:val="18"/>
              </w:rPr>
            </w:pPr>
            <w:r>
              <w:rPr>
                <w:rFonts w:hint="eastAsia"/>
                <w:sz w:val="18"/>
                <w:szCs w:val="18"/>
              </w:rPr>
              <w:t>0.24</w:t>
            </w:r>
          </w:p>
        </w:tc>
        <w:tc>
          <w:tcPr>
            <w:tcW w:w="670" w:type="pct"/>
            <w:vAlign w:val="center"/>
          </w:tcPr>
          <w:p>
            <w:pPr>
              <w:pStyle w:val="42"/>
              <w:spacing w:line="240" w:lineRule="auto"/>
              <w:rPr>
                <w:sz w:val="18"/>
                <w:szCs w:val="18"/>
              </w:rPr>
            </w:pPr>
            <w:r>
              <w:rPr>
                <w:rFonts w:hint="eastAsia"/>
                <w:sz w:val="18"/>
                <w:szCs w:val="18"/>
              </w:rPr>
              <w:t>0</w:t>
            </w:r>
          </w:p>
        </w:tc>
        <w:tc>
          <w:tcPr>
            <w:tcW w:w="569" w:type="pct"/>
            <w:vMerge w:val="continue"/>
            <w:vAlign w:val="center"/>
          </w:tcPr>
          <w:p>
            <w:pPr>
              <w:pStyle w:val="42"/>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1596" w:type="pct"/>
            <w:gridSpan w:val="3"/>
            <w:vAlign w:val="center"/>
          </w:tcPr>
          <w:p>
            <w:pPr>
              <w:pStyle w:val="42"/>
              <w:spacing w:line="240" w:lineRule="auto"/>
              <w:rPr>
                <w:sz w:val="18"/>
                <w:szCs w:val="18"/>
              </w:rPr>
            </w:pPr>
            <w:r>
              <w:rPr>
                <w:rFonts w:hint="eastAsia"/>
                <w:sz w:val="18"/>
                <w:szCs w:val="18"/>
              </w:rPr>
              <w:t>污泥</w:t>
            </w:r>
          </w:p>
        </w:tc>
        <w:tc>
          <w:tcPr>
            <w:tcW w:w="545" w:type="pct"/>
            <w:vAlign w:val="center"/>
          </w:tcPr>
          <w:p>
            <w:pPr>
              <w:pStyle w:val="42"/>
              <w:spacing w:line="240" w:lineRule="auto"/>
              <w:rPr>
                <w:sz w:val="18"/>
                <w:szCs w:val="18"/>
              </w:rPr>
            </w:pPr>
            <w:r>
              <w:rPr>
                <w:sz w:val="18"/>
                <w:szCs w:val="18"/>
              </w:rPr>
              <w:t>t</w:t>
            </w:r>
            <w:r>
              <w:rPr>
                <w:rFonts w:hint="eastAsia"/>
                <w:sz w:val="18"/>
                <w:szCs w:val="18"/>
              </w:rPr>
              <w:t>/a</w:t>
            </w:r>
          </w:p>
        </w:tc>
        <w:tc>
          <w:tcPr>
            <w:tcW w:w="595" w:type="pct"/>
            <w:vAlign w:val="center"/>
          </w:tcPr>
          <w:p>
            <w:pPr>
              <w:pStyle w:val="42"/>
              <w:spacing w:line="240" w:lineRule="auto"/>
              <w:rPr>
                <w:sz w:val="18"/>
                <w:szCs w:val="18"/>
              </w:rPr>
            </w:pPr>
            <w:r>
              <w:rPr>
                <w:rFonts w:hint="eastAsia"/>
                <w:sz w:val="18"/>
                <w:szCs w:val="18"/>
              </w:rPr>
              <w:t>0.5</w:t>
            </w:r>
          </w:p>
        </w:tc>
        <w:tc>
          <w:tcPr>
            <w:tcW w:w="692" w:type="pct"/>
            <w:vAlign w:val="center"/>
          </w:tcPr>
          <w:p>
            <w:pPr>
              <w:pStyle w:val="42"/>
              <w:spacing w:line="240" w:lineRule="auto"/>
              <w:rPr>
                <w:sz w:val="18"/>
                <w:szCs w:val="18"/>
              </w:rPr>
            </w:pPr>
            <w:r>
              <w:rPr>
                <w:rFonts w:hint="eastAsia"/>
                <w:sz w:val="18"/>
                <w:szCs w:val="18"/>
              </w:rPr>
              <w:t>0.5</w:t>
            </w:r>
          </w:p>
        </w:tc>
        <w:tc>
          <w:tcPr>
            <w:tcW w:w="670" w:type="pct"/>
            <w:vAlign w:val="center"/>
          </w:tcPr>
          <w:p>
            <w:pPr>
              <w:pStyle w:val="42"/>
              <w:spacing w:line="240" w:lineRule="auto"/>
              <w:rPr>
                <w:sz w:val="18"/>
                <w:szCs w:val="18"/>
              </w:rPr>
            </w:pPr>
            <w:r>
              <w:rPr>
                <w:rFonts w:hint="eastAsia"/>
                <w:sz w:val="18"/>
                <w:szCs w:val="18"/>
              </w:rPr>
              <w:t>0</w:t>
            </w:r>
          </w:p>
        </w:tc>
        <w:tc>
          <w:tcPr>
            <w:tcW w:w="569" w:type="pct"/>
            <w:vAlign w:val="center"/>
          </w:tcPr>
          <w:p>
            <w:pPr>
              <w:pStyle w:val="42"/>
              <w:spacing w:line="240" w:lineRule="auto"/>
              <w:rPr>
                <w:sz w:val="18"/>
                <w:szCs w:val="18"/>
              </w:rPr>
            </w:pPr>
            <w:r>
              <w:rPr>
                <w:rFonts w:hint="eastAsia"/>
                <w:sz w:val="18"/>
                <w:szCs w:val="18"/>
              </w:rPr>
              <w:t>集中收集，交垃圾填埋场统一处理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333" w:type="pct"/>
            <w:vMerge w:val="continue"/>
            <w:vAlign w:val="center"/>
          </w:tcPr>
          <w:p>
            <w:pPr>
              <w:pStyle w:val="42"/>
              <w:spacing w:line="240" w:lineRule="auto"/>
              <w:rPr>
                <w:sz w:val="18"/>
                <w:szCs w:val="18"/>
              </w:rPr>
            </w:pPr>
          </w:p>
        </w:tc>
        <w:tc>
          <w:tcPr>
            <w:tcW w:w="1596" w:type="pct"/>
            <w:gridSpan w:val="3"/>
            <w:vAlign w:val="center"/>
          </w:tcPr>
          <w:p>
            <w:pPr>
              <w:pStyle w:val="42"/>
              <w:spacing w:line="240" w:lineRule="auto"/>
              <w:rPr>
                <w:sz w:val="18"/>
                <w:szCs w:val="18"/>
              </w:rPr>
            </w:pPr>
            <w:r>
              <w:rPr>
                <w:rFonts w:hint="eastAsia"/>
                <w:sz w:val="18"/>
                <w:szCs w:val="18"/>
              </w:rPr>
              <w:t>生活垃圾</w:t>
            </w:r>
          </w:p>
        </w:tc>
        <w:tc>
          <w:tcPr>
            <w:tcW w:w="545" w:type="pct"/>
            <w:vAlign w:val="center"/>
          </w:tcPr>
          <w:p>
            <w:pPr>
              <w:pStyle w:val="42"/>
              <w:spacing w:line="240" w:lineRule="auto"/>
              <w:rPr>
                <w:sz w:val="18"/>
                <w:szCs w:val="18"/>
              </w:rPr>
            </w:pPr>
            <w:r>
              <w:rPr>
                <w:sz w:val="18"/>
                <w:szCs w:val="18"/>
              </w:rPr>
              <w:t>t</w:t>
            </w:r>
            <w:r>
              <w:rPr>
                <w:rFonts w:hint="eastAsia"/>
                <w:sz w:val="18"/>
                <w:szCs w:val="18"/>
              </w:rPr>
              <w:t>/a</w:t>
            </w:r>
          </w:p>
        </w:tc>
        <w:tc>
          <w:tcPr>
            <w:tcW w:w="595" w:type="pct"/>
            <w:vAlign w:val="center"/>
          </w:tcPr>
          <w:p>
            <w:pPr>
              <w:pStyle w:val="42"/>
              <w:spacing w:line="240" w:lineRule="auto"/>
              <w:rPr>
                <w:sz w:val="18"/>
                <w:szCs w:val="18"/>
              </w:rPr>
            </w:pPr>
            <w:r>
              <w:rPr>
                <w:rFonts w:hint="eastAsia"/>
                <w:sz w:val="18"/>
                <w:szCs w:val="18"/>
              </w:rPr>
              <w:t>13.32</w:t>
            </w:r>
          </w:p>
        </w:tc>
        <w:tc>
          <w:tcPr>
            <w:tcW w:w="692" w:type="pct"/>
            <w:vAlign w:val="center"/>
          </w:tcPr>
          <w:p>
            <w:pPr>
              <w:pStyle w:val="42"/>
              <w:spacing w:line="240" w:lineRule="auto"/>
              <w:rPr>
                <w:sz w:val="18"/>
                <w:szCs w:val="18"/>
              </w:rPr>
            </w:pPr>
            <w:r>
              <w:rPr>
                <w:rFonts w:hint="eastAsia"/>
                <w:sz w:val="18"/>
                <w:szCs w:val="18"/>
              </w:rPr>
              <w:t>13.32</w:t>
            </w:r>
          </w:p>
        </w:tc>
        <w:tc>
          <w:tcPr>
            <w:tcW w:w="670" w:type="pct"/>
            <w:vAlign w:val="center"/>
          </w:tcPr>
          <w:p>
            <w:pPr>
              <w:pStyle w:val="42"/>
              <w:spacing w:line="240" w:lineRule="auto"/>
              <w:rPr>
                <w:sz w:val="18"/>
                <w:szCs w:val="18"/>
              </w:rPr>
            </w:pPr>
            <w:r>
              <w:rPr>
                <w:rFonts w:hint="eastAsia"/>
                <w:sz w:val="18"/>
                <w:szCs w:val="18"/>
              </w:rPr>
              <w:t>0</w:t>
            </w:r>
          </w:p>
        </w:tc>
        <w:tc>
          <w:tcPr>
            <w:tcW w:w="569" w:type="pct"/>
            <w:vAlign w:val="center"/>
          </w:tcPr>
          <w:p>
            <w:pPr>
              <w:pStyle w:val="42"/>
              <w:spacing w:line="240" w:lineRule="auto"/>
              <w:rPr>
                <w:sz w:val="18"/>
                <w:szCs w:val="18"/>
              </w:rPr>
            </w:pPr>
            <w:r>
              <w:rPr>
                <w:rFonts w:hint="eastAsia"/>
                <w:sz w:val="18"/>
                <w:szCs w:val="18"/>
              </w:rPr>
              <w:t>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0" w:hRule="atLeast"/>
          <w:jc w:val="center"/>
        </w:trPr>
        <w:tc>
          <w:tcPr>
            <w:tcW w:w="5000" w:type="pct"/>
            <w:gridSpan w:val="9"/>
            <w:vAlign w:val="center"/>
          </w:tcPr>
          <w:p>
            <w:pPr>
              <w:pStyle w:val="42"/>
              <w:spacing w:line="240" w:lineRule="auto"/>
              <w:jc w:val="both"/>
              <w:rPr>
                <w:sz w:val="18"/>
                <w:szCs w:val="18"/>
              </w:rPr>
            </w:pPr>
            <w:r>
              <w:rPr>
                <w:rFonts w:hint="eastAsia"/>
                <w:sz w:val="18"/>
                <w:szCs w:val="18"/>
              </w:rPr>
              <w:t>注：“/”前为厂区削减量或厂区排入园区污水处理厂总量，“/”后为总削减量或排入环境污染物总量。</w:t>
            </w:r>
          </w:p>
        </w:tc>
      </w:tr>
    </w:tbl>
    <w:p>
      <w:pPr>
        <w:pStyle w:val="3"/>
        <w:spacing w:before="156" w:after="156"/>
      </w:pPr>
      <w:bookmarkStart w:id="86" w:name="_Toc84844259"/>
      <w:r>
        <w:rPr>
          <w:rFonts w:hint="eastAsia"/>
        </w:rPr>
        <w:t>3.6非正常工况排放分析</w:t>
      </w:r>
      <w:bookmarkEnd w:id="86"/>
    </w:p>
    <w:p>
      <w:pPr>
        <w:ind w:firstLine="480"/>
      </w:pPr>
      <w:r>
        <w:rPr>
          <w:rFonts w:hint="eastAsia"/>
        </w:rPr>
        <w:t>非正常排放主要是指生产中的开车、停车、检修时的污染物排放。</w:t>
      </w:r>
    </w:p>
    <w:p>
      <w:pPr>
        <w:ind w:firstLine="480"/>
      </w:pPr>
      <w:r>
        <w:rPr>
          <w:rFonts w:hint="eastAsia"/>
        </w:rPr>
        <w:t>开车时，拟建项目开启配套设置环保及安全保障设施，再开启生产设备；停车时，先关停生产设备，再关停配套设置环保及安全保障设施。此外，根据建设单位提供资料，每次开车时，需运行开工加热炉1天，开工加热炉以清洁能源天然气作为燃料，耗气量约710m</w:t>
      </w:r>
      <w:r>
        <w:rPr>
          <w:rFonts w:hint="eastAsia"/>
          <w:vertAlign w:val="superscript"/>
        </w:rPr>
        <w:t>3</w:t>
      </w:r>
      <w:r>
        <w:rPr>
          <w:rFonts w:hint="eastAsia"/>
        </w:rPr>
        <w:t>/h。开工加热炉烟气约9200m</w:t>
      </w:r>
      <w:r>
        <w:rPr>
          <w:rFonts w:hint="eastAsia"/>
          <w:vertAlign w:val="superscript"/>
        </w:rPr>
        <w:t>3</w:t>
      </w:r>
      <w:r>
        <w:rPr>
          <w:rFonts w:hint="eastAsia"/>
        </w:rPr>
        <w:t>/h，根据类比估算，拟建项目开工加热炉废气污染物排放情况见表3.6-1。</w:t>
      </w:r>
    </w:p>
    <w:p>
      <w:pPr>
        <w:pStyle w:val="42"/>
      </w:pPr>
      <w:r>
        <w:rPr>
          <w:rFonts w:hint="eastAsia"/>
        </w:rPr>
        <w:t>表3.6-1 开工加热炉废气污染物排放一览表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677"/>
        <w:gridCol w:w="608"/>
        <w:gridCol w:w="816"/>
        <w:gridCol w:w="897"/>
        <w:gridCol w:w="465"/>
        <w:gridCol w:w="816"/>
        <w:gridCol w:w="897"/>
        <w:gridCol w:w="464"/>
        <w:gridCol w:w="465"/>
        <w:gridCol w:w="539"/>
        <w:gridCol w:w="62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7" w:type="pct"/>
            <w:vMerge w:val="restart"/>
            <w:vAlign w:val="center"/>
          </w:tcPr>
          <w:p>
            <w:pPr>
              <w:pStyle w:val="42"/>
              <w:spacing w:line="300" w:lineRule="exact"/>
              <w:rPr>
                <w:sz w:val="18"/>
                <w:szCs w:val="18"/>
              </w:rPr>
            </w:pPr>
            <w:bookmarkStart w:id="87" w:name="OLE_LINK18"/>
            <w:r>
              <w:rPr>
                <w:sz w:val="18"/>
                <w:szCs w:val="18"/>
              </w:rPr>
              <w:t>排放源名称</w:t>
            </w:r>
          </w:p>
        </w:tc>
        <w:tc>
          <w:tcPr>
            <w:tcW w:w="397" w:type="pct"/>
            <w:vMerge w:val="restart"/>
            <w:vAlign w:val="center"/>
          </w:tcPr>
          <w:p>
            <w:pPr>
              <w:pStyle w:val="42"/>
              <w:spacing w:line="300" w:lineRule="exact"/>
              <w:rPr>
                <w:sz w:val="18"/>
                <w:szCs w:val="18"/>
              </w:rPr>
            </w:pPr>
            <w:r>
              <w:rPr>
                <w:sz w:val="18"/>
                <w:szCs w:val="18"/>
              </w:rPr>
              <w:t>排气量(m</w:t>
            </w:r>
            <w:r>
              <w:rPr>
                <w:sz w:val="18"/>
                <w:szCs w:val="18"/>
                <w:vertAlign w:val="superscript"/>
              </w:rPr>
              <w:t>3</w:t>
            </w:r>
            <w:r>
              <w:rPr>
                <w:sz w:val="18"/>
                <w:szCs w:val="18"/>
              </w:rPr>
              <w:t>/h)</w:t>
            </w:r>
          </w:p>
        </w:tc>
        <w:tc>
          <w:tcPr>
            <w:tcW w:w="1362" w:type="pct"/>
            <w:gridSpan w:val="3"/>
            <w:vAlign w:val="center"/>
          </w:tcPr>
          <w:p>
            <w:pPr>
              <w:pStyle w:val="42"/>
              <w:spacing w:line="300" w:lineRule="exact"/>
              <w:rPr>
                <w:sz w:val="18"/>
                <w:szCs w:val="18"/>
              </w:rPr>
            </w:pPr>
            <w:r>
              <w:rPr>
                <w:sz w:val="18"/>
                <w:szCs w:val="18"/>
              </w:rPr>
              <w:t>污染产生情况</w:t>
            </w:r>
          </w:p>
        </w:tc>
        <w:tc>
          <w:tcPr>
            <w:tcW w:w="273" w:type="pct"/>
            <w:vMerge w:val="restart"/>
            <w:vAlign w:val="center"/>
          </w:tcPr>
          <w:p>
            <w:pPr>
              <w:pStyle w:val="42"/>
              <w:spacing w:line="300" w:lineRule="exact"/>
              <w:rPr>
                <w:sz w:val="18"/>
                <w:szCs w:val="18"/>
              </w:rPr>
            </w:pPr>
            <w:r>
              <w:rPr>
                <w:sz w:val="18"/>
                <w:szCs w:val="18"/>
              </w:rPr>
              <w:t>处理措施</w:t>
            </w:r>
          </w:p>
        </w:tc>
        <w:tc>
          <w:tcPr>
            <w:tcW w:w="1005" w:type="pct"/>
            <w:gridSpan w:val="2"/>
            <w:vAlign w:val="center"/>
          </w:tcPr>
          <w:p>
            <w:pPr>
              <w:pStyle w:val="42"/>
              <w:spacing w:line="300" w:lineRule="exact"/>
              <w:rPr>
                <w:sz w:val="18"/>
                <w:szCs w:val="18"/>
              </w:rPr>
            </w:pPr>
            <w:r>
              <w:rPr>
                <w:sz w:val="18"/>
                <w:szCs w:val="18"/>
              </w:rPr>
              <w:t>污染物排放情况</w:t>
            </w:r>
          </w:p>
        </w:tc>
        <w:tc>
          <w:tcPr>
            <w:tcW w:w="272" w:type="pct"/>
            <w:vMerge w:val="restart"/>
            <w:vAlign w:val="center"/>
          </w:tcPr>
          <w:p>
            <w:pPr>
              <w:pStyle w:val="42"/>
              <w:spacing w:line="300" w:lineRule="exact"/>
              <w:rPr>
                <w:sz w:val="18"/>
                <w:szCs w:val="18"/>
              </w:rPr>
            </w:pPr>
            <w:r>
              <w:rPr>
                <w:sz w:val="18"/>
                <w:szCs w:val="18"/>
              </w:rPr>
              <w:t>排放规律</w:t>
            </w:r>
          </w:p>
        </w:tc>
        <w:tc>
          <w:tcPr>
            <w:tcW w:w="273" w:type="pct"/>
            <w:vMerge w:val="restart"/>
            <w:vAlign w:val="center"/>
          </w:tcPr>
          <w:p>
            <w:pPr>
              <w:pStyle w:val="42"/>
              <w:spacing w:line="300" w:lineRule="exact"/>
              <w:rPr>
                <w:sz w:val="18"/>
                <w:szCs w:val="18"/>
              </w:rPr>
            </w:pPr>
            <w:r>
              <w:rPr>
                <w:sz w:val="18"/>
                <w:szCs w:val="18"/>
              </w:rPr>
              <w:t>最终去向</w:t>
            </w:r>
          </w:p>
        </w:tc>
        <w:tc>
          <w:tcPr>
            <w:tcW w:w="1011" w:type="pct"/>
            <w:gridSpan w:val="3"/>
            <w:vAlign w:val="center"/>
          </w:tcPr>
          <w:p>
            <w:pPr>
              <w:pStyle w:val="42"/>
              <w:spacing w:line="300" w:lineRule="exact"/>
              <w:rPr>
                <w:sz w:val="18"/>
                <w:szCs w:val="18"/>
              </w:rPr>
            </w:pPr>
            <w:r>
              <w:rPr>
                <w:sz w:val="18"/>
                <w:szCs w:val="18"/>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7" w:type="pct"/>
            <w:vMerge w:val="continue"/>
            <w:vAlign w:val="center"/>
          </w:tcPr>
          <w:p>
            <w:pPr>
              <w:pStyle w:val="42"/>
              <w:spacing w:line="300" w:lineRule="exact"/>
              <w:rPr>
                <w:sz w:val="18"/>
                <w:szCs w:val="18"/>
              </w:rPr>
            </w:pPr>
          </w:p>
        </w:tc>
        <w:tc>
          <w:tcPr>
            <w:tcW w:w="397" w:type="pct"/>
            <w:vMerge w:val="continue"/>
            <w:vAlign w:val="center"/>
          </w:tcPr>
          <w:p>
            <w:pPr>
              <w:pStyle w:val="42"/>
              <w:spacing w:line="300" w:lineRule="exact"/>
              <w:rPr>
                <w:sz w:val="18"/>
                <w:szCs w:val="18"/>
              </w:rPr>
            </w:pPr>
          </w:p>
        </w:tc>
        <w:tc>
          <w:tcPr>
            <w:tcW w:w="357" w:type="pct"/>
            <w:vAlign w:val="center"/>
          </w:tcPr>
          <w:p>
            <w:pPr>
              <w:pStyle w:val="42"/>
              <w:spacing w:line="300" w:lineRule="exact"/>
              <w:rPr>
                <w:sz w:val="18"/>
                <w:szCs w:val="18"/>
              </w:rPr>
            </w:pPr>
            <w:r>
              <w:rPr>
                <w:sz w:val="18"/>
                <w:szCs w:val="18"/>
              </w:rPr>
              <w:t>污染物</w:t>
            </w:r>
          </w:p>
        </w:tc>
        <w:tc>
          <w:tcPr>
            <w:tcW w:w="479" w:type="pct"/>
            <w:vAlign w:val="center"/>
          </w:tcPr>
          <w:p>
            <w:pPr>
              <w:pStyle w:val="42"/>
              <w:spacing w:line="300" w:lineRule="exact"/>
              <w:rPr>
                <w:sz w:val="18"/>
                <w:szCs w:val="18"/>
              </w:rPr>
            </w:pPr>
            <w:r>
              <w:rPr>
                <w:sz w:val="18"/>
                <w:szCs w:val="18"/>
              </w:rPr>
              <w:t>浓度(mg/m</w:t>
            </w:r>
            <w:r>
              <w:rPr>
                <w:sz w:val="18"/>
                <w:szCs w:val="18"/>
                <w:vertAlign w:val="superscript"/>
              </w:rPr>
              <w:t>3</w:t>
            </w:r>
            <w:r>
              <w:rPr>
                <w:sz w:val="18"/>
                <w:szCs w:val="18"/>
              </w:rPr>
              <w:t>)</w:t>
            </w:r>
          </w:p>
        </w:tc>
        <w:tc>
          <w:tcPr>
            <w:tcW w:w="526" w:type="pct"/>
            <w:vAlign w:val="center"/>
          </w:tcPr>
          <w:p>
            <w:pPr>
              <w:pStyle w:val="42"/>
              <w:spacing w:line="300" w:lineRule="exact"/>
              <w:rPr>
                <w:sz w:val="18"/>
                <w:szCs w:val="18"/>
              </w:rPr>
            </w:pPr>
            <w:r>
              <w:rPr>
                <w:sz w:val="18"/>
                <w:szCs w:val="18"/>
              </w:rPr>
              <w:t>产生量（kg/h）</w:t>
            </w:r>
          </w:p>
        </w:tc>
        <w:tc>
          <w:tcPr>
            <w:tcW w:w="273" w:type="pct"/>
            <w:vMerge w:val="continue"/>
            <w:vAlign w:val="center"/>
          </w:tcPr>
          <w:p>
            <w:pPr>
              <w:pStyle w:val="42"/>
              <w:spacing w:line="300" w:lineRule="exact"/>
              <w:rPr>
                <w:sz w:val="18"/>
                <w:szCs w:val="18"/>
              </w:rPr>
            </w:pPr>
          </w:p>
        </w:tc>
        <w:tc>
          <w:tcPr>
            <w:tcW w:w="479" w:type="pct"/>
            <w:vAlign w:val="center"/>
          </w:tcPr>
          <w:p>
            <w:pPr>
              <w:pStyle w:val="42"/>
              <w:spacing w:line="300" w:lineRule="exact"/>
              <w:rPr>
                <w:sz w:val="18"/>
                <w:szCs w:val="18"/>
              </w:rPr>
            </w:pPr>
            <w:r>
              <w:rPr>
                <w:sz w:val="18"/>
                <w:szCs w:val="18"/>
              </w:rPr>
              <w:t>浓度(mg/m</w:t>
            </w:r>
            <w:r>
              <w:rPr>
                <w:sz w:val="18"/>
                <w:szCs w:val="18"/>
                <w:vertAlign w:val="superscript"/>
              </w:rPr>
              <w:t>3</w:t>
            </w:r>
            <w:r>
              <w:rPr>
                <w:sz w:val="18"/>
                <w:szCs w:val="18"/>
              </w:rPr>
              <w:t>)</w:t>
            </w:r>
          </w:p>
        </w:tc>
        <w:tc>
          <w:tcPr>
            <w:tcW w:w="526" w:type="pct"/>
            <w:vAlign w:val="center"/>
          </w:tcPr>
          <w:p>
            <w:pPr>
              <w:pStyle w:val="42"/>
              <w:spacing w:line="300" w:lineRule="exact"/>
              <w:rPr>
                <w:sz w:val="18"/>
                <w:szCs w:val="18"/>
              </w:rPr>
            </w:pPr>
            <w:r>
              <w:rPr>
                <w:sz w:val="18"/>
                <w:szCs w:val="18"/>
              </w:rPr>
              <w:t>排放量（kg/h）</w:t>
            </w:r>
          </w:p>
        </w:tc>
        <w:tc>
          <w:tcPr>
            <w:tcW w:w="272" w:type="pct"/>
            <w:vMerge w:val="continue"/>
            <w:vAlign w:val="center"/>
          </w:tcPr>
          <w:p>
            <w:pPr>
              <w:pStyle w:val="42"/>
              <w:spacing w:line="300" w:lineRule="exact"/>
              <w:rPr>
                <w:sz w:val="18"/>
                <w:szCs w:val="18"/>
              </w:rPr>
            </w:pPr>
          </w:p>
        </w:tc>
        <w:tc>
          <w:tcPr>
            <w:tcW w:w="273" w:type="pct"/>
            <w:vMerge w:val="continue"/>
            <w:vAlign w:val="center"/>
          </w:tcPr>
          <w:p>
            <w:pPr>
              <w:pStyle w:val="42"/>
              <w:spacing w:line="300" w:lineRule="exact"/>
              <w:rPr>
                <w:sz w:val="18"/>
                <w:szCs w:val="18"/>
              </w:rPr>
            </w:pPr>
          </w:p>
        </w:tc>
        <w:tc>
          <w:tcPr>
            <w:tcW w:w="316" w:type="pct"/>
            <w:vAlign w:val="center"/>
          </w:tcPr>
          <w:p>
            <w:pPr>
              <w:pStyle w:val="42"/>
              <w:spacing w:line="300" w:lineRule="exact"/>
              <w:rPr>
                <w:sz w:val="18"/>
                <w:szCs w:val="18"/>
              </w:rPr>
            </w:pPr>
            <w:r>
              <w:rPr>
                <w:sz w:val="18"/>
                <w:szCs w:val="18"/>
              </w:rPr>
              <w:t>高度(m)</w:t>
            </w:r>
          </w:p>
        </w:tc>
        <w:tc>
          <w:tcPr>
            <w:tcW w:w="364" w:type="pct"/>
            <w:vAlign w:val="center"/>
          </w:tcPr>
          <w:p>
            <w:pPr>
              <w:pStyle w:val="42"/>
              <w:spacing w:line="300" w:lineRule="exact"/>
              <w:rPr>
                <w:sz w:val="18"/>
                <w:szCs w:val="18"/>
              </w:rPr>
            </w:pPr>
            <w:r>
              <w:rPr>
                <w:sz w:val="18"/>
                <w:szCs w:val="18"/>
              </w:rPr>
              <w:t>内径(m)</w:t>
            </w:r>
          </w:p>
        </w:tc>
        <w:tc>
          <w:tcPr>
            <w:tcW w:w="331" w:type="pct"/>
            <w:vAlign w:val="center"/>
          </w:tcPr>
          <w:p>
            <w:pPr>
              <w:pStyle w:val="42"/>
              <w:spacing w:line="300" w:lineRule="exact"/>
              <w:rPr>
                <w:sz w:val="18"/>
                <w:szCs w:val="18"/>
              </w:rPr>
            </w:pPr>
            <w:r>
              <w:rPr>
                <w:sz w:val="18"/>
                <w:szCs w:val="18"/>
              </w:rPr>
              <w:t>温度(</w:t>
            </w:r>
            <w:r>
              <w:rPr>
                <w:rFonts w:hint="eastAsia" w:ascii="宋体" w:hAnsi="宋体" w:cs="宋体"/>
                <w:sz w:val="18"/>
                <w:szCs w:val="18"/>
              </w:rPr>
              <w:t>℃</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407" w:type="pct"/>
            <w:vMerge w:val="restart"/>
            <w:vAlign w:val="center"/>
          </w:tcPr>
          <w:p>
            <w:pPr>
              <w:pStyle w:val="42"/>
              <w:spacing w:line="300" w:lineRule="exact"/>
              <w:rPr>
                <w:sz w:val="18"/>
                <w:szCs w:val="18"/>
              </w:rPr>
            </w:pPr>
            <w:r>
              <w:rPr>
                <w:rFonts w:hint="eastAsia"/>
                <w:sz w:val="18"/>
                <w:szCs w:val="18"/>
              </w:rPr>
              <w:t>开工加热炉</w:t>
            </w:r>
          </w:p>
        </w:tc>
        <w:tc>
          <w:tcPr>
            <w:tcW w:w="397" w:type="pct"/>
            <w:vMerge w:val="restart"/>
            <w:vAlign w:val="center"/>
          </w:tcPr>
          <w:p>
            <w:pPr>
              <w:pStyle w:val="42"/>
              <w:spacing w:line="300" w:lineRule="exact"/>
              <w:rPr>
                <w:sz w:val="18"/>
                <w:szCs w:val="18"/>
              </w:rPr>
            </w:pPr>
            <w:r>
              <w:rPr>
                <w:rFonts w:hint="eastAsia"/>
                <w:sz w:val="18"/>
                <w:szCs w:val="18"/>
              </w:rPr>
              <w:t>9200</w:t>
            </w:r>
          </w:p>
        </w:tc>
        <w:tc>
          <w:tcPr>
            <w:tcW w:w="357" w:type="pct"/>
            <w:vAlign w:val="center"/>
          </w:tcPr>
          <w:p>
            <w:pPr>
              <w:pStyle w:val="42"/>
              <w:spacing w:line="300" w:lineRule="exact"/>
              <w:rPr>
                <w:sz w:val="18"/>
                <w:szCs w:val="18"/>
              </w:rPr>
            </w:pPr>
            <w:r>
              <w:rPr>
                <w:sz w:val="18"/>
                <w:szCs w:val="18"/>
              </w:rPr>
              <w:t>SO</w:t>
            </w:r>
            <w:r>
              <w:rPr>
                <w:sz w:val="18"/>
                <w:szCs w:val="18"/>
                <w:vertAlign w:val="subscript"/>
              </w:rPr>
              <w:t>2</w:t>
            </w:r>
          </w:p>
        </w:tc>
        <w:tc>
          <w:tcPr>
            <w:tcW w:w="479" w:type="pct"/>
            <w:vAlign w:val="center"/>
          </w:tcPr>
          <w:p>
            <w:pPr>
              <w:pStyle w:val="42"/>
              <w:spacing w:line="300" w:lineRule="exact"/>
              <w:rPr>
                <w:sz w:val="18"/>
                <w:szCs w:val="18"/>
              </w:rPr>
            </w:pPr>
            <w:r>
              <w:rPr>
                <w:sz w:val="18"/>
                <w:szCs w:val="18"/>
              </w:rPr>
              <w:t>50</w:t>
            </w:r>
          </w:p>
        </w:tc>
        <w:tc>
          <w:tcPr>
            <w:tcW w:w="526" w:type="pct"/>
            <w:vAlign w:val="center"/>
          </w:tcPr>
          <w:p>
            <w:pPr>
              <w:pStyle w:val="42"/>
              <w:spacing w:line="300" w:lineRule="exact"/>
              <w:rPr>
                <w:sz w:val="18"/>
                <w:szCs w:val="18"/>
              </w:rPr>
            </w:pPr>
            <w:r>
              <w:rPr>
                <w:sz w:val="18"/>
                <w:szCs w:val="18"/>
              </w:rPr>
              <w:t>0.46</w:t>
            </w:r>
          </w:p>
        </w:tc>
        <w:tc>
          <w:tcPr>
            <w:tcW w:w="273" w:type="pct"/>
            <w:vMerge w:val="restart"/>
            <w:vAlign w:val="center"/>
          </w:tcPr>
          <w:p>
            <w:pPr>
              <w:pStyle w:val="42"/>
              <w:spacing w:line="300" w:lineRule="exact"/>
              <w:rPr>
                <w:sz w:val="18"/>
                <w:szCs w:val="18"/>
              </w:rPr>
            </w:pPr>
            <w:r>
              <w:rPr>
                <w:sz w:val="18"/>
                <w:szCs w:val="18"/>
              </w:rPr>
              <w:t>/</w:t>
            </w:r>
          </w:p>
        </w:tc>
        <w:tc>
          <w:tcPr>
            <w:tcW w:w="479" w:type="pct"/>
            <w:vAlign w:val="center"/>
          </w:tcPr>
          <w:p>
            <w:pPr>
              <w:pStyle w:val="42"/>
              <w:spacing w:line="300" w:lineRule="exact"/>
              <w:rPr>
                <w:sz w:val="18"/>
                <w:szCs w:val="18"/>
              </w:rPr>
            </w:pPr>
            <w:r>
              <w:rPr>
                <w:sz w:val="18"/>
                <w:szCs w:val="18"/>
              </w:rPr>
              <w:t>50</w:t>
            </w:r>
          </w:p>
        </w:tc>
        <w:tc>
          <w:tcPr>
            <w:tcW w:w="526" w:type="pct"/>
            <w:vAlign w:val="center"/>
          </w:tcPr>
          <w:p>
            <w:pPr>
              <w:pStyle w:val="42"/>
              <w:spacing w:line="300" w:lineRule="exact"/>
              <w:rPr>
                <w:sz w:val="18"/>
                <w:szCs w:val="18"/>
              </w:rPr>
            </w:pPr>
            <w:r>
              <w:rPr>
                <w:sz w:val="18"/>
                <w:szCs w:val="18"/>
              </w:rPr>
              <w:t>0.46</w:t>
            </w:r>
          </w:p>
        </w:tc>
        <w:tc>
          <w:tcPr>
            <w:tcW w:w="272" w:type="pct"/>
            <w:vMerge w:val="restart"/>
            <w:vAlign w:val="center"/>
          </w:tcPr>
          <w:p>
            <w:pPr>
              <w:pStyle w:val="42"/>
              <w:spacing w:line="300" w:lineRule="exact"/>
              <w:rPr>
                <w:sz w:val="18"/>
                <w:szCs w:val="18"/>
              </w:rPr>
            </w:pPr>
            <w:r>
              <w:rPr>
                <w:rFonts w:hint="eastAsia"/>
                <w:sz w:val="18"/>
                <w:szCs w:val="18"/>
              </w:rPr>
              <w:t>间歇</w:t>
            </w:r>
          </w:p>
        </w:tc>
        <w:tc>
          <w:tcPr>
            <w:tcW w:w="273" w:type="pct"/>
            <w:vMerge w:val="restart"/>
            <w:vAlign w:val="center"/>
          </w:tcPr>
          <w:p>
            <w:pPr>
              <w:pStyle w:val="42"/>
              <w:spacing w:line="300" w:lineRule="exact"/>
              <w:rPr>
                <w:sz w:val="18"/>
                <w:szCs w:val="18"/>
              </w:rPr>
            </w:pPr>
            <w:r>
              <w:rPr>
                <w:sz w:val="18"/>
                <w:szCs w:val="18"/>
              </w:rPr>
              <w:t>大气</w:t>
            </w:r>
          </w:p>
        </w:tc>
        <w:tc>
          <w:tcPr>
            <w:tcW w:w="316" w:type="pct"/>
            <w:vMerge w:val="restart"/>
            <w:vAlign w:val="center"/>
          </w:tcPr>
          <w:p>
            <w:pPr>
              <w:pStyle w:val="42"/>
              <w:spacing w:line="300" w:lineRule="exact"/>
              <w:rPr>
                <w:sz w:val="18"/>
                <w:szCs w:val="18"/>
              </w:rPr>
            </w:pPr>
            <w:r>
              <w:rPr>
                <w:rFonts w:hint="eastAsia"/>
                <w:sz w:val="18"/>
                <w:szCs w:val="18"/>
              </w:rPr>
              <w:t>25</w:t>
            </w:r>
          </w:p>
        </w:tc>
        <w:tc>
          <w:tcPr>
            <w:tcW w:w="364" w:type="pct"/>
            <w:vMerge w:val="restart"/>
            <w:vAlign w:val="center"/>
          </w:tcPr>
          <w:p>
            <w:pPr>
              <w:pStyle w:val="42"/>
              <w:spacing w:line="300" w:lineRule="exact"/>
              <w:rPr>
                <w:sz w:val="18"/>
                <w:szCs w:val="18"/>
              </w:rPr>
            </w:pPr>
            <w:r>
              <w:rPr>
                <w:sz w:val="18"/>
                <w:szCs w:val="18"/>
              </w:rPr>
              <w:t>0.</w:t>
            </w:r>
            <w:r>
              <w:rPr>
                <w:rFonts w:hint="eastAsia"/>
                <w:sz w:val="18"/>
                <w:szCs w:val="18"/>
              </w:rPr>
              <w:t>6</w:t>
            </w:r>
          </w:p>
        </w:tc>
        <w:tc>
          <w:tcPr>
            <w:tcW w:w="331" w:type="pct"/>
            <w:vMerge w:val="restart"/>
            <w:vAlign w:val="center"/>
          </w:tcPr>
          <w:p>
            <w:pPr>
              <w:pStyle w:val="42"/>
              <w:spacing w:line="300" w:lineRule="exact"/>
              <w:rPr>
                <w:sz w:val="18"/>
                <w:szCs w:val="18"/>
              </w:rPr>
            </w:pPr>
            <w:r>
              <w:rPr>
                <w:rFonts w:hint="eastAsia"/>
                <w:sz w:val="18"/>
                <w:szCs w:val="18"/>
              </w:rPr>
              <w:t>25</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7" w:type="pct"/>
            <w:vMerge w:val="continue"/>
            <w:vAlign w:val="center"/>
          </w:tcPr>
          <w:p>
            <w:pPr>
              <w:pStyle w:val="42"/>
              <w:spacing w:line="300" w:lineRule="exact"/>
              <w:rPr>
                <w:sz w:val="18"/>
                <w:szCs w:val="18"/>
              </w:rPr>
            </w:pPr>
          </w:p>
        </w:tc>
        <w:tc>
          <w:tcPr>
            <w:tcW w:w="397" w:type="pct"/>
            <w:vMerge w:val="continue"/>
            <w:vAlign w:val="center"/>
          </w:tcPr>
          <w:p>
            <w:pPr>
              <w:pStyle w:val="42"/>
              <w:spacing w:line="300" w:lineRule="exact"/>
              <w:rPr>
                <w:sz w:val="18"/>
                <w:szCs w:val="18"/>
              </w:rPr>
            </w:pPr>
          </w:p>
        </w:tc>
        <w:tc>
          <w:tcPr>
            <w:tcW w:w="357" w:type="pct"/>
            <w:vAlign w:val="center"/>
          </w:tcPr>
          <w:p>
            <w:pPr>
              <w:pStyle w:val="42"/>
              <w:spacing w:line="300" w:lineRule="exact"/>
              <w:rPr>
                <w:sz w:val="18"/>
                <w:szCs w:val="18"/>
              </w:rPr>
            </w:pPr>
            <w:r>
              <w:rPr>
                <w:sz w:val="18"/>
                <w:szCs w:val="18"/>
              </w:rPr>
              <w:t>NOx</w:t>
            </w:r>
          </w:p>
        </w:tc>
        <w:tc>
          <w:tcPr>
            <w:tcW w:w="479" w:type="pct"/>
            <w:vAlign w:val="center"/>
          </w:tcPr>
          <w:p>
            <w:pPr>
              <w:pStyle w:val="42"/>
              <w:spacing w:line="300" w:lineRule="exact"/>
              <w:rPr>
                <w:sz w:val="18"/>
                <w:szCs w:val="18"/>
              </w:rPr>
            </w:pPr>
            <w:r>
              <w:rPr>
                <w:sz w:val="18"/>
                <w:szCs w:val="18"/>
              </w:rPr>
              <w:t>1</w:t>
            </w:r>
            <w:r>
              <w:rPr>
                <w:rFonts w:hint="eastAsia"/>
                <w:sz w:val="18"/>
                <w:szCs w:val="18"/>
              </w:rPr>
              <w:t>2</w:t>
            </w:r>
            <w:r>
              <w:rPr>
                <w:sz w:val="18"/>
                <w:szCs w:val="18"/>
              </w:rPr>
              <w:t>0</w:t>
            </w:r>
          </w:p>
        </w:tc>
        <w:tc>
          <w:tcPr>
            <w:tcW w:w="526" w:type="pct"/>
            <w:vAlign w:val="center"/>
          </w:tcPr>
          <w:p>
            <w:pPr>
              <w:pStyle w:val="42"/>
              <w:spacing w:line="300" w:lineRule="exact"/>
              <w:rPr>
                <w:sz w:val="18"/>
                <w:szCs w:val="18"/>
              </w:rPr>
            </w:pPr>
            <w:r>
              <w:rPr>
                <w:sz w:val="18"/>
                <w:szCs w:val="18"/>
              </w:rPr>
              <w:t>1.104</w:t>
            </w:r>
          </w:p>
        </w:tc>
        <w:tc>
          <w:tcPr>
            <w:tcW w:w="273" w:type="pct"/>
            <w:vMerge w:val="continue"/>
            <w:vAlign w:val="center"/>
          </w:tcPr>
          <w:p>
            <w:pPr>
              <w:pStyle w:val="42"/>
              <w:spacing w:line="300" w:lineRule="exact"/>
              <w:rPr>
                <w:sz w:val="18"/>
                <w:szCs w:val="18"/>
              </w:rPr>
            </w:pPr>
          </w:p>
        </w:tc>
        <w:tc>
          <w:tcPr>
            <w:tcW w:w="479" w:type="pct"/>
            <w:vAlign w:val="center"/>
          </w:tcPr>
          <w:p>
            <w:pPr>
              <w:pStyle w:val="42"/>
              <w:spacing w:line="300" w:lineRule="exact"/>
              <w:rPr>
                <w:sz w:val="18"/>
                <w:szCs w:val="18"/>
              </w:rPr>
            </w:pPr>
            <w:r>
              <w:rPr>
                <w:sz w:val="18"/>
                <w:szCs w:val="18"/>
              </w:rPr>
              <w:t>1</w:t>
            </w:r>
            <w:r>
              <w:rPr>
                <w:rFonts w:hint="eastAsia"/>
                <w:sz w:val="18"/>
                <w:szCs w:val="18"/>
              </w:rPr>
              <w:t>2</w:t>
            </w:r>
            <w:r>
              <w:rPr>
                <w:sz w:val="18"/>
                <w:szCs w:val="18"/>
              </w:rPr>
              <w:t>0</w:t>
            </w:r>
          </w:p>
        </w:tc>
        <w:tc>
          <w:tcPr>
            <w:tcW w:w="526" w:type="pct"/>
            <w:vAlign w:val="center"/>
          </w:tcPr>
          <w:p>
            <w:pPr>
              <w:pStyle w:val="42"/>
              <w:spacing w:line="300" w:lineRule="exact"/>
              <w:rPr>
                <w:sz w:val="18"/>
                <w:szCs w:val="18"/>
              </w:rPr>
            </w:pPr>
            <w:r>
              <w:rPr>
                <w:sz w:val="18"/>
                <w:szCs w:val="18"/>
              </w:rPr>
              <w:t>1.104</w:t>
            </w:r>
          </w:p>
        </w:tc>
        <w:tc>
          <w:tcPr>
            <w:tcW w:w="272" w:type="pct"/>
            <w:vMerge w:val="continue"/>
            <w:vAlign w:val="center"/>
          </w:tcPr>
          <w:p>
            <w:pPr>
              <w:pStyle w:val="42"/>
              <w:spacing w:line="300" w:lineRule="exact"/>
              <w:rPr>
                <w:sz w:val="18"/>
                <w:szCs w:val="18"/>
              </w:rPr>
            </w:pPr>
          </w:p>
        </w:tc>
        <w:tc>
          <w:tcPr>
            <w:tcW w:w="273" w:type="pct"/>
            <w:vMerge w:val="continue"/>
            <w:vAlign w:val="center"/>
          </w:tcPr>
          <w:p>
            <w:pPr>
              <w:pStyle w:val="42"/>
              <w:spacing w:line="300" w:lineRule="exact"/>
              <w:rPr>
                <w:sz w:val="18"/>
                <w:szCs w:val="18"/>
              </w:rPr>
            </w:pPr>
          </w:p>
        </w:tc>
        <w:tc>
          <w:tcPr>
            <w:tcW w:w="316" w:type="pct"/>
            <w:vMerge w:val="continue"/>
            <w:vAlign w:val="center"/>
          </w:tcPr>
          <w:p>
            <w:pPr>
              <w:pStyle w:val="42"/>
              <w:spacing w:line="300" w:lineRule="exact"/>
              <w:rPr>
                <w:sz w:val="18"/>
                <w:szCs w:val="18"/>
              </w:rPr>
            </w:pPr>
          </w:p>
        </w:tc>
        <w:tc>
          <w:tcPr>
            <w:tcW w:w="364" w:type="pct"/>
            <w:vMerge w:val="continue"/>
            <w:vAlign w:val="center"/>
          </w:tcPr>
          <w:p>
            <w:pPr>
              <w:pStyle w:val="42"/>
              <w:spacing w:line="300" w:lineRule="exact"/>
              <w:rPr>
                <w:sz w:val="18"/>
                <w:szCs w:val="18"/>
              </w:rPr>
            </w:pPr>
          </w:p>
        </w:tc>
        <w:tc>
          <w:tcPr>
            <w:tcW w:w="331" w:type="pct"/>
            <w:vMerge w:val="continue"/>
            <w:vAlign w:val="center"/>
          </w:tcPr>
          <w:p>
            <w:pPr>
              <w:pStyle w:val="42"/>
              <w:spacing w:line="300" w:lineRule="exac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7" w:type="pct"/>
            <w:vMerge w:val="continue"/>
            <w:vAlign w:val="center"/>
          </w:tcPr>
          <w:p>
            <w:pPr>
              <w:pStyle w:val="42"/>
              <w:spacing w:line="300" w:lineRule="exact"/>
              <w:rPr>
                <w:sz w:val="18"/>
                <w:szCs w:val="18"/>
              </w:rPr>
            </w:pPr>
          </w:p>
        </w:tc>
        <w:tc>
          <w:tcPr>
            <w:tcW w:w="397" w:type="pct"/>
            <w:vMerge w:val="continue"/>
            <w:vAlign w:val="center"/>
          </w:tcPr>
          <w:p>
            <w:pPr>
              <w:pStyle w:val="42"/>
              <w:spacing w:line="300" w:lineRule="exact"/>
              <w:rPr>
                <w:sz w:val="18"/>
                <w:szCs w:val="18"/>
              </w:rPr>
            </w:pPr>
          </w:p>
        </w:tc>
        <w:tc>
          <w:tcPr>
            <w:tcW w:w="357" w:type="pct"/>
            <w:vAlign w:val="center"/>
          </w:tcPr>
          <w:p>
            <w:pPr>
              <w:pStyle w:val="42"/>
              <w:spacing w:line="300" w:lineRule="exact"/>
              <w:rPr>
                <w:sz w:val="18"/>
                <w:szCs w:val="18"/>
              </w:rPr>
            </w:pPr>
            <w:r>
              <w:rPr>
                <w:sz w:val="18"/>
                <w:szCs w:val="18"/>
              </w:rPr>
              <w:t>颗粒物</w:t>
            </w:r>
          </w:p>
        </w:tc>
        <w:tc>
          <w:tcPr>
            <w:tcW w:w="479" w:type="pct"/>
            <w:vAlign w:val="center"/>
          </w:tcPr>
          <w:p>
            <w:pPr>
              <w:pStyle w:val="42"/>
              <w:spacing w:line="300" w:lineRule="exact"/>
              <w:rPr>
                <w:sz w:val="18"/>
                <w:szCs w:val="18"/>
              </w:rPr>
            </w:pPr>
            <w:r>
              <w:rPr>
                <w:sz w:val="18"/>
                <w:szCs w:val="18"/>
              </w:rPr>
              <w:t>20</w:t>
            </w:r>
          </w:p>
        </w:tc>
        <w:tc>
          <w:tcPr>
            <w:tcW w:w="526" w:type="pct"/>
            <w:vAlign w:val="center"/>
          </w:tcPr>
          <w:p>
            <w:pPr>
              <w:pStyle w:val="42"/>
              <w:spacing w:line="300" w:lineRule="exact"/>
              <w:rPr>
                <w:sz w:val="18"/>
                <w:szCs w:val="18"/>
              </w:rPr>
            </w:pPr>
            <w:r>
              <w:rPr>
                <w:sz w:val="18"/>
                <w:szCs w:val="18"/>
              </w:rPr>
              <w:t>0.184</w:t>
            </w:r>
          </w:p>
        </w:tc>
        <w:tc>
          <w:tcPr>
            <w:tcW w:w="273" w:type="pct"/>
            <w:vMerge w:val="continue"/>
            <w:vAlign w:val="center"/>
          </w:tcPr>
          <w:p>
            <w:pPr>
              <w:pStyle w:val="42"/>
              <w:spacing w:line="300" w:lineRule="exact"/>
              <w:rPr>
                <w:sz w:val="18"/>
                <w:szCs w:val="18"/>
              </w:rPr>
            </w:pPr>
          </w:p>
        </w:tc>
        <w:tc>
          <w:tcPr>
            <w:tcW w:w="479" w:type="pct"/>
            <w:vAlign w:val="center"/>
          </w:tcPr>
          <w:p>
            <w:pPr>
              <w:pStyle w:val="42"/>
              <w:spacing w:line="300" w:lineRule="exact"/>
              <w:rPr>
                <w:sz w:val="18"/>
                <w:szCs w:val="18"/>
              </w:rPr>
            </w:pPr>
            <w:r>
              <w:rPr>
                <w:sz w:val="18"/>
                <w:szCs w:val="18"/>
              </w:rPr>
              <w:t>20</w:t>
            </w:r>
          </w:p>
        </w:tc>
        <w:tc>
          <w:tcPr>
            <w:tcW w:w="526" w:type="pct"/>
            <w:vAlign w:val="center"/>
          </w:tcPr>
          <w:p>
            <w:pPr>
              <w:pStyle w:val="42"/>
              <w:spacing w:line="300" w:lineRule="exact"/>
              <w:rPr>
                <w:sz w:val="18"/>
                <w:szCs w:val="18"/>
              </w:rPr>
            </w:pPr>
            <w:r>
              <w:rPr>
                <w:sz w:val="18"/>
                <w:szCs w:val="18"/>
              </w:rPr>
              <w:t>0.184</w:t>
            </w:r>
          </w:p>
        </w:tc>
        <w:tc>
          <w:tcPr>
            <w:tcW w:w="272" w:type="pct"/>
            <w:vMerge w:val="continue"/>
            <w:vAlign w:val="center"/>
          </w:tcPr>
          <w:p>
            <w:pPr>
              <w:pStyle w:val="42"/>
              <w:spacing w:line="300" w:lineRule="exact"/>
              <w:rPr>
                <w:sz w:val="18"/>
                <w:szCs w:val="18"/>
              </w:rPr>
            </w:pPr>
          </w:p>
        </w:tc>
        <w:tc>
          <w:tcPr>
            <w:tcW w:w="273" w:type="pct"/>
            <w:vMerge w:val="continue"/>
            <w:vAlign w:val="center"/>
          </w:tcPr>
          <w:p>
            <w:pPr>
              <w:pStyle w:val="42"/>
              <w:spacing w:line="300" w:lineRule="exact"/>
              <w:rPr>
                <w:sz w:val="18"/>
                <w:szCs w:val="18"/>
              </w:rPr>
            </w:pPr>
          </w:p>
        </w:tc>
        <w:tc>
          <w:tcPr>
            <w:tcW w:w="316" w:type="pct"/>
            <w:vMerge w:val="continue"/>
            <w:vAlign w:val="center"/>
          </w:tcPr>
          <w:p>
            <w:pPr>
              <w:pStyle w:val="42"/>
              <w:spacing w:line="300" w:lineRule="exact"/>
              <w:rPr>
                <w:sz w:val="18"/>
                <w:szCs w:val="18"/>
              </w:rPr>
            </w:pPr>
          </w:p>
        </w:tc>
        <w:tc>
          <w:tcPr>
            <w:tcW w:w="364" w:type="pct"/>
            <w:vMerge w:val="continue"/>
            <w:vAlign w:val="center"/>
          </w:tcPr>
          <w:p>
            <w:pPr>
              <w:pStyle w:val="42"/>
              <w:spacing w:line="300" w:lineRule="exact"/>
              <w:rPr>
                <w:sz w:val="18"/>
                <w:szCs w:val="18"/>
              </w:rPr>
            </w:pPr>
          </w:p>
        </w:tc>
        <w:tc>
          <w:tcPr>
            <w:tcW w:w="331" w:type="pct"/>
            <w:vMerge w:val="continue"/>
            <w:vAlign w:val="center"/>
          </w:tcPr>
          <w:p>
            <w:pPr>
              <w:pStyle w:val="42"/>
              <w:spacing w:line="300" w:lineRule="exact"/>
              <w:rPr>
                <w:sz w:val="18"/>
                <w:szCs w:val="18"/>
              </w:rPr>
            </w:pPr>
          </w:p>
        </w:tc>
      </w:tr>
      <w:bookmarkEnd w:id="87"/>
    </w:tbl>
    <w:p>
      <w:pPr>
        <w:ind w:firstLine="480"/>
      </w:pPr>
      <w:r>
        <w:rPr>
          <w:rFonts w:hint="eastAsia"/>
        </w:rPr>
        <w:t>停车时，完全是在人为控制之下，按规程规定的时间步骤和参数变化幅度进行有序的降温、降量，以确保不会造成某工序有大量物料冗余和泄放。根据拟建项目工艺特点，在停车前，需对各设备、管道内的少量冗余物料进行氮气吹扫，吹扫气排入火炬燃烧处理，废气中的污染物产生量相对较小，且排放时间较短，因此，停车对环境空气影响小。</w:t>
      </w:r>
    </w:p>
    <w:p>
      <w:pPr>
        <w:ind w:firstLine="480"/>
      </w:pPr>
      <w:r>
        <w:rPr>
          <w:rFonts w:hint="eastAsia"/>
        </w:rPr>
        <w:t>拟建项目采用连续式生产，较序批式生产开停车几率小。根据类似企业实际运行情况，本工程生产装置目前一般均可做到1~3年一大修一次。必须按照操作程序在系统内的原料天然气处理完毕，产品进入可靠的液氨/CO</w:t>
      </w:r>
      <w:r>
        <w:rPr>
          <w:rFonts w:hint="eastAsia"/>
          <w:vertAlign w:val="subscript"/>
        </w:rPr>
        <w:t>2</w:t>
      </w:r>
      <w:r>
        <w:rPr>
          <w:rFonts w:hint="eastAsia"/>
        </w:rPr>
        <w:t>储罐，尾气进入火炬系统安全放空后，再开启系统进行检修。</w:t>
      </w:r>
    </w:p>
    <w:p>
      <w:pPr>
        <w:ind w:firstLine="480"/>
      </w:pPr>
      <w:r>
        <w:rPr>
          <w:rFonts w:hint="eastAsia"/>
        </w:rPr>
        <w:t>非正常工况下，生产系统如出现事故，产生的超压尾气、装置管道残存气体等，均排入飞华现有火炬系统燃烧，然后进行安全放空，对外环境影响小。</w:t>
      </w:r>
    </w:p>
    <w:p>
      <w:pPr>
        <w:ind w:firstLine="480"/>
      </w:pPr>
      <w:r>
        <w:rPr>
          <w:rFonts w:hint="eastAsia"/>
        </w:rPr>
        <w:t>拟建项目通过控制开、停设备的顺序及完善的污染物排放预防措施可基本消除非正常工况下污染物超标排放问题。</w:t>
      </w:r>
    </w:p>
    <w:p>
      <w:pPr>
        <w:pStyle w:val="3"/>
        <w:spacing w:before="156" w:after="156"/>
      </w:pPr>
      <w:bookmarkStart w:id="88" w:name="_Toc84844260"/>
      <w:r>
        <w:rPr>
          <w:rFonts w:hint="eastAsia"/>
        </w:rPr>
        <w:t>3.7清洁生产</w:t>
      </w:r>
      <w:bookmarkEnd w:id="88"/>
    </w:p>
    <w:p>
      <w:pPr>
        <w:ind w:firstLine="480"/>
      </w:pPr>
      <w:r>
        <w:rPr>
          <w:rFonts w:hint="eastAsia"/>
        </w:rPr>
        <w:t>推行清洁生产、实施可持续发展战略，是我国经济建设应遵循的根本方针，也是工业污染防治的基本原则和根本任务，清洁生产的实质就是在生产发展的过程中，坚持采用新工艺、新技术，通过生产全过程的控制和资源、能源的合理配置，最大限度地把原料转化为产品，把污染消灭在生产过程中，从而达到节能、降耗、减污、增效的目的，实现经济建设与环境保护的协调发展。</w:t>
      </w:r>
    </w:p>
    <w:p>
      <w:pPr>
        <w:ind w:firstLine="480"/>
      </w:pPr>
      <w:r>
        <w:rPr>
          <w:rFonts w:hint="eastAsia"/>
        </w:rPr>
        <w:t>拟建项目综合利用卡贝乐公司甲醇装置驰放气、补充部分天然气为原料合成氨，本身属于循环经济项目。参照《清洁生产标准 氮肥制造业》（HJ/T188-2006），本评价将从生产工艺与装备要求、废物回收处理要求、资源能源利用指标、污染物产生指标（末端处理前）环境管理要求五项指标进行清洁生产综合分析。</w:t>
      </w:r>
    </w:p>
    <w:p>
      <w:pPr>
        <w:ind w:firstLine="480"/>
      </w:pPr>
      <w:r>
        <w:rPr>
          <w:rFonts w:hint="eastAsia"/>
        </w:rPr>
        <w:t>根据《清洁生产标准 氮肥制造业》（HJ/T188-2006），氮肥制造业生产过程清洁生产水平的三级技术指标：</w:t>
      </w:r>
    </w:p>
    <w:p>
      <w:pPr>
        <w:ind w:firstLine="480"/>
      </w:pPr>
      <w:r>
        <w:rPr>
          <w:rFonts w:hint="eastAsia"/>
        </w:rPr>
        <w:t>一级：国际清洁生产先进水平；</w:t>
      </w:r>
    </w:p>
    <w:p>
      <w:pPr>
        <w:ind w:firstLine="480"/>
      </w:pPr>
      <w:r>
        <w:rPr>
          <w:rFonts w:hint="eastAsia"/>
        </w:rPr>
        <w:t>二级：国内清洁生产先进水平；</w:t>
      </w:r>
    </w:p>
    <w:p>
      <w:pPr>
        <w:ind w:firstLine="480"/>
      </w:pPr>
      <w:r>
        <w:rPr>
          <w:rFonts w:hint="eastAsia"/>
        </w:rPr>
        <w:t>三级：国内清洁生产基本水平。</w:t>
      </w:r>
    </w:p>
    <w:p>
      <w:pPr>
        <w:pStyle w:val="4"/>
        <w:spacing w:before="156" w:after="156"/>
      </w:pPr>
      <w:bookmarkStart w:id="89" w:name="_Toc84844261"/>
      <w:r>
        <w:rPr>
          <w:rFonts w:hint="eastAsia"/>
        </w:rPr>
        <w:t>3.7.1生产工艺与装备要求</w:t>
      </w:r>
      <w:bookmarkEnd w:id="89"/>
    </w:p>
    <w:p>
      <w:pPr>
        <w:ind w:firstLine="480"/>
      </w:pPr>
      <w:r>
        <w:rPr>
          <w:rFonts w:hint="eastAsia"/>
        </w:rPr>
        <w:t>拟建项目生产工艺及装备与《清洁生产标准 氮肥制造业》（HJ/T188-2006）对照情况详见下表3.7-1。</w:t>
      </w:r>
    </w:p>
    <w:p>
      <w:pPr>
        <w:pStyle w:val="41"/>
      </w:pPr>
      <w:r>
        <w:rPr>
          <w:rFonts w:hint="eastAsia"/>
        </w:rPr>
        <w:t>表3.7-1 拟建项目生产工艺与装备情况一览表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2"/>
        <w:gridCol w:w="1276"/>
        <w:gridCol w:w="1701"/>
        <w:gridCol w:w="1559"/>
        <w:gridCol w:w="1418"/>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gridSpan w:val="3"/>
            <w:vAlign w:val="center"/>
          </w:tcPr>
          <w:p>
            <w:pPr>
              <w:pStyle w:val="42"/>
              <w:adjustRightInd w:val="0"/>
              <w:textAlignment w:val="baseline"/>
              <w:rPr>
                <w:sz w:val="18"/>
                <w:szCs w:val="18"/>
              </w:rPr>
            </w:pPr>
            <w:r>
              <w:rPr>
                <w:rFonts w:hint="eastAsia"/>
                <w:sz w:val="18"/>
                <w:szCs w:val="18"/>
              </w:rPr>
              <w:t>指标</w:t>
            </w:r>
          </w:p>
        </w:tc>
        <w:tc>
          <w:tcPr>
            <w:tcW w:w="1701" w:type="dxa"/>
            <w:vAlign w:val="center"/>
          </w:tcPr>
          <w:p>
            <w:pPr>
              <w:pStyle w:val="42"/>
              <w:adjustRightInd w:val="0"/>
              <w:textAlignment w:val="baseline"/>
              <w:rPr>
                <w:sz w:val="18"/>
                <w:szCs w:val="18"/>
              </w:rPr>
            </w:pPr>
            <w:r>
              <w:rPr>
                <w:rFonts w:hint="eastAsia"/>
                <w:sz w:val="18"/>
                <w:szCs w:val="18"/>
              </w:rPr>
              <w:t>一级</w:t>
            </w:r>
          </w:p>
        </w:tc>
        <w:tc>
          <w:tcPr>
            <w:tcW w:w="1559" w:type="dxa"/>
            <w:vAlign w:val="center"/>
          </w:tcPr>
          <w:p>
            <w:pPr>
              <w:pStyle w:val="42"/>
              <w:adjustRightInd w:val="0"/>
              <w:textAlignment w:val="baseline"/>
              <w:rPr>
                <w:sz w:val="18"/>
                <w:szCs w:val="18"/>
              </w:rPr>
            </w:pPr>
            <w:r>
              <w:rPr>
                <w:rFonts w:hint="eastAsia"/>
                <w:sz w:val="18"/>
                <w:szCs w:val="18"/>
              </w:rPr>
              <w:t>二级</w:t>
            </w:r>
          </w:p>
        </w:tc>
        <w:tc>
          <w:tcPr>
            <w:tcW w:w="1418" w:type="dxa"/>
            <w:vAlign w:val="center"/>
          </w:tcPr>
          <w:p>
            <w:pPr>
              <w:pStyle w:val="42"/>
              <w:adjustRightInd w:val="0"/>
              <w:textAlignment w:val="baseline"/>
              <w:rPr>
                <w:sz w:val="18"/>
                <w:szCs w:val="18"/>
              </w:rPr>
            </w:pPr>
            <w:r>
              <w:rPr>
                <w:rFonts w:hint="eastAsia"/>
                <w:sz w:val="18"/>
                <w:szCs w:val="18"/>
              </w:rPr>
              <w:t>三级</w:t>
            </w:r>
          </w:p>
        </w:tc>
        <w:tc>
          <w:tcPr>
            <w:tcW w:w="1751" w:type="dxa"/>
            <w:vAlign w:val="center"/>
          </w:tcPr>
          <w:p>
            <w:pPr>
              <w:pStyle w:val="42"/>
              <w:adjustRightInd w:val="0"/>
              <w:textAlignment w:val="baseline"/>
              <w:rPr>
                <w:sz w:val="18"/>
                <w:szCs w:val="18"/>
              </w:rPr>
            </w:pPr>
            <w:r>
              <w:rPr>
                <w:rFonts w:hint="eastAsia"/>
                <w:sz w:val="18"/>
                <w:szCs w:val="18"/>
              </w:rPr>
              <w:t>拟建项目情况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gridSpan w:val="3"/>
            <w:vAlign w:val="center"/>
          </w:tcPr>
          <w:p>
            <w:pPr>
              <w:pStyle w:val="42"/>
              <w:adjustRightInd w:val="0"/>
              <w:textAlignment w:val="baseline"/>
              <w:rPr>
                <w:sz w:val="18"/>
                <w:szCs w:val="18"/>
              </w:rPr>
            </w:pPr>
            <w:r>
              <w:rPr>
                <w:rFonts w:hint="eastAsia"/>
                <w:sz w:val="18"/>
                <w:szCs w:val="18"/>
              </w:rPr>
              <w:t>原料气制备</w:t>
            </w:r>
          </w:p>
        </w:tc>
        <w:tc>
          <w:tcPr>
            <w:tcW w:w="1701" w:type="dxa"/>
            <w:vAlign w:val="center"/>
          </w:tcPr>
          <w:p>
            <w:pPr>
              <w:pStyle w:val="42"/>
              <w:adjustRightInd w:val="0"/>
              <w:textAlignment w:val="baseline"/>
              <w:rPr>
                <w:sz w:val="18"/>
                <w:szCs w:val="18"/>
              </w:rPr>
            </w:pPr>
            <w:r>
              <w:rPr>
                <w:rFonts w:hint="eastAsia"/>
                <w:sz w:val="18"/>
                <w:szCs w:val="18"/>
              </w:rPr>
              <w:t>加压连续气化</w:t>
            </w:r>
          </w:p>
          <w:p>
            <w:pPr>
              <w:pStyle w:val="42"/>
              <w:adjustRightInd w:val="0"/>
              <w:textAlignment w:val="baseline"/>
              <w:rPr>
                <w:sz w:val="18"/>
                <w:szCs w:val="18"/>
              </w:rPr>
            </w:pPr>
            <w:r>
              <w:rPr>
                <w:rFonts w:hint="eastAsia"/>
                <w:sz w:val="18"/>
                <w:szCs w:val="18"/>
              </w:rPr>
              <w:t>DCS控制</w:t>
            </w:r>
          </w:p>
        </w:tc>
        <w:tc>
          <w:tcPr>
            <w:tcW w:w="1559" w:type="dxa"/>
            <w:vAlign w:val="center"/>
          </w:tcPr>
          <w:p>
            <w:pPr>
              <w:pStyle w:val="42"/>
              <w:adjustRightInd w:val="0"/>
              <w:textAlignment w:val="baseline"/>
              <w:rPr>
                <w:sz w:val="18"/>
                <w:szCs w:val="18"/>
              </w:rPr>
            </w:pPr>
            <w:r>
              <w:rPr>
                <w:rFonts w:hint="eastAsia"/>
                <w:sz w:val="18"/>
                <w:szCs w:val="18"/>
              </w:rPr>
              <w:t>加压或常压气化</w:t>
            </w:r>
          </w:p>
          <w:p>
            <w:pPr>
              <w:pStyle w:val="42"/>
              <w:adjustRightInd w:val="0"/>
              <w:textAlignment w:val="baseline"/>
              <w:rPr>
                <w:sz w:val="18"/>
                <w:szCs w:val="18"/>
              </w:rPr>
            </w:pPr>
            <w:r>
              <w:rPr>
                <w:rFonts w:hint="eastAsia"/>
                <w:sz w:val="18"/>
                <w:szCs w:val="18"/>
              </w:rPr>
              <w:t>计算机控制</w:t>
            </w:r>
          </w:p>
        </w:tc>
        <w:tc>
          <w:tcPr>
            <w:tcW w:w="1418" w:type="dxa"/>
            <w:vAlign w:val="center"/>
          </w:tcPr>
          <w:p>
            <w:pPr>
              <w:pStyle w:val="42"/>
              <w:adjustRightInd w:val="0"/>
              <w:textAlignment w:val="baseline"/>
              <w:rPr>
                <w:sz w:val="18"/>
                <w:szCs w:val="18"/>
              </w:rPr>
            </w:pPr>
            <w:r>
              <w:rPr>
                <w:rFonts w:hint="eastAsia"/>
                <w:sz w:val="18"/>
                <w:szCs w:val="18"/>
              </w:rPr>
              <w:t>常压气化</w:t>
            </w:r>
          </w:p>
          <w:p>
            <w:pPr>
              <w:pStyle w:val="42"/>
              <w:adjustRightInd w:val="0"/>
              <w:textAlignment w:val="baseline"/>
              <w:rPr>
                <w:sz w:val="18"/>
                <w:szCs w:val="18"/>
              </w:rPr>
            </w:pPr>
            <w:r>
              <w:rPr>
                <w:rFonts w:hint="eastAsia"/>
                <w:sz w:val="18"/>
                <w:szCs w:val="18"/>
              </w:rPr>
              <w:t>常规仪表控制</w:t>
            </w:r>
          </w:p>
        </w:tc>
        <w:tc>
          <w:tcPr>
            <w:tcW w:w="1751" w:type="dxa"/>
            <w:vAlign w:val="center"/>
          </w:tcPr>
          <w:p>
            <w:pPr>
              <w:pStyle w:val="42"/>
              <w:adjustRightInd w:val="0"/>
              <w:textAlignment w:val="baseline"/>
              <w:rPr>
                <w:sz w:val="18"/>
                <w:szCs w:val="18"/>
              </w:rPr>
            </w:pPr>
            <w:r>
              <w:rPr>
                <w:rFonts w:hint="eastAsia"/>
                <w:sz w:val="18"/>
                <w:szCs w:val="18"/>
              </w:rPr>
              <w:t>加压连续气化</w:t>
            </w:r>
          </w:p>
          <w:p>
            <w:pPr>
              <w:pStyle w:val="42"/>
              <w:adjustRightInd w:val="0"/>
              <w:textAlignment w:val="baseline"/>
              <w:rPr>
                <w:sz w:val="18"/>
                <w:szCs w:val="18"/>
              </w:rPr>
            </w:pPr>
            <w:r>
              <w:rPr>
                <w:rFonts w:hint="eastAsia"/>
                <w:sz w:val="18"/>
                <w:szCs w:val="18"/>
              </w:rPr>
              <w:t>DCS控制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gridSpan w:val="2"/>
            <w:vMerge w:val="restart"/>
            <w:vAlign w:val="center"/>
          </w:tcPr>
          <w:p>
            <w:pPr>
              <w:pStyle w:val="42"/>
              <w:adjustRightInd w:val="0"/>
              <w:textAlignment w:val="baseline"/>
              <w:rPr>
                <w:sz w:val="18"/>
                <w:szCs w:val="18"/>
              </w:rPr>
            </w:pPr>
            <w:r>
              <w:rPr>
                <w:rFonts w:hint="eastAsia"/>
                <w:sz w:val="18"/>
                <w:szCs w:val="18"/>
              </w:rPr>
              <w:t>原料气净化</w:t>
            </w:r>
          </w:p>
        </w:tc>
        <w:tc>
          <w:tcPr>
            <w:tcW w:w="1276" w:type="dxa"/>
            <w:vAlign w:val="center"/>
          </w:tcPr>
          <w:p>
            <w:pPr>
              <w:pStyle w:val="42"/>
              <w:adjustRightInd w:val="0"/>
              <w:textAlignment w:val="baseline"/>
              <w:rPr>
                <w:sz w:val="18"/>
                <w:szCs w:val="18"/>
              </w:rPr>
            </w:pPr>
            <w:r>
              <w:rPr>
                <w:rFonts w:hint="eastAsia"/>
                <w:sz w:val="18"/>
                <w:szCs w:val="18"/>
              </w:rPr>
              <w:t>CO变换</w:t>
            </w:r>
          </w:p>
        </w:tc>
        <w:tc>
          <w:tcPr>
            <w:tcW w:w="1701" w:type="dxa"/>
            <w:vAlign w:val="center"/>
          </w:tcPr>
          <w:p>
            <w:pPr>
              <w:pStyle w:val="42"/>
              <w:adjustRightInd w:val="0"/>
              <w:textAlignment w:val="baseline"/>
              <w:rPr>
                <w:sz w:val="18"/>
                <w:szCs w:val="18"/>
              </w:rPr>
            </w:pPr>
            <w:r>
              <w:rPr>
                <w:rFonts w:hint="eastAsia"/>
                <w:sz w:val="18"/>
                <w:szCs w:val="18"/>
              </w:rPr>
              <w:t>DCS控制</w:t>
            </w:r>
          </w:p>
        </w:tc>
        <w:tc>
          <w:tcPr>
            <w:tcW w:w="1559" w:type="dxa"/>
            <w:vAlign w:val="center"/>
          </w:tcPr>
          <w:p>
            <w:pPr>
              <w:pStyle w:val="42"/>
              <w:adjustRightInd w:val="0"/>
              <w:textAlignment w:val="baseline"/>
              <w:rPr>
                <w:sz w:val="18"/>
                <w:szCs w:val="18"/>
              </w:rPr>
            </w:pPr>
            <w:r>
              <w:rPr>
                <w:rFonts w:hint="eastAsia"/>
                <w:sz w:val="18"/>
                <w:szCs w:val="18"/>
              </w:rPr>
              <w:t>计算机控制</w:t>
            </w:r>
          </w:p>
        </w:tc>
        <w:tc>
          <w:tcPr>
            <w:tcW w:w="1418" w:type="dxa"/>
            <w:vAlign w:val="center"/>
          </w:tcPr>
          <w:p>
            <w:pPr>
              <w:pStyle w:val="42"/>
              <w:adjustRightInd w:val="0"/>
              <w:textAlignment w:val="baseline"/>
              <w:rPr>
                <w:sz w:val="18"/>
                <w:szCs w:val="18"/>
              </w:rPr>
            </w:pPr>
            <w:r>
              <w:rPr>
                <w:rFonts w:hint="eastAsia"/>
                <w:sz w:val="18"/>
                <w:szCs w:val="18"/>
              </w:rPr>
              <w:t>常规仪表控制</w:t>
            </w:r>
          </w:p>
        </w:tc>
        <w:tc>
          <w:tcPr>
            <w:tcW w:w="1751" w:type="dxa"/>
            <w:vAlign w:val="center"/>
          </w:tcPr>
          <w:p>
            <w:pPr>
              <w:pStyle w:val="42"/>
              <w:adjustRightInd w:val="0"/>
              <w:textAlignment w:val="baseline"/>
              <w:rPr>
                <w:sz w:val="18"/>
                <w:szCs w:val="18"/>
              </w:rPr>
            </w:pPr>
            <w:r>
              <w:rPr>
                <w:rFonts w:hint="eastAsia"/>
                <w:sz w:val="18"/>
                <w:szCs w:val="18"/>
              </w:rPr>
              <w:t>DCS控制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gridSpan w:val="2"/>
            <w:vMerge w:val="continue"/>
            <w:vAlign w:val="center"/>
          </w:tcPr>
          <w:p>
            <w:pPr>
              <w:pStyle w:val="42"/>
              <w:adjustRightInd w:val="0"/>
              <w:textAlignment w:val="baseline"/>
              <w:rPr>
                <w:sz w:val="18"/>
                <w:szCs w:val="18"/>
              </w:rPr>
            </w:pPr>
          </w:p>
        </w:tc>
        <w:tc>
          <w:tcPr>
            <w:tcW w:w="1276" w:type="dxa"/>
            <w:vAlign w:val="center"/>
          </w:tcPr>
          <w:p>
            <w:pPr>
              <w:pStyle w:val="42"/>
              <w:adjustRightInd w:val="0"/>
              <w:textAlignment w:val="baseline"/>
              <w:rPr>
                <w:sz w:val="18"/>
                <w:szCs w:val="18"/>
              </w:rPr>
            </w:pPr>
            <w:r>
              <w:rPr>
                <w:rFonts w:hint="eastAsia"/>
                <w:sz w:val="18"/>
                <w:szCs w:val="18"/>
              </w:rPr>
              <w:t>脱硫</w:t>
            </w:r>
          </w:p>
        </w:tc>
        <w:tc>
          <w:tcPr>
            <w:tcW w:w="1701" w:type="dxa"/>
            <w:vAlign w:val="center"/>
          </w:tcPr>
          <w:p>
            <w:pPr>
              <w:pStyle w:val="42"/>
              <w:adjustRightInd w:val="0"/>
              <w:textAlignment w:val="baseline"/>
              <w:rPr>
                <w:sz w:val="18"/>
                <w:szCs w:val="18"/>
              </w:rPr>
            </w:pPr>
            <w:r>
              <w:rPr>
                <w:rFonts w:hint="eastAsia"/>
                <w:sz w:val="18"/>
                <w:szCs w:val="18"/>
              </w:rPr>
              <w:t>有高效硫回收装置</w:t>
            </w:r>
          </w:p>
          <w:p>
            <w:pPr>
              <w:pStyle w:val="42"/>
              <w:adjustRightInd w:val="0"/>
              <w:textAlignment w:val="baseline"/>
              <w:rPr>
                <w:sz w:val="18"/>
                <w:szCs w:val="18"/>
              </w:rPr>
            </w:pPr>
            <w:r>
              <w:rPr>
                <w:rFonts w:hint="eastAsia"/>
                <w:sz w:val="18"/>
                <w:szCs w:val="18"/>
              </w:rPr>
              <w:t>运行良好</w:t>
            </w:r>
          </w:p>
          <w:p>
            <w:pPr>
              <w:pStyle w:val="42"/>
              <w:adjustRightInd w:val="0"/>
              <w:textAlignment w:val="baseline"/>
              <w:rPr>
                <w:sz w:val="18"/>
                <w:szCs w:val="18"/>
              </w:rPr>
            </w:pPr>
            <w:r>
              <w:rPr>
                <w:rFonts w:hint="eastAsia"/>
                <w:sz w:val="18"/>
                <w:szCs w:val="18"/>
              </w:rPr>
              <w:t>自动控制</w:t>
            </w:r>
          </w:p>
        </w:tc>
        <w:tc>
          <w:tcPr>
            <w:tcW w:w="1559" w:type="dxa"/>
            <w:vAlign w:val="center"/>
          </w:tcPr>
          <w:p>
            <w:pPr>
              <w:pStyle w:val="42"/>
              <w:adjustRightInd w:val="0"/>
              <w:textAlignment w:val="baseline"/>
              <w:rPr>
                <w:sz w:val="18"/>
                <w:szCs w:val="18"/>
              </w:rPr>
            </w:pPr>
            <w:r>
              <w:rPr>
                <w:rFonts w:hint="eastAsia"/>
                <w:sz w:val="18"/>
                <w:szCs w:val="18"/>
              </w:rPr>
              <w:t>有硫回收装置</w:t>
            </w:r>
          </w:p>
          <w:p>
            <w:pPr>
              <w:pStyle w:val="42"/>
              <w:adjustRightInd w:val="0"/>
              <w:textAlignment w:val="baseline"/>
              <w:rPr>
                <w:sz w:val="18"/>
                <w:szCs w:val="18"/>
              </w:rPr>
            </w:pPr>
            <w:r>
              <w:rPr>
                <w:rFonts w:hint="eastAsia"/>
                <w:sz w:val="18"/>
                <w:szCs w:val="18"/>
              </w:rPr>
              <w:t>运行良好</w:t>
            </w:r>
          </w:p>
        </w:tc>
        <w:tc>
          <w:tcPr>
            <w:tcW w:w="1418" w:type="dxa"/>
            <w:vAlign w:val="center"/>
          </w:tcPr>
          <w:p>
            <w:pPr>
              <w:pStyle w:val="42"/>
              <w:adjustRightInd w:val="0"/>
              <w:textAlignment w:val="baseline"/>
              <w:rPr>
                <w:sz w:val="18"/>
                <w:szCs w:val="18"/>
              </w:rPr>
            </w:pPr>
            <w:r>
              <w:rPr>
                <w:rFonts w:hint="eastAsia"/>
                <w:sz w:val="18"/>
                <w:szCs w:val="18"/>
              </w:rPr>
              <w:t>有硫回收装置</w:t>
            </w:r>
          </w:p>
        </w:tc>
        <w:tc>
          <w:tcPr>
            <w:tcW w:w="1751" w:type="dxa"/>
            <w:vAlign w:val="center"/>
          </w:tcPr>
          <w:p>
            <w:pPr>
              <w:pStyle w:val="42"/>
              <w:adjustRightInd w:val="0"/>
              <w:textAlignment w:val="baseline"/>
              <w:rPr>
                <w:sz w:val="18"/>
                <w:szCs w:val="18"/>
              </w:rPr>
            </w:pPr>
            <w:r>
              <w:rPr>
                <w:rFonts w:hint="eastAsia"/>
                <w:sz w:val="18"/>
                <w:szCs w:val="18"/>
              </w:rPr>
              <w:t>有高效硫回收装置</w:t>
            </w:r>
          </w:p>
          <w:p>
            <w:pPr>
              <w:pStyle w:val="42"/>
              <w:adjustRightInd w:val="0"/>
              <w:textAlignment w:val="baseline"/>
              <w:rPr>
                <w:sz w:val="18"/>
                <w:szCs w:val="18"/>
              </w:rPr>
            </w:pPr>
            <w:r>
              <w:rPr>
                <w:rFonts w:hint="eastAsia"/>
                <w:sz w:val="18"/>
                <w:szCs w:val="18"/>
              </w:rPr>
              <w:t>运行良好</w:t>
            </w:r>
          </w:p>
          <w:p>
            <w:pPr>
              <w:pStyle w:val="42"/>
              <w:adjustRightInd w:val="0"/>
              <w:textAlignment w:val="baseline"/>
              <w:rPr>
                <w:sz w:val="18"/>
                <w:szCs w:val="18"/>
              </w:rPr>
            </w:pPr>
            <w:r>
              <w:rPr>
                <w:rFonts w:hint="eastAsia"/>
                <w:sz w:val="18"/>
                <w:szCs w:val="18"/>
              </w:rPr>
              <w:t>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gridSpan w:val="2"/>
            <w:vMerge w:val="continue"/>
            <w:vAlign w:val="center"/>
          </w:tcPr>
          <w:p>
            <w:pPr>
              <w:pStyle w:val="42"/>
              <w:adjustRightInd w:val="0"/>
              <w:textAlignment w:val="baseline"/>
              <w:rPr>
                <w:sz w:val="18"/>
                <w:szCs w:val="18"/>
              </w:rPr>
            </w:pPr>
          </w:p>
        </w:tc>
        <w:tc>
          <w:tcPr>
            <w:tcW w:w="1276" w:type="dxa"/>
            <w:vAlign w:val="center"/>
          </w:tcPr>
          <w:p>
            <w:pPr>
              <w:pStyle w:val="42"/>
              <w:adjustRightInd w:val="0"/>
              <w:textAlignment w:val="baseline"/>
              <w:rPr>
                <w:sz w:val="18"/>
                <w:szCs w:val="18"/>
              </w:rPr>
            </w:pPr>
            <w:r>
              <w:rPr>
                <w:rFonts w:hint="eastAsia"/>
                <w:sz w:val="18"/>
                <w:szCs w:val="18"/>
              </w:rPr>
              <w:t>CO</w:t>
            </w:r>
            <w:r>
              <w:rPr>
                <w:rFonts w:hint="eastAsia"/>
                <w:sz w:val="18"/>
                <w:szCs w:val="18"/>
                <w:vertAlign w:val="subscript"/>
              </w:rPr>
              <w:t>2</w:t>
            </w:r>
            <w:r>
              <w:rPr>
                <w:rFonts w:hint="eastAsia"/>
                <w:sz w:val="18"/>
                <w:szCs w:val="18"/>
              </w:rPr>
              <w:t>脱除</w:t>
            </w:r>
          </w:p>
        </w:tc>
        <w:tc>
          <w:tcPr>
            <w:tcW w:w="1701" w:type="dxa"/>
            <w:vAlign w:val="center"/>
          </w:tcPr>
          <w:p>
            <w:pPr>
              <w:pStyle w:val="42"/>
              <w:adjustRightInd w:val="0"/>
              <w:textAlignment w:val="baseline"/>
              <w:rPr>
                <w:sz w:val="18"/>
                <w:szCs w:val="18"/>
              </w:rPr>
            </w:pPr>
            <w:r>
              <w:rPr>
                <w:rFonts w:hint="eastAsia"/>
                <w:sz w:val="18"/>
                <w:szCs w:val="18"/>
              </w:rPr>
              <w:t>DCS控制</w:t>
            </w:r>
          </w:p>
        </w:tc>
        <w:tc>
          <w:tcPr>
            <w:tcW w:w="1559" w:type="dxa"/>
            <w:vAlign w:val="center"/>
          </w:tcPr>
          <w:p>
            <w:pPr>
              <w:pStyle w:val="42"/>
              <w:adjustRightInd w:val="0"/>
              <w:textAlignment w:val="baseline"/>
              <w:rPr>
                <w:sz w:val="18"/>
                <w:szCs w:val="18"/>
              </w:rPr>
            </w:pPr>
            <w:r>
              <w:rPr>
                <w:rFonts w:hint="eastAsia"/>
                <w:sz w:val="18"/>
                <w:szCs w:val="18"/>
              </w:rPr>
              <w:t>计算机控制</w:t>
            </w:r>
          </w:p>
        </w:tc>
        <w:tc>
          <w:tcPr>
            <w:tcW w:w="1418" w:type="dxa"/>
            <w:vAlign w:val="center"/>
          </w:tcPr>
          <w:p>
            <w:pPr>
              <w:pStyle w:val="42"/>
              <w:adjustRightInd w:val="0"/>
              <w:textAlignment w:val="baseline"/>
              <w:rPr>
                <w:sz w:val="18"/>
                <w:szCs w:val="18"/>
              </w:rPr>
            </w:pPr>
            <w:r>
              <w:rPr>
                <w:rFonts w:hint="eastAsia"/>
                <w:sz w:val="18"/>
                <w:szCs w:val="18"/>
              </w:rPr>
              <w:t>常规仪表控制</w:t>
            </w:r>
          </w:p>
        </w:tc>
        <w:tc>
          <w:tcPr>
            <w:tcW w:w="1751" w:type="dxa"/>
            <w:vAlign w:val="center"/>
          </w:tcPr>
          <w:p>
            <w:pPr>
              <w:pStyle w:val="42"/>
              <w:adjustRightInd w:val="0"/>
              <w:textAlignment w:val="baseline"/>
              <w:rPr>
                <w:sz w:val="18"/>
                <w:szCs w:val="18"/>
              </w:rPr>
            </w:pPr>
            <w:r>
              <w:rPr>
                <w:rFonts w:hint="eastAsia"/>
                <w:sz w:val="18"/>
                <w:szCs w:val="18"/>
              </w:rPr>
              <w:t>DCS控制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gridSpan w:val="2"/>
            <w:vMerge w:val="continue"/>
            <w:vAlign w:val="center"/>
          </w:tcPr>
          <w:p>
            <w:pPr>
              <w:pStyle w:val="42"/>
              <w:adjustRightInd w:val="0"/>
              <w:textAlignment w:val="baseline"/>
              <w:rPr>
                <w:sz w:val="18"/>
                <w:szCs w:val="18"/>
              </w:rPr>
            </w:pPr>
          </w:p>
        </w:tc>
        <w:tc>
          <w:tcPr>
            <w:tcW w:w="1276" w:type="dxa"/>
            <w:vAlign w:val="center"/>
          </w:tcPr>
          <w:p>
            <w:pPr>
              <w:pStyle w:val="42"/>
              <w:adjustRightInd w:val="0"/>
              <w:textAlignment w:val="baseline"/>
              <w:rPr>
                <w:sz w:val="18"/>
                <w:szCs w:val="18"/>
              </w:rPr>
            </w:pPr>
            <w:r>
              <w:rPr>
                <w:rFonts w:hint="eastAsia"/>
                <w:sz w:val="18"/>
                <w:szCs w:val="18"/>
              </w:rPr>
              <w:t>精制</w:t>
            </w:r>
          </w:p>
        </w:tc>
        <w:tc>
          <w:tcPr>
            <w:tcW w:w="1701" w:type="dxa"/>
            <w:vAlign w:val="center"/>
          </w:tcPr>
          <w:p>
            <w:pPr>
              <w:pStyle w:val="42"/>
              <w:adjustRightInd w:val="0"/>
              <w:textAlignment w:val="baseline"/>
              <w:rPr>
                <w:sz w:val="18"/>
                <w:szCs w:val="18"/>
              </w:rPr>
            </w:pPr>
            <w:r>
              <w:rPr>
                <w:rFonts w:hint="eastAsia"/>
                <w:sz w:val="18"/>
                <w:szCs w:val="18"/>
              </w:rPr>
              <w:t>DCS控制</w:t>
            </w:r>
          </w:p>
        </w:tc>
        <w:tc>
          <w:tcPr>
            <w:tcW w:w="1559" w:type="dxa"/>
            <w:vAlign w:val="center"/>
          </w:tcPr>
          <w:p>
            <w:pPr>
              <w:pStyle w:val="42"/>
              <w:adjustRightInd w:val="0"/>
              <w:textAlignment w:val="baseline"/>
              <w:rPr>
                <w:sz w:val="18"/>
                <w:szCs w:val="18"/>
              </w:rPr>
            </w:pPr>
            <w:r>
              <w:rPr>
                <w:rFonts w:hint="eastAsia"/>
                <w:sz w:val="18"/>
                <w:szCs w:val="18"/>
              </w:rPr>
              <w:t>计算机控制</w:t>
            </w:r>
          </w:p>
        </w:tc>
        <w:tc>
          <w:tcPr>
            <w:tcW w:w="1418" w:type="dxa"/>
            <w:vAlign w:val="center"/>
          </w:tcPr>
          <w:p>
            <w:pPr>
              <w:pStyle w:val="42"/>
              <w:adjustRightInd w:val="0"/>
              <w:textAlignment w:val="baseline"/>
              <w:rPr>
                <w:sz w:val="18"/>
                <w:szCs w:val="18"/>
              </w:rPr>
            </w:pPr>
            <w:r>
              <w:rPr>
                <w:rFonts w:hint="eastAsia"/>
                <w:sz w:val="18"/>
                <w:szCs w:val="18"/>
              </w:rPr>
              <w:t>常规仪表控制</w:t>
            </w:r>
          </w:p>
        </w:tc>
        <w:tc>
          <w:tcPr>
            <w:tcW w:w="1751" w:type="dxa"/>
            <w:vAlign w:val="center"/>
          </w:tcPr>
          <w:p>
            <w:pPr>
              <w:pStyle w:val="42"/>
              <w:adjustRightInd w:val="0"/>
              <w:textAlignment w:val="baseline"/>
              <w:rPr>
                <w:sz w:val="18"/>
                <w:szCs w:val="18"/>
              </w:rPr>
            </w:pPr>
            <w:r>
              <w:rPr>
                <w:rFonts w:hint="eastAsia"/>
                <w:sz w:val="18"/>
                <w:szCs w:val="18"/>
              </w:rPr>
              <w:t>DCS控制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gridSpan w:val="3"/>
            <w:vAlign w:val="center"/>
          </w:tcPr>
          <w:p>
            <w:pPr>
              <w:pStyle w:val="42"/>
              <w:adjustRightInd w:val="0"/>
              <w:textAlignment w:val="baseline"/>
              <w:rPr>
                <w:sz w:val="18"/>
                <w:szCs w:val="18"/>
              </w:rPr>
            </w:pPr>
            <w:r>
              <w:rPr>
                <w:rFonts w:hint="eastAsia"/>
                <w:sz w:val="18"/>
                <w:szCs w:val="18"/>
              </w:rPr>
              <w:t>原料气压缩</w:t>
            </w:r>
          </w:p>
        </w:tc>
        <w:tc>
          <w:tcPr>
            <w:tcW w:w="1701" w:type="dxa"/>
            <w:vAlign w:val="center"/>
          </w:tcPr>
          <w:p>
            <w:pPr>
              <w:pStyle w:val="42"/>
              <w:adjustRightInd w:val="0"/>
              <w:textAlignment w:val="baseline"/>
              <w:rPr>
                <w:sz w:val="18"/>
                <w:szCs w:val="18"/>
              </w:rPr>
            </w:pPr>
            <w:r>
              <w:rPr>
                <w:rFonts w:hint="eastAsia"/>
                <w:sz w:val="18"/>
                <w:szCs w:val="18"/>
              </w:rPr>
              <w:t>蒸汽驱动透平式压缩机</w:t>
            </w:r>
          </w:p>
        </w:tc>
        <w:tc>
          <w:tcPr>
            <w:tcW w:w="2977" w:type="dxa"/>
            <w:gridSpan w:val="2"/>
            <w:vAlign w:val="center"/>
          </w:tcPr>
          <w:p>
            <w:pPr>
              <w:pStyle w:val="42"/>
              <w:adjustRightInd w:val="0"/>
              <w:textAlignment w:val="baseline"/>
              <w:rPr>
                <w:sz w:val="18"/>
                <w:szCs w:val="18"/>
              </w:rPr>
            </w:pPr>
            <w:r>
              <w:rPr>
                <w:rFonts w:hint="eastAsia"/>
                <w:sz w:val="18"/>
                <w:szCs w:val="18"/>
              </w:rPr>
              <w:t>往复式压缩机</w:t>
            </w:r>
          </w:p>
        </w:tc>
        <w:tc>
          <w:tcPr>
            <w:tcW w:w="1751" w:type="dxa"/>
            <w:vAlign w:val="center"/>
          </w:tcPr>
          <w:p>
            <w:pPr>
              <w:pStyle w:val="42"/>
              <w:adjustRightInd w:val="0"/>
              <w:textAlignment w:val="baseline"/>
              <w:rPr>
                <w:sz w:val="18"/>
                <w:szCs w:val="18"/>
              </w:rPr>
            </w:pPr>
            <w:r>
              <w:rPr>
                <w:rFonts w:hint="eastAsia"/>
                <w:sz w:val="18"/>
                <w:szCs w:val="18"/>
              </w:rPr>
              <w:t>蒸汽驱动透平式压缩机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氨合成</w:t>
            </w:r>
          </w:p>
        </w:tc>
        <w:tc>
          <w:tcPr>
            <w:tcW w:w="1418" w:type="dxa"/>
            <w:gridSpan w:val="2"/>
            <w:vAlign w:val="center"/>
          </w:tcPr>
          <w:p>
            <w:pPr>
              <w:pStyle w:val="42"/>
              <w:adjustRightInd w:val="0"/>
              <w:textAlignment w:val="baseline"/>
              <w:rPr>
                <w:sz w:val="18"/>
                <w:szCs w:val="18"/>
              </w:rPr>
            </w:pPr>
            <w:r>
              <w:rPr>
                <w:rFonts w:hint="eastAsia"/>
                <w:sz w:val="18"/>
                <w:szCs w:val="18"/>
              </w:rPr>
              <w:t>合成压力</w:t>
            </w:r>
          </w:p>
        </w:tc>
        <w:tc>
          <w:tcPr>
            <w:tcW w:w="1701"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15.0MPa</w:t>
            </w:r>
          </w:p>
        </w:tc>
        <w:tc>
          <w:tcPr>
            <w:tcW w:w="2977" w:type="dxa"/>
            <w:gridSpan w:val="2"/>
            <w:vAlign w:val="center"/>
          </w:tcPr>
          <w:p>
            <w:pPr>
              <w:pStyle w:val="42"/>
              <w:adjustRightInd w:val="0"/>
              <w:textAlignment w:val="baseline"/>
              <w:rPr>
                <w:sz w:val="18"/>
                <w:szCs w:val="18"/>
              </w:rPr>
            </w:pPr>
            <w:r>
              <w:rPr>
                <w:rFonts w:hint="eastAsia"/>
                <w:sz w:val="18"/>
                <w:szCs w:val="18"/>
              </w:rPr>
              <w:t>20~32 MPa</w:t>
            </w:r>
          </w:p>
        </w:tc>
        <w:tc>
          <w:tcPr>
            <w:tcW w:w="1751" w:type="dxa"/>
            <w:vAlign w:val="center"/>
          </w:tcPr>
          <w:p>
            <w:pPr>
              <w:pStyle w:val="42"/>
              <w:adjustRightInd w:val="0"/>
              <w:textAlignment w:val="baseline"/>
              <w:rPr>
                <w:sz w:val="18"/>
                <w:szCs w:val="18"/>
              </w:rPr>
            </w:pPr>
            <w:r>
              <w:rPr>
                <w:rFonts w:hint="eastAsia"/>
              </w:rPr>
              <w:t>13.6MPa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1418" w:type="dxa"/>
            <w:gridSpan w:val="2"/>
            <w:vAlign w:val="center"/>
          </w:tcPr>
          <w:p>
            <w:pPr>
              <w:pStyle w:val="42"/>
              <w:adjustRightInd w:val="0"/>
              <w:textAlignment w:val="baseline"/>
              <w:rPr>
                <w:sz w:val="18"/>
                <w:szCs w:val="18"/>
              </w:rPr>
            </w:pPr>
            <w:r>
              <w:rPr>
                <w:rFonts w:hint="eastAsia"/>
                <w:sz w:val="18"/>
                <w:szCs w:val="18"/>
              </w:rPr>
              <w:t>稀氨水回收</w:t>
            </w:r>
          </w:p>
        </w:tc>
        <w:tc>
          <w:tcPr>
            <w:tcW w:w="1701" w:type="dxa"/>
            <w:vAlign w:val="center"/>
          </w:tcPr>
          <w:p>
            <w:pPr>
              <w:pStyle w:val="42"/>
              <w:adjustRightInd w:val="0"/>
              <w:textAlignment w:val="baseline"/>
              <w:rPr>
                <w:sz w:val="18"/>
                <w:szCs w:val="18"/>
              </w:rPr>
            </w:pPr>
            <w:r>
              <w:rPr>
                <w:rFonts w:hint="eastAsia"/>
                <w:sz w:val="18"/>
                <w:szCs w:val="18"/>
              </w:rPr>
              <w:t>水闭路循环</w:t>
            </w:r>
          </w:p>
        </w:tc>
        <w:tc>
          <w:tcPr>
            <w:tcW w:w="2977" w:type="dxa"/>
            <w:gridSpan w:val="2"/>
            <w:vAlign w:val="center"/>
          </w:tcPr>
          <w:p>
            <w:pPr>
              <w:pStyle w:val="42"/>
              <w:adjustRightInd w:val="0"/>
              <w:textAlignment w:val="baseline"/>
              <w:rPr>
                <w:sz w:val="18"/>
                <w:szCs w:val="18"/>
              </w:rPr>
            </w:pPr>
            <w:r>
              <w:rPr>
                <w:rFonts w:hint="eastAsia"/>
                <w:sz w:val="18"/>
                <w:szCs w:val="18"/>
              </w:rPr>
              <w:t>稀氨水回收</w:t>
            </w:r>
          </w:p>
        </w:tc>
        <w:tc>
          <w:tcPr>
            <w:tcW w:w="1751" w:type="dxa"/>
            <w:vAlign w:val="center"/>
          </w:tcPr>
          <w:p>
            <w:pPr>
              <w:pStyle w:val="42"/>
              <w:adjustRightInd w:val="0"/>
              <w:textAlignment w:val="baseline"/>
              <w:rPr>
                <w:sz w:val="18"/>
                <w:szCs w:val="18"/>
              </w:rPr>
            </w:pPr>
            <w:r>
              <w:rPr>
                <w:rFonts w:hint="eastAsia"/>
                <w:sz w:val="18"/>
                <w:szCs w:val="18"/>
              </w:rPr>
              <w:t>稀氨水回收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尿素生产</w:t>
            </w:r>
          </w:p>
        </w:tc>
        <w:tc>
          <w:tcPr>
            <w:tcW w:w="1418" w:type="dxa"/>
            <w:gridSpan w:val="2"/>
            <w:vAlign w:val="center"/>
          </w:tcPr>
          <w:p>
            <w:pPr>
              <w:pStyle w:val="42"/>
              <w:adjustRightInd w:val="0"/>
              <w:textAlignment w:val="baseline"/>
              <w:rPr>
                <w:sz w:val="18"/>
                <w:szCs w:val="18"/>
              </w:rPr>
            </w:pPr>
            <w:r>
              <w:rPr>
                <w:rFonts w:hint="eastAsia"/>
                <w:sz w:val="18"/>
                <w:szCs w:val="18"/>
              </w:rPr>
              <w:t>生产工艺</w:t>
            </w:r>
          </w:p>
        </w:tc>
        <w:tc>
          <w:tcPr>
            <w:tcW w:w="1701" w:type="dxa"/>
            <w:vAlign w:val="center"/>
          </w:tcPr>
          <w:p>
            <w:pPr>
              <w:pStyle w:val="42"/>
              <w:adjustRightInd w:val="0"/>
              <w:textAlignment w:val="baseline"/>
              <w:rPr>
                <w:sz w:val="18"/>
                <w:szCs w:val="18"/>
              </w:rPr>
            </w:pPr>
            <w:r>
              <w:rPr>
                <w:rFonts w:hint="eastAsia"/>
                <w:sz w:val="18"/>
                <w:szCs w:val="18"/>
              </w:rPr>
              <w:t>氨或二氧化碳气体法</w:t>
            </w:r>
          </w:p>
        </w:tc>
        <w:tc>
          <w:tcPr>
            <w:tcW w:w="2977" w:type="dxa"/>
            <w:gridSpan w:val="2"/>
            <w:vAlign w:val="center"/>
          </w:tcPr>
          <w:p>
            <w:pPr>
              <w:pStyle w:val="42"/>
              <w:adjustRightInd w:val="0"/>
              <w:textAlignment w:val="baseline"/>
              <w:rPr>
                <w:sz w:val="18"/>
                <w:szCs w:val="18"/>
              </w:rPr>
            </w:pPr>
            <w:r>
              <w:rPr>
                <w:rFonts w:hint="eastAsia"/>
                <w:sz w:val="18"/>
                <w:szCs w:val="18"/>
              </w:rPr>
              <w:t>水溶液全循环法</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1418" w:type="dxa"/>
            <w:gridSpan w:val="2"/>
            <w:vAlign w:val="center"/>
          </w:tcPr>
          <w:p>
            <w:pPr>
              <w:pStyle w:val="42"/>
              <w:adjustRightInd w:val="0"/>
              <w:textAlignment w:val="baseline"/>
              <w:rPr>
                <w:sz w:val="18"/>
                <w:szCs w:val="18"/>
              </w:rPr>
            </w:pPr>
            <w:r>
              <w:rPr>
                <w:rFonts w:hint="eastAsia"/>
                <w:sz w:val="18"/>
                <w:szCs w:val="18"/>
              </w:rPr>
              <w:t>尿素生产解析液处理工艺</w:t>
            </w:r>
          </w:p>
        </w:tc>
        <w:tc>
          <w:tcPr>
            <w:tcW w:w="3260" w:type="dxa"/>
            <w:gridSpan w:val="2"/>
            <w:vAlign w:val="center"/>
          </w:tcPr>
          <w:p>
            <w:pPr>
              <w:pStyle w:val="42"/>
              <w:adjustRightInd w:val="0"/>
              <w:textAlignment w:val="baseline"/>
              <w:rPr>
                <w:sz w:val="18"/>
                <w:szCs w:val="18"/>
              </w:rPr>
            </w:pPr>
            <w:r>
              <w:rPr>
                <w:rFonts w:hint="eastAsia"/>
                <w:sz w:val="18"/>
                <w:szCs w:val="18"/>
              </w:rPr>
              <w:t>尿素生产解析液深度水解处理良好</w:t>
            </w:r>
          </w:p>
        </w:tc>
        <w:tc>
          <w:tcPr>
            <w:tcW w:w="1418" w:type="dxa"/>
            <w:vAlign w:val="center"/>
          </w:tcPr>
          <w:p>
            <w:pPr>
              <w:pStyle w:val="42"/>
              <w:adjustRightInd w:val="0"/>
              <w:textAlignment w:val="baseline"/>
              <w:rPr>
                <w:sz w:val="18"/>
                <w:szCs w:val="18"/>
              </w:rPr>
            </w:pPr>
            <w:r>
              <w:rPr>
                <w:rFonts w:hint="eastAsia"/>
                <w:sz w:val="18"/>
                <w:szCs w:val="18"/>
              </w:rPr>
              <w:t>尿素生产解析液汽提运行良好</w:t>
            </w:r>
          </w:p>
        </w:tc>
        <w:tc>
          <w:tcPr>
            <w:tcW w:w="1751" w:type="dxa"/>
            <w:vAlign w:val="center"/>
          </w:tcPr>
          <w:p>
            <w:pPr>
              <w:pStyle w:val="42"/>
              <w:adjustRightInd w:val="0"/>
              <w:textAlignment w:val="baseline"/>
              <w:rPr>
                <w:sz w:val="18"/>
                <w:szCs w:val="18"/>
              </w:rPr>
            </w:pPr>
            <w:r>
              <w:rPr>
                <w:rFonts w:hint="eastAsia"/>
                <w:sz w:val="18"/>
                <w:szCs w:val="18"/>
              </w:rPr>
              <w:t>/</w:t>
            </w:r>
          </w:p>
        </w:tc>
      </w:tr>
    </w:tbl>
    <w:p>
      <w:pPr>
        <w:ind w:firstLine="480"/>
      </w:pPr>
      <w:r>
        <w:rPr>
          <w:rFonts w:hint="eastAsia"/>
        </w:rPr>
        <w:t>由上表3.7-1可知，拟建项目生产工艺与装备中，合成氨工序稀氨水回收满足二级指标要求，其余均满足一级指标要求。</w:t>
      </w:r>
    </w:p>
    <w:p>
      <w:pPr>
        <w:pStyle w:val="4"/>
        <w:spacing w:before="156" w:after="156"/>
      </w:pPr>
      <w:bookmarkStart w:id="90" w:name="_Toc84844262"/>
      <w:r>
        <w:rPr>
          <w:rFonts w:hint="eastAsia"/>
        </w:rPr>
        <w:t>3.7.2废物回收处理要求</w:t>
      </w:r>
      <w:bookmarkEnd w:id="90"/>
    </w:p>
    <w:p>
      <w:pPr>
        <w:ind w:firstLine="480"/>
      </w:pPr>
      <w:r>
        <w:rPr>
          <w:rFonts w:hint="eastAsia"/>
        </w:rPr>
        <w:t>拟建项目废物回收处理与《清洁生产标准 氮肥制造业》（HJ/T188-2006）对照情况详见下表3.7-2。</w:t>
      </w:r>
    </w:p>
    <w:p>
      <w:pPr>
        <w:pStyle w:val="41"/>
      </w:pPr>
      <w:r>
        <w:rPr>
          <w:rFonts w:hint="eastAsia"/>
        </w:rPr>
        <w:t>表3.7-2 废物回收处理情况一览表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694"/>
        <w:gridCol w:w="992"/>
        <w:gridCol w:w="1134"/>
        <w:gridCol w:w="1276"/>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vAlign w:val="center"/>
          </w:tcPr>
          <w:p>
            <w:pPr>
              <w:pStyle w:val="42"/>
              <w:adjustRightInd w:val="0"/>
              <w:textAlignment w:val="baseline"/>
              <w:rPr>
                <w:sz w:val="18"/>
                <w:szCs w:val="18"/>
              </w:rPr>
            </w:pPr>
            <w:r>
              <w:rPr>
                <w:rFonts w:hint="eastAsia"/>
                <w:sz w:val="18"/>
                <w:szCs w:val="18"/>
              </w:rPr>
              <w:t>指标</w:t>
            </w:r>
          </w:p>
        </w:tc>
        <w:tc>
          <w:tcPr>
            <w:tcW w:w="992" w:type="dxa"/>
            <w:vAlign w:val="center"/>
          </w:tcPr>
          <w:p>
            <w:pPr>
              <w:pStyle w:val="42"/>
              <w:adjustRightInd w:val="0"/>
              <w:textAlignment w:val="baseline"/>
              <w:rPr>
                <w:sz w:val="18"/>
                <w:szCs w:val="18"/>
              </w:rPr>
            </w:pPr>
            <w:r>
              <w:rPr>
                <w:rFonts w:hint="eastAsia"/>
                <w:sz w:val="18"/>
                <w:szCs w:val="18"/>
              </w:rPr>
              <w:t>一级</w:t>
            </w:r>
          </w:p>
        </w:tc>
        <w:tc>
          <w:tcPr>
            <w:tcW w:w="1134" w:type="dxa"/>
            <w:vAlign w:val="center"/>
          </w:tcPr>
          <w:p>
            <w:pPr>
              <w:pStyle w:val="42"/>
              <w:adjustRightInd w:val="0"/>
              <w:textAlignment w:val="baseline"/>
              <w:rPr>
                <w:sz w:val="18"/>
                <w:szCs w:val="18"/>
              </w:rPr>
            </w:pPr>
            <w:r>
              <w:rPr>
                <w:rFonts w:hint="eastAsia"/>
                <w:sz w:val="18"/>
                <w:szCs w:val="18"/>
              </w:rPr>
              <w:t>二级</w:t>
            </w:r>
          </w:p>
        </w:tc>
        <w:tc>
          <w:tcPr>
            <w:tcW w:w="1276" w:type="dxa"/>
            <w:vAlign w:val="center"/>
          </w:tcPr>
          <w:p>
            <w:pPr>
              <w:pStyle w:val="42"/>
              <w:adjustRightInd w:val="0"/>
              <w:textAlignment w:val="baseline"/>
              <w:rPr>
                <w:sz w:val="18"/>
                <w:szCs w:val="18"/>
              </w:rPr>
            </w:pPr>
            <w:r>
              <w:rPr>
                <w:rFonts w:hint="eastAsia"/>
                <w:sz w:val="18"/>
                <w:szCs w:val="18"/>
              </w:rPr>
              <w:t>三级</w:t>
            </w:r>
          </w:p>
        </w:tc>
        <w:tc>
          <w:tcPr>
            <w:tcW w:w="1751" w:type="dxa"/>
            <w:vAlign w:val="center"/>
          </w:tcPr>
          <w:p>
            <w:pPr>
              <w:pStyle w:val="42"/>
              <w:adjustRightInd w:val="0"/>
              <w:textAlignment w:val="baseline"/>
              <w:rPr>
                <w:sz w:val="18"/>
                <w:szCs w:val="18"/>
              </w:rPr>
            </w:pPr>
            <w:r>
              <w:rPr>
                <w:rFonts w:hint="eastAsia"/>
                <w:sz w:val="18"/>
                <w:szCs w:val="18"/>
              </w:rPr>
              <w:t>拟建项目情况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废水</w:t>
            </w:r>
          </w:p>
        </w:tc>
        <w:tc>
          <w:tcPr>
            <w:tcW w:w="2694" w:type="dxa"/>
            <w:vAlign w:val="center"/>
          </w:tcPr>
          <w:p>
            <w:pPr>
              <w:pStyle w:val="42"/>
              <w:adjustRightInd w:val="0"/>
              <w:textAlignment w:val="baseline"/>
              <w:rPr>
                <w:sz w:val="18"/>
                <w:szCs w:val="18"/>
              </w:rPr>
            </w:pPr>
            <w:r>
              <w:rPr>
                <w:rFonts w:hint="eastAsia"/>
                <w:sz w:val="18"/>
                <w:szCs w:val="18"/>
              </w:rPr>
              <w:t>含氰废水回收利用率/%</w:t>
            </w:r>
          </w:p>
        </w:tc>
        <w:tc>
          <w:tcPr>
            <w:tcW w:w="992" w:type="dxa"/>
            <w:vAlign w:val="center"/>
          </w:tcPr>
          <w:p>
            <w:pPr>
              <w:pStyle w:val="42"/>
              <w:adjustRightInd w:val="0"/>
              <w:textAlignment w:val="baseline"/>
              <w:rPr>
                <w:sz w:val="18"/>
                <w:szCs w:val="18"/>
              </w:rPr>
            </w:pPr>
            <w:r>
              <w:rPr>
                <w:rFonts w:hint="eastAsia"/>
                <w:sz w:val="18"/>
                <w:szCs w:val="18"/>
              </w:rPr>
              <w:t>95</w:t>
            </w:r>
          </w:p>
        </w:tc>
        <w:tc>
          <w:tcPr>
            <w:tcW w:w="1134" w:type="dxa"/>
            <w:vAlign w:val="center"/>
          </w:tcPr>
          <w:p>
            <w:pPr>
              <w:pStyle w:val="42"/>
              <w:adjustRightInd w:val="0"/>
              <w:textAlignment w:val="baseline"/>
              <w:rPr>
                <w:sz w:val="18"/>
                <w:szCs w:val="18"/>
              </w:rPr>
            </w:pPr>
            <w:r>
              <w:rPr>
                <w:rFonts w:hint="eastAsia"/>
                <w:sz w:val="18"/>
                <w:szCs w:val="18"/>
              </w:rPr>
              <w:t>90</w:t>
            </w:r>
          </w:p>
        </w:tc>
        <w:tc>
          <w:tcPr>
            <w:tcW w:w="1276" w:type="dxa"/>
            <w:vAlign w:val="center"/>
          </w:tcPr>
          <w:p>
            <w:pPr>
              <w:pStyle w:val="42"/>
              <w:adjustRightInd w:val="0"/>
              <w:textAlignment w:val="baseline"/>
              <w:rPr>
                <w:sz w:val="18"/>
                <w:szCs w:val="18"/>
              </w:rPr>
            </w:pPr>
            <w:r>
              <w:rPr>
                <w:rFonts w:hint="eastAsia"/>
                <w:sz w:val="18"/>
                <w:szCs w:val="18"/>
              </w:rPr>
              <w:t>85</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含氨废水回收利用率/%</w:t>
            </w:r>
          </w:p>
        </w:tc>
        <w:tc>
          <w:tcPr>
            <w:tcW w:w="992" w:type="dxa"/>
            <w:vAlign w:val="center"/>
          </w:tcPr>
          <w:p>
            <w:pPr>
              <w:pStyle w:val="42"/>
              <w:adjustRightInd w:val="0"/>
              <w:textAlignment w:val="baseline"/>
              <w:rPr>
                <w:sz w:val="18"/>
                <w:szCs w:val="18"/>
              </w:rPr>
            </w:pPr>
            <w:r>
              <w:rPr>
                <w:rFonts w:hint="eastAsia"/>
                <w:sz w:val="18"/>
                <w:szCs w:val="18"/>
              </w:rPr>
              <w:t>98</w:t>
            </w:r>
          </w:p>
        </w:tc>
        <w:tc>
          <w:tcPr>
            <w:tcW w:w="1134" w:type="dxa"/>
            <w:vAlign w:val="center"/>
          </w:tcPr>
          <w:p>
            <w:pPr>
              <w:pStyle w:val="42"/>
              <w:adjustRightInd w:val="0"/>
              <w:textAlignment w:val="baseline"/>
              <w:rPr>
                <w:sz w:val="18"/>
                <w:szCs w:val="18"/>
              </w:rPr>
            </w:pPr>
            <w:r>
              <w:rPr>
                <w:rFonts w:hint="eastAsia"/>
                <w:sz w:val="18"/>
                <w:szCs w:val="18"/>
              </w:rPr>
              <w:t>95</w:t>
            </w:r>
          </w:p>
        </w:tc>
        <w:tc>
          <w:tcPr>
            <w:tcW w:w="1276" w:type="dxa"/>
            <w:vAlign w:val="center"/>
          </w:tcPr>
          <w:p>
            <w:pPr>
              <w:pStyle w:val="42"/>
              <w:adjustRightInd w:val="0"/>
              <w:textAlignment w:val="baseline"/>
              <w:rPr>
                <w:sz w:val="18"/>
                <w:szCs w:val="18"/>
              </w:rPr>
            </w:pPr>
            <w:r>
              <w:rPr>
                <w:rFonts w:hint="eastAsia"/>
                <w:sz w:val="18"/>
                <w:szCs w:val="18"/>
              </w:rPr>
              <w:t>90</w:t>
            </w:r>
          </w:p>
        </w:tc>
        <w:tc>
          <w:tcPr>
            <w:tcW w:w="1751" w:type="dxa"/>
            <w:vAlign w:val="center"/>
          </w:tcPr>
          <w:p>
            <w:pPr>
              <w:pStyle w:val="42"/>
              <w:adjustRightInd w:val="0"/>
              <w:textAlignment w:val="baseline"/>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含炭黑废水回收利用率/%</w:t>
            </w:r>
          </w:p>
        </w:tc>
        <w:tc>
          <w:tcPr>
            <w:tcW w:w="3402" w:type="dxa"/>
            <w:gridSpan w:val="3"/>
            <w:vAlign w:val="center"/>
          </w:tcPr>
          <w:p>
            <w:pPr>
              <w:pStyle w:val="42"/>
              <w:adjustRightInd w:val="0"/>
              <w:textAlignment w:val="baseline"/>
              <w:rPr>
                <w:sz w:val="18"/>
                <w:szCs w:val="18"/>
              </w:rPr>
            </w:pPr>
            <w:r>
              <w:rPr>
                <w:rFonts w:hint="eastAsia"/>
                <w:sz w:val="18"/>
                <w:szCs w:val="18"/>
              </w:rPr>
              <w:t>98</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废气</w:t>
            </w:r>
          </w:p>
        </w:tc>
        <w:tc>
          <w:tcPr>
            <w:tcW w:w="2694" w:type="dxa"/>
            <w:vAlign w:val="center"/>
          </w:tcPr>
          <w:p>
            <w:pPr>
              <w:pStyle w:val="42"/>
              <w:adjustRightInd w:val="0"/>
              <w:textAlignment w:val="baseline"/>
              <w:rPr>
                <w:sz w:val="18"/>
                <w:szCs w:val="18"/>
              </w:rPr>
            </w:pPr>
            <w:r>
              <w:rPr>
                <w:rFonts w:hint="eastAsia"/>
                <w:sz w:val="18"/>
                <w:szCs w:val="18"/>
              </w:rPr>
              <w:t>含H</w:t>
            </w:r>
            <w:r>
              <w:rPr>
                <w:rFonts w:hint="eastAsia"/>
                <w:sz w:val="18"/>
                <w:szCs w:val="18"/>
                <w:vertAlign w:val="subscript"/>
              </w:rPr>
              <w:t>2</w:t>
            </w:r>
            <w:r>
              <w:rPr>
                <w:rFonts w:hint="eastAsia"/>
                <w:sz w:val="18"/>
                <w:szCs w:val="18"/>
              </w:rPr>
              <w:t>S废气回收利用率/%</w:t>
            </w:r>
          </w:p>
        </w:tc>
        <w:tc>
          <w:tcPr>
            <w:tcW w:w="992" w:type="dxa"/>
            <w:vAlign w:val="center"/>
          </w:tcPr>
          <w:p>
            <w:pPr>
              <w:pStyle w:val="42"/>
              <w:adjustRightInd w:val="0"/>
              <w:textAlignment w:val="baseline"/>
              <w:rPr>
                <w:sz w:val="18"/>
                <w:szCs w:val="18"/>
              </w:rPr>
            </w:pPr>
            <w:r>
              <w:rPr>
                <w:rFonts w:hint="eastAsia"/>
                <w:sz w:val="18"/>
                <w:szCs w:val="18"/>
              </w:rPr>
              <w:t>98</w:t>
            </w:r>
          </w:p>
        </w:tc>
        <w:tc>
          <w:tcPr>
            <w:tcW w:w="1134" w:type="dxa"/>
            <w:vAlign w:val="center"/>
          </w:tcPr>
          <w:p>
            <w:pPr>
              <w:pStyle w:val="42"/>
              <w:adjustRightInd w:val="0"/>
              <w:textAlignment w:val="baseline"/>
              <w:rPr>
                <w:sz w:val="18"/>
                <w:szCs w:val="18"/>
              </w:rPr>
            </w:pPr>
            <w:r>
              <w:rPr>
                <w:rFonts w:hint="eastAsia"/>
                <w:sz w:val="18"/>
                <w:szCs w:val="18"/>
              </w:rPr>
              <w:t>95</w:t>
            </w:r>
          </w:p>
        </w:tc>
        <w:tc>
          <w:tcPr>
            <w:tcW w:w="1276" w:type="dxa"/>
            <w:vAlign w:val="center"/>
          </w:tcPr>
          <w:p>
            <w:pPr>
              <w:pStyle w:val="42"/>
              <w:adjustRightInd w:val="0"/>
              <w:textAlignment w:val="baseline"/>
              <w:rPr>
                <w:sz w:val="18"/>
                <w:szCs w:val="18"/>
              </w:rPr>
            </w:pPr>
            <w:r>
              <w:rPr>
                <w:rFonts w:hint="eastAsia"/>
                <w:sz w:val="18"/>
                <w:szCs w:val="18"/>
              </w:rPr>
              <w:t>90</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CO再生气回收利用率/%</w:t>
            </w:r>
          </w:p>
        </w:tc>
        <w:tc>
          <w:tcPr>
            <w:tcW w:w="3402" w:type="dxa"/>
            <w:gridSpan w:val="3"/>
            <w:vAlign w:val="center"/>
          </w:tcPr>
          <w:p>
            <w:pPr>
              <w:pStyle w:val="42"/>
              <w:adjustRightInd w:val="0"/>
              <w:textAlignment w:val="baseline"/>
              <w:rPr>
                <w:sz w:val="18"/>
                <w:szCs w:val="18"/>
              </w:rPr>
            </w:pPr>
            <w:r>
              <w:rPr>
                <w:rFonts w:hint="eastAsia"/>
                <w:sz w:val="18"/>
                <w:szCs w:val="18"/>
              </w:rPr>
              <w:t>100</w:t>
            </w:r>
          </w:p>
        </w:tc>
        <w:tc>
          <w:tcPr>
            <w:tcW w:w="1751" w:type="dxa"/>
            <w:vAlign w:val="center"/>
          </w:tcPr>
          <w:p>
            <w:pPr>
              <w:pStyle w:val="42"/>
              <w:adjustRightInd w:val="0"/>
              <w:textAlignment w:val="baseline"/>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固体废物</w:t>
            </w:r>
          </w:p>
        </w:tc>
        <w:tc>
          <w:tcPr>
            <w:tcW w:w="2694" w:type="dxa"/>
            <w:vAlign w:val="center"/>
          </w:tcPr>
          <w:p>
            <w:pPr>
              <w:pStyle w:val="42"/>
              <w:adjustRightInd w:val="0"/>
              <w:textAlignment w:val="baseline"/>
              <w:rPr>
                <w:sz w:val="18"/>
                <w:szCs w:val="18"/>
              </w:rPr>
            </w:pPr>
            <w:r>
              <w:rPr>
                <w:rFonts w:hint="eastAsia"/>
                <w:sz w:val="18"/>
                <w:szCs w:val="18"/>
              </w:rPr>
              <w:t>煤灰、渣处理处置率/%</w:t>
            </w:r>
          </w:p>
        </w:tc>
        <w:tc>
          <w:tcPr>
            <w:tcW w:w="3402" w:type="dxa"/>
            <w:gridSpan w:val="3"/>
            <w:vAlign w:val="center"/>
          </w:tcPr>
          <w:p>
            <w:pPr>
              <w:pStyle w:val="42"/>
              <w:adjustRightInd w:val="0"/>
              <w:textAlignment w:val="baseline"/>
              <w:rPr>
                <w:sz w:val="18"/>
                <w:szCs w:val="18"/>
              </w:rPr>
            </w:pPr>
            <w:r>
              <w:rPr>
                <w:rFonts w:hint="eastAsia"/>
                <w:sz w:val="18"/>
                <w:szCs w:val="18"/>
              </w:rPr>
              <w:t>100</w:t>
            </w:r>
          </w:p>
        </w:tc>
        <w:tc>
          <w:tcPr>
            <w:tcW w:w="1751" w:type="dxa"/>
            <w:vAlign w:val="center"/>
          </w:tcPr>
          <w:p>
            <w:pPr>
              <w:pStyle w:val="42"/>
              <w:adjustRightInd w:val="0"/>
              <w:textAlignment w:val="baseline"/>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炭黑处理处置率/%</w:t>
            </w:r>
          </w:p>
        </w:tc>
        <w:tc>
          <w:tcPr>
            <w:tcW w:w="3402" w:type="dxa"/>
            <w:gridSpan w:val="3"/>
            <w:vAlign w:val="center"/>
          </w:tcPr>
          <w:p>
            <w:pPr>
              <w:pStyle w:val="42"/>
              <w:adjustRightInd w:val="0"/>
              <w:textAlignment w:val="baseline"/>
              <w:rPr>
                <w:sz w:val="18"/>
                <w:szCs w:val="18"/>
              </w:rPr>
            </w:pPr>
            <w:r>
              <w:rPr>
                <w:rFonts w:hint="eastAsia"/>
                <w:sz w:val="18"/>
                <w:szCs w:val="18"/>
              </w:rPr>
              <w:t>100</w:t>
            </w:r>
          </w:p>
        </w:tc>
        <w:tc>
          <w:tcPr>
            <w:tcW w:w="1751" w:type="dxa"/>
            <w:vAlign w:val="center"/>
          </w:tcPr>
          <w:p>
            <w:pPr>
              <w:pStyle w:val="42"/>
              <w:adjustRightInd w:val="0"/>
              <w:textAlignment w:val="baseline"/>
              <w:rPr>
                <w:sz w:val="18"/>
                <w:szCs w:val="18"/>
              </w:rPr>
            </w:pPr>
            <w:r>
              <w:rPr>
                <w:rFonts w:hint="eastAsia"/>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贵金属废催化剂处理处置率/%</w:t>
            </w:r>
          </w:p>
        </w:tc>
        <w:tc>
          <w:tcPr>
            <w:tcW w:w="3402" w:type="dxa"/>
            <w:gridSpan w:val="3"/>
            <w:vAlign w:val="center"/>
          </w:tcPr>
          <w:p>
            <w:pPr>
              <w:pStyle w:val="42"/>
              <w:adjustRightInd w:val="0"/>
              <w:textAlignment w:val="baseline"/>
              <w:rPr>
                <w:sz w:val="18"/>
                <w:szCs w:val="18"/>
              </w:rPr>
            </w:pPr>
            <w:r>
              <w:rPr>
                <w:rFonts w:hint="eastAsia"/>
                <w:sz w:val="18"/>
                <w:szCs w:val="18"/>
              </w:rPr>
              <w:t>100</w:t>
            </w:r>
          </w:p>
        </w:tc>
        <w:tc>
          <w:tcPr>
            <w:tcW w:w="1751" w:type="dxa"/>
            <w:vAlign w:val="center"/>
          </w:tcPr>
          <w:p>
            <w:pPr>
              <w:pStyle w:val="42"/>
              <w:adjustRightInd w:val="0"/>
              <w:textAlignment w:val="baseline"/>
              <w:rPr>
                <w:sz w:val="18"/>
                <w:szCs w:val="18"/>
              </w:rPr>
            </w:pPr>
            <w:r>
              <w:rPr>
                <w:rFonts w:hint="eastAsia"/>
                <w:sz w:val="18"/>
                <w:szCs w:val="18"/>
              </w:rPr>
              <w:t>100%</w:t>
            </w:r>
          </w:p>
        </w:tc>
      </w:tr>
    </w:tbl>
    <w:p>
      <w:pPr>
        <w:ind w:firstLine="480"/>
      </w:pPr>
      <w:r>
        <w:rPr>
          <w:rFonts w:hint="eastAsia"/>
        </w:rPr>
        <w:t>由上表3.7-2可知，拟建项目废物回收处理满足《清洁生产标准 氮肥制造业》（HJ/T188-2006）清洁生产水平一级指标要求。</w:t>
      </w:r>
    </w:p>
    <w:p>
      <w:pPr>
        <w:pStyle w:val="4"/>
        <w:spacing w:before="156" w:after="156"/>
      </w:pPr>
      <w:bookmarkStart w:id="91" w:name="_Toc84844263"/>
      <w:r>
        <w:rPr>
          <w:rFonts w:hint="eastAsia"/>
        </w:rPr>
        <w:t>3.7.3资源能源利用指标</w:t>
      </w:r>
      <w:bookmarkEnd w:id="91"/>
    </w:p>
    <w:p>
      <w:pPr>
        <w:ind w:firstLine="480"/>
      </w:pPr>
      <w:r>
        <w:rPr>
          <w:rFonts w:hint="eastAsia"/>
        </w:rPr>
        <w:t>拟建项目资源能源利用与《清洁生产标准 氮肥制造业》（HJ/T188-2006）对照情况详见下表3.7-3。</w:t>
      </w:r>
    </w:p>
    <w:p>
      <w:pPr>
        <w:pStyle w:val="41"/>
      </w:pPr>
      <w:r>
        <w:rPr>
          <w:rFonts w:hint="eastAsia"/>
        </w:rPr>
        <w:t>表3.7-3 资源能源利用情况一览表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992"/>
        <w:gridCol w:w="1134"/>
        <w:gridCol w:w="1276"/>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指标</w:t>
            </w:r>
          </w:p>
        </w:tc>
        <w:tc>
          <w:tcPr>
            <w:tcW w:w="992" w:type="dxa"/>
            <w:vAlign w:val="center"/>
          </w:tcPr>
          <w:p>
            <w:pPr>
              <w:pStyle w:val="42"/>
              <w:adjustRightInd w:val="0"/>
              <w:textAlignment w:val="baseline"/>
              <w:rPr>
                <w:sz w:val="18"/>
                <w:szCs w:val="18"/>
              </w:rPr>
            </w:pPr>
            <w:r>
              <w:rPr>
                <w:rFonts w:hint="eastAsia"/>
                <w:sz w:val="18"/>
                <w:szCs w:val="18"/>
              </w:rPr>
              <w:t>一级</w:t>
            </w:r>
          </w:p>
        </w:tc>
        <w:tc>
          <w:tcPr>
            <w:tcW w:w="1134" w:type="dxa"/>
            <w:vAlign w:val="center"/>
          </w:tcPr>
          <w:p>
            <w:pPr>
              <w:pStyle w:val="42"/>
              <w:adjustRightInd w:val="0"/>
              <w:textAlignment w:val="baseline"/>
              <w:rPr>
                <w:sz w:val="18"/>
                <w:szCs w:val="18"/>
              </w:rPr>
            </w:pPr>
            <w:r>
              <w:rPr>
                <w:rFonts w:hint="eastAsia"/>
                <w:sz w:val="18"/>
                <w:szCs w:val="18"/>
              </w:rPr>
              <w:t>二级</w:t>
            </w:r>
          </w:p>
        </w:tc>
        <w:tc>
          <w:tcPr>
            <w:tcW w:w="1276" w:type="dxa"/>
            <w:vAlign w:val="center"/>
          </w:tcPr>
          <w:p>
            <w:pPr>
              <w:pStyle w:val="42"/>
              <w:adjustRightInd w:val="0"/>
              <w:textAlignment w:val="baseline"/>
              <w:rPr>
                <w:sz w:val="18"/>
                <w:szCs w:val="18"/>
              </w:rPr>
            </w:pPr>
            <w:r>
              <w:rPr>
                <w:rFonts w:hint="eastAsia"/>
                <w:sz w:val="18"/>
                <w:szCs w:val="18"/>
              </w:rPr>
              <w:t>三级</w:t>
            </w:r>
          </w:p>
        </w:tc>
        <w:tc>
          <w:tcPr>
            <w:tcW w:w="1751" w:type="dxa"/>
            <w:vAlign w:val="center"/>
          </w:tcPr>
          <w:p>
            <w:pPr>
              <w:pStyle w:val="42"/>
              <w:adjustRightInd w:val="0"/>
              <w:textAlignment w:val="baseline"/>
              <w:rPr>
                <w:sz w:val="18"/>
                <w:szCs w:val="18"/>
              </w:rPr>
            </w:pPr>
            <w:r>
              <w:rPr>
                <w:rFonts w:hint="eastAsia"/>
                <w:sz w:val="18"/>
                <w:szCs w:val="18"/>
              </w:rPr>
              <w:t>拟建项目情况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综合能耗/（GJ/t氨）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38.0</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48.0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53.0</w:t>
            </w:r>
          </w:p>
        </w:tc>
        <w:tc>
          <w:tcPr>
            <w:tcW w:w="1751" w:type="dxa"/>
            <w:vAlign w:val="center"/>
          </w:tcPr>
          <w:p>
            <w:pPr>
              <w:pStyle w:val="42"/>
              <w:adjustRightInd w:val="0"/>
              <w:textAlignment w:val="baseline"/>
              <w:rPr>
                <w:sz w:val="18"/>
                <w:szCs w:val="18"/>
              </w:rPr>
            </w:pPr>
            <w:r>
              <w:rPr>
                <w:rFonts w:hint="eastAsia"/>
                <w:sz w:val="18"/>
                <w:szCs w:val="18"/>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新鲜水用量/（t/t氨）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20.0</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40.0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60.0</w:t>
            </w:r>
          </w:p>
        </w:tc>
        <w:tc>
          <w:tcPr>
            <w:tcW w:w="1751" w:type="dxa"/>
            <w:vAlign w:val="center"/>
          </w:tcPr>
          <w:p>
            <w:pPr>
              <w:pStyle w:val="42"/>
              <w:adjustRightInd w:val="0"/>
              <w:textAlignment w:val="baseline"/>
              <w:rPr>
                <w:sz w:val="18"/>
                <w:szCs w:val="18"/>
              </w:rPr>
            </w:pPr>
            <w:r>
              <w:rPr>
                <w:rFonts w:hint="eastAsia"/>
                <w:sz w:val="18"/>
                <w:szCs w:val="18"/>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尿素生产氨消耗量/（kg/t尿素）</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575.0</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590.0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610.0</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氨利用率/%</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98</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96</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93</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vAlign w:val="center"/>
          </w:tcPr>
          <w:p>
            <w:pPr>
              <w:pStyle w:val="42"/>
              <w:adjustRightInd w:val="0"/>
              <w:textAlignment w:val="baseline"/>
              <w:rPr>
                <w:sz w:val="18"/>
                <w:szCs w:val="18"/>
              </w:rPr>
            </w:pPr>
            <w:r>
              <w:rPr>
                <w:rFonts w:hint="eastAsia"/>
                <w:sz w:val="18"/>
                <w:szCs w:val="18"/>
              </w:rPr>
              <w:t>水循环利用率</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95</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90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85</w:t>
            </w:r>
          </w:p>
        </w:tc>
        <w:tc>
          <w:tcPr>
            <w:tcW w:w="1751" w:type="dxa"/>
            <w:vAlign w:val="center"/>
          </w:tcPr>
          <w:p>
            <w:pPr>
              <w:pStyle w:val="42"/>
              <w:adjustRightInd w:val="0"/>
              <w:textAlignment w:val="baseline"/>
              <w:rPr>
                <w:sz w:val="18"/>
                <w:szCs w:val="18"/>
              </w:rPr>
            </w:pPr>
            <w:r>
              <w:rPr>
                <w:rFonts w:hint="eastAsia"/>
                <w:sz w:val="18"/>
                <w:szCs w:val="18"/>
              </w:rPr>
              <w:t>92.72%</w:t>
            </w:r>
          </w:p>
        </w:tc>
      </w:tr>
    </w:tbl>
    <w:p>
      <w:pPr>
        <w:ind w:firstLine="480"/>
      </w:pPr>
      <w:r>
        <w:rPr>
          <w:rFonts w:hint="eastAsia"/>
        </w:rPr>
        <w:t>由上表3.7-3可知，拟建项目水循环利用率满足清洁生产水平二级指标要求；综合能耗和新鲜水用量满足清洁生产水平一级指标要求。</w:t>
      </w:r>
    </w:p>
    <w:p>
      <w:pPr>
        <w:pStyle w:val="4"/>
        <w:spacing w:before="156" w:after="156"/>
      </w:pPr>
      <w:bookmarkStart w:id="92" w:name="_Toc84844264"/>
      <w:r>
        <w:rPr>
          <w:rFonts w:hint="eastAsia"/>
        </w:rPr>
        <w:t>3.7.4污染物产生指标</w:t>
      </w:r>
      <w:bookmarkEnd w:id="92"/>
    </w:p>
    <w:p>
      <w:pPr>
        <w:ind w:firstLine="480"/>
      </w:pPr>
      <w:r>
        <w:rPr>
          <w:rFonts w:hint="eastAsia"/>
        </w:rPr>
        <w:t>拟建项目污染物产生与《清洁生产标准 氮肥制造业》（HJ/T188-2006）对照情况详见下表3.7-4。</w:t>
      </w:r>
    </w:p>
    <w:p>
      <w:pPr>
        <w:pStyle w:val="41"/>
      </w:pPr>
      <w:r>
        <w:rPr>
          <w:rFonts w:hint="eastAsia"/>
        </w:rPr>
        <w:t>表3.7-4 污染物产生情况一览表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694"/>
        <w:gridCol w:w="992"/>
        <w:gridCol w:w="1134"/>
        <w:gridCol w:w="1276"/>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vAlign w:val="center"/>
          </w:tcPr>
          <w:p>
            <w:pPr>
              <w:pStyle w:val="42"/>
              <w:adjustRightInd w:val="0"/>
              <w:textAlignment w:val="baseline"/>
              <w:rPr>
                <w:sz w:val="18"/>
                <w:szCs w:val="18"/>
              </w:rPr>
            </w:pPr>
            <w:r>
              <w:rPr>
                <w:rFonts w:hint="eastAsia"/>
                <w:sz w:val="18"/>
                <w:szCs w:val="18"/>
              </w:rPr>
              <w:t>指标</w:t>
            </w:r>
          </w:p>
        </w:tc>
        <w:tc>
          <w:tcPr>
            <w:tcW w:w="992" w:type="dxa"/>
            <w:vAlign w:val="center"/>
          </w:tcPr>
          <w:p>
            <w:pPr>
              <w:pStyle w:val="42"/>
              <w:adjustRightInd w:val="0"/>
              <w:textAlignment w:val="baseline"/>
              <w:rPr>
                <w:sz w:val="18"/>
                <w:szCs w:val="18"/>
              </w:rPr>
            </w:pPr>
            <w:r>
              <w:rPr>
                <w:rFonts w:hint="eastAsia"/>
                <w:sz w:val="18"/>
                <w:szCs w:val="18"/>
              </w:rPr>
              <w:t>一级</w:t>
            </w:r>
          </w:p>
        </w:tc>
        <w:tc>
          <w:tcPr>
            <w:tcW w:w="1134" w:type="dxa"/>
            <w:vAlign w:val="center"/>
          </w:tcPr>
          <w:p>
            <w:pPr>
              <w:pStyle w:val="42"/>
              <w:adjustRightInd w:val="0"/>
              <w:textAlignment w:val="baseline"/>
              <w:rPr>
                <w:sz w:val="18"/>
                <w:szCs w:val="18"/>
              </w:rPr>
            </w:pPr>
            <w:r>
              <w:rPr>
                <w:rFonts w:hint="eastAsia"/>
                <w:sz w:val="18"/>
                <w:szCs w:val="18"/>
              </w:rPr>
              <w:t>二级</w:t>
            </w:r>
          </w:p>
        </w:tc>
        <w:tc>
          <w:tcPr>
            <w:tcW w:w="1276" w:type="dxa"/>
            <w:vAlign w:val="center"/>
          </w:tcPr>
          <w:p>
            <w:pPr>
              <w:pStyle w:val="42"/>
              <w:adjustRightInd w:val="0"/>
              <w:textAlignment w:val="baseline"/>
              <w:rPr>
                <w:sz w:val="18"/>
                <w:szCs w:val="18"/>
              </w:rPr>
            </w:pPr>
            <w:r>
              <w:rPr>
                <w:rFonts w:hint="eastAsia"/>
                <w:sz w:val="18"/>
                <w:szCs w:val="18"/>
              </w:rPr>
              <w:t>三级</w:t>
            </w:r>
          </w:p>
        </w:tc>
        <w:tc>
          <w:tcPr>
            <w:tcW w:w="1751" w:type="dxa"/>
            <w:vAlign w:val="center"/>
          </w:tcPr>
          <w:p>
            <w:pPr>
              <w:pStyle w:val="42"/>
              <w:adjustRightInd w:val="0"/>
              <w:textAlignment w:val="baseline"/>
              <w:rPr>
                <w:sz w:val="18"/>
                <w:szCs w:val="18"/>
              </w:rPr>
            </w:pPr>
            <w:r>
              <w:rPr>
                <w:rFonts w:hint="eastAsia"/>
                <w:sz w:val="18"/>
                <w:szCs w:val="18"/>
              </w:rPr>
              <w:t>拟建项目情况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废水</w:t>
            </w:r>
          </w:p>
        </w:tc>
        <w:tc>
          <w:tcPr>
            <w:tcW w:w="2694" w:type="dxa"/>
            <w:vAlign w:val="center"/>
          </w:tcPr>
          <w:p>
            <w:pPr>
              <w:pStyle w:val="42"/>
              <w:adjustRightInd w:val="0"/>
              <w:textAlignment w:val="baseline"/>
              <w:rPr>
                <w:sz w:val="18"/>
                <w:szCs w:val="18"/>
              </w:rPr>
            </w:pPr>
            <w:r>
              <w:rPr>
                <w:rFonts w:hint="eastAsia"/>
                <w:sz w:val="18"/>
                <w:szCs w:val="18"/>
              </w:rPr>
              <w:t>废水量/（m</w:t>
            </w:r>
            <w:r>
              <w:rPr>
                <w:rFonts w:hint="eastAsia"/>
                <w:sz w:val="18"/>
                <w:szCs w:val="18"/>
                <w:vertAlign w:val="superscript"/>
              </w:rPr>
              <w:t>3</w:t>
            </w:r>
            <w:r>
              <w:rPr>
                <w:rFonts w:hint="eastAsia"/>
                <w:sz w:val="18"/>
                <w:szCs w:val="18"/>
              </w:rPr>
              <w:t>/t氨）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10.0</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30.0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50.0</w:t>
            </w:r>
          </w:p>
        </w:tc>
        <w:tc>
          <w:tcPr>
            <w:tcW w:w="1751" w:type="dxa"/>
            <w:vAlign w:val="center"/>
          </w:tcPr>
          <w:p>
            <w:pPr>
              <w:pStyle w:val="42"/>
              <w:adjustRightInd w:val="0"/>
              <w:textAlignment w:val="baseline"/>
              <w:rPr>
                <w:sz w:val="18"/>
                <w:szCs w:val="18"/>
              </w:rPr>
            </w:pPr>
            <w:r>
              <w:rPr>
                <w:rFonts w:hint="eastAsia"/>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废水中氨氮/（kg/t氨）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0.6</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3.6</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7.5</w:t>
            </w:r>
          </w:p>
        </w:tc>
        <w:tc>
          <w:tcPr>
            <w:tcW w:w="1751" w:type="dxa"/>
            <w:vAlign w:val="center"/>
          </w:tcPr>
          <w:p>
            <w:pPr>
              <w:pStyle w:val="42"/>
              <w:adjustRightInd w:val="0"/>
              <w:textAlignment w:val="baseline"/>
              <w:rPr>
                <w:sz w:val="18"/>
                <w:szCs w:val="18"/>
              </w:rPr>
            </w:pPr>
            <w:r>
              <w:rPr>
                <w:rFonts w:hint="eastAsia"/>
                <w:sz w:val="18"/>
                <w:szCs w:val="18"/>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废水中COD/（kg/t氨）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1.5</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6.0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14</w:t>
            </w:r>
          </w:p>
        </w:tc>
        <w:tc>
          <w:tcPr>
            <w:tcW w:w="1751" w:type="dxa"/>
            <w:vAlign w:val="center"/>
          </w:tcPr>
          <w:p>
            <w:pPr>
              <w:pStyle w:val="42"/>
              <w:adjustRightInd w:val="0"/>
              <w:textAlignment w:val="baseline"/>
              <w:rPr>
                <w:sz w:val="18"/>
                <w:szCs w:val="18"/>
              </w:rPr>
            </w:pPr>
            <w:r>
              <w:rPr>
                <w:rFonts w:hint="eastAsia"/>
                <w:sz w:val="18"/>
                <w:szCs w:val="18"/>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废水中氰化物/（kg/t氨）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0.003</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0.01</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0.05</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废水中悬浮物/（kg/t氨）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0.7</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3.0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10</w:t>
            </w:r>
          </w:p>
        </w:tc>
        <w:tc>
          <w:tcPr>
            <w:tcW w:w="1751" w:type="dxa"/>
            <w:vAlign w:val="center"/>
          </w:tcPr>
          <w:p>
            <w:pPr>
              <w:pStyle w:val="42"/>
              <w:adjustRightInd w:val="0"/>
              <w:textAlignment w:val="baseline"/>
              <w:rPr>
                <w:sz w:val="18"/>
                <w:szCs w:val="18"/>
              </w:rPr>
            </w:pPr>
            <w:r>
              <w:rPr>
                <w:rFonts w:hint="eastAsia"/>
                <w:sz w:val="18"/>
                <w:szCs w:val="18"/>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废水中石油类/（kg/t氨）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0.1</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0.2</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0.5</w:t>
            </w:r>
          </w:p>
        </w:tc>
        <w:tc>
          <w:tcPr>
            <w:tcW w:w="1751" w:type="dxa"/>
            <w:vAlign w:val="center"/>
          </w:tcPr>
          <w:p>
            <w:pPr>
              <w:pStyle w:val="42"/>
              <w:adjustRightInd w:val="0"/>
              <w:textAlignment w:val="baseline"/>
              <w:rPr>
                <w:sz w:val="18"/>
                <w:szCs w:val="18"/>
              </w:rPr>
            </w:pPr>
            <w:r>
              <w:rPr>
                <w:rFonts w:hint="eastAsia"/>
                <w:sz w:val="18"/>
                <w:szCs w:val="18"/>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废水中挥发酚/（kg/t氨）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0.002</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0.003</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0.01</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废水中硫化物/（kg/t氨）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0.01</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0.02</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0.05</w:t>
            </w:r>
          </w:p>
        </w:tc>
        <w:tc>
          <w:tcPr>
            <w:tcW w:w="1751" w:type="dxa"/>
            <w:vAlign w:val="center"/>
          </w:tcPr>
          <w:p>
            <w:pPr>
              <w:pStyle w:val="42"/>
              <w:adjustRightInd w:val="0"/>
              <w:textAlignment w:val="baseline"/>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废水中pH</w:t>
            </w:r>
          </w:p>
        </w:tc>
        <w:tc>
          <w:tcPr>
            <w:tcW w:w="3402" w:type="dxa"/>
            <w:gridSpan w:val="3"/>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6；</w:t>
            </w:r>
            <w:r>
              <w:rPr>
                <w:rFonts w:hint="eastAsia" w:ascii="宋体" w:hAnsi="宋体"/>
                <w:sz w:val="18"/>
                <w:szCs w:val="18"/>
              </w:rPr>
              <w:t>≤</w:t>
            </w:r>
            <w:r>
              <w:rPr>
                <w:rFonts w:hint="eastAsia"/>
                <w:sz w:val="18"/>
                <w:szCs w:val="18"/>
              </w:rPr>
              <w:t>9</w:t>
            </w:r>
          </w:p>
        </w:tc>
        <w:tc>
          <w:tcPr>
            <w:tcW w:w="1751"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6；</w:t>
            </w:r>
            <w:r>
              <w:rPr>
                <w:rFonts w:hint="eastAsia" w:ascii="宋体" w:hAnsi="宋体"/>
                <w:sz w:val="18"/>
                <w:szCs w:val="18"/>
              </w:rPr>
              <w:t>≤</w:t>
            </w:r>
            <w:r>
              <w:rPr>
                <w:rFonts w:hint="eastAsia"/>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pStyle w:val="42"/>
              <w:adjustRightInd w:val="0"/>
              <w:textAlignment w:val="baseline"/>
              <w:rPr>
                <w:sz w:val="18"/>
                <w:szCs w:val="18"/>
              </w:rPr>
            </w:pPr>
            <w:r>
              <w:rPr>
                <w:rFonts w:hint="eastAsia"/>
                <w:sz w:val="18"/>
                <w:szCs w:val="18"/>
              </w:rPr>
              <w:t>废气</w:t>
            </w:r>
          </w:p>
        </w:tc>
        <w:tc>
          <w:tcPr>
            <w:tcW w:w="2694" w:type="dxa"/>
            <w:vAlign w:val="center"/>
          </w:tcPr>
          <w:p>
            <w:pPr>
              <w:pStyle w:val="42"/>
              <w:adjustRightInd w:val="0"/>
              <w:textAlignment w:val="baseline"/>
              <w:rPr>
                <w:sz w:val="18"/>
                <w:szCs w:val="18"/>
              </w:rPr>
            </w:pPr>
            <w:r>
              <w:rPr>
                <w:rFonts w:hint="eastAsia"/>
                <w:sz w:val="18"/>
                <w:szCs w:val="18"/>
              </w:rPr>
              <w:t>废气含氨量/（kg/t氨）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5</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15</w:t>
            </w:r>
          </w:p>
        </w:tc>
        <w:tc>
          <w:tcPr>
            <w:tcW w:w="1751" w:type="dxa"/>
            <w:vAlign w:val="center"/>
          </w:tcPr>
          <w:p>
            <w:pPr>
              <w:pStyle w:val="42"/>
              <w:adjustRightInd w:val="0"/>
              <w:textAlignment w:val="baseline"/>
              <w:rPr>
                <w:sz w:val="18"/>
                <w:szCs w:val="18"/>
              </w:rPr>
            </w:pPr>
            <w:r>
              <w:rPr>
                <w:rFonts w:hint="eastAsia"/>
                <w:sz w:val="18"/>
                <w:szCs w:val="18"/>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pPr>
              <w:pStyle w:val="42"/>
              <w:adjustRightInd w:val="0"/>
              <w:textAlignment w:val="baseline"/>
              <w:rPr>
                <w:sz w:val="18"/>
                <w:szCs w:val="18"/>
              </w:rPr>
            </w:pPr>
          </w:p>
        </w:tc>
        <w:tc>
          <w:tcPr>
            <w:tcW w:w="2694" w:type="dxa"/>
            <w:vAlign w:val="center"/>
          </w:tcPr>
          <w:p>
            <w:pPr>
              <w:pStyle w:val="42"/>
              <w:adjustRightInd w:val="0"/>
              <w:textAlignment w:val="baseline"/>
              <w:rPr>
                <w:sz w:val="18"/>
                <w:szCs w:val="18"/>
              </w:rPr>
            </w:pPr>
            <w:r>
              <w:rPr>
                <w:rFonts w:hint="eastAsia"/>
                <w:sz w:val="18"/>
                <w:szCs w:val="18"/>
              </w:rPr>
              <w:t>颗粒物/（kg/t氨）</w:t>
            </w:r>
          </w:p>
        </w:tc>
        <w:tc>
          <w:tcPr>
            <w:tcW w:w="992"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0.7</w:t>
            </w:r>
          </w:p>
        </w:tc>
        <w:tc>
          <w:tcPr>
            <w:tcW w:w="1134"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1.0</w:t>
            </w:r>
          </w:p>
        </w:tc>
        <w:tc>
          <w:tcPr>
            <w:tcW w:w="1276" w:type="dxa"/>
            <w:vAlign w:val="center"/>
          </w:tcPr>
          <w:p>
            <w:pPr>
              <w:pStyle w:val="42"/>
              <w:adjustRightInd w:val="0"/>
              <w:textAlignment w:val="baseline"/>
              <w:rPr>
                <w:sz w:val="18"/>
                <w:szCs w:val="18"/>
              </w:rPr>
            </w:pPr>
            <w:r>
              <w:rPr>
                <w:rFonts w:hint="eastAsia" w:ascii="宋体" w:hAnsi="宋体"/>
                <w:sz w:val="18"/>
                <w:szCs w:val="18"/>
              </w:rPr>
              <w:t>≤</w:t>
            </w:r>
            <w:r>
              <w:rPr>
                <w:rFonts w:hint="eastAsia"/>
                <w:sz w:val="18"/>
                <w:szCs w:val="18"/>
              </w:rPr>
              <w:t>1.5</w:t>
            </w:r>
          </w:p>
        </w:tc>
        <w:tc>
          <w:tcPr>
            <w:tcW w:w="1751" w:type="dxa"/>
            <w:vAlign w:val="center"/>
          </w:tcPr>
          <w:p>
            <w:pPr>
              <w:pStyle w:val="42"/>
              <w:adjustRightInd w:val="0"/>
              <w:textAlignment w:val="baseline"/>
              <w:rPr>
                <w:sz w:val="18"/>
                <w:szCs w:val="18"/>
              </w:rPr>
            </w:pPr>
            <w:r>
              <w:rPr>
                <w:rFonts w:hint="eastAsia"/>
                <w:sz w:val="18"/>
                <w:szCs w:val="18"/>
              </w:rPr>
              <w:t>0.069</w:t>
            </w:r>
          </w:p>
        </w:tc>
      </w:tr>
    </w:tbl>
    <w:p>
      <w:pPr>
        <w:ind w:firstLine="480"/>
      </w:pPr>
      <w:r>
        <w:rPr>
          <w:rFonts w:hint="eastAsia"/>
        </w:rPr>
        <w:t>由上表3.7-4可知，拟建项目污染物产生满足清洁生水平一级产指标要求。</w:t>
      </w:r>
    </w:p>
    <w:p>
      <w:pPr>
        <w:pStyle w:val="4"/>
        <w:spacing w:before="156" w:after="156"/>
      </w:pPr>
      <w:bookmarkStart w:id="93" w:name="_Toc84844265"/>
      <w:r>
        <w:rPr>
          <w:rFonts w:hint="eastAsia"/>
        </w:rPr>
        <w:t>3.7.5环境管理要求</w:t>
      </w:r>
      <w:bookmarkEnd w:id="93"/>
    </w:p>
    <w:p>
      <w:pPr>
        <w:ind w:firstLine="480"/>
      </w:pPr>
      <w:r>
        <w:rPr>
          <w:rFonts w:hint="eastAsia"/>
        </w:rPr>
        <w:t>拟建项目环境管理与《清洁生产标准 氮肥制造业》（HJ/T188-2006）对照情况详见下表3.7-5。</w:t>
      </w:r>
    </w:p>
    <w:p>
      <w:pPr>
        <w:pStyle w:val="41"/>
      </w:pPr>
      <w:r>
        <w:rPr>
          <w:rFonts w:hint="eastAsia"/>
        </w:rPr>
        <w:t>表3.7-5 环境管理情况一览表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1276"/>
        <w:gridCol w:w="1276"/>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指标</w:t>
            </w:r>
          </w:p>
        </w:tc>
        <w:tc>
          <w:tcPr>
            <w:tcW w:w="2551" w:type="dxa"/>
            <w:vAlign w:val="center"/>
          </w:tcPr>
          <w:p>
            <w:pPr>
              <w:pStyle w:val="42"/>
              <w:adjustRightInd w:val="0"/>
              <w:textAlignment w:val="baseline"/>
              <w:rPr>
                <w:sz w:val="18"/>
                <w:szCs w:val="18"/>
              </w:rPr>
            </w:pPr>
            <w:r>
              <w:rPr>
                <w:rFonts w:hint="eastAsia"/>
                <w:sz w:val="18"/>
                <w:szCs w:val="18"/>
              </w:rPr>
              <w:t>一级</w:t>
            </w:r>
          </w:p>
        </w:tc>
        <w:tc>
          <w:tcPr>
            <w:tcW w:w="1276" w:type="dxa"/>
            <w:vAlign w:val="center"/>
          </w:tcPr>
          <w:p>
            <w:pPr>
              <w:pStyle w:val="42"/>
              <w:adjustRightInd w:val="0"/>
              <w:textAlignment w:val="baseline"/>
              <w:rPr>
                <w:sz w:val="18"/>
                <w:szCs w:val="18"/>
              </w:rPr>
            </w:pPr>
            <w:r>
              <w:rPr>
                <w:rFonts w:hint="eastAsia"/>
                <w:sz w:val="18"/>
                <w:szCs w:val="18"/>
              </w:rPr>
              <w:t>二级</w:t>
            </w:r>
          </w:p>
        </w:tc>
        <w:tc>
          <w:tcPr>
            <w:tcW w:w="1276" w:type="dxa"/>
            <w:vAlign w:val="center"/>
          </w:tcPr>
          <w:p>
            <w:pPr>
              <w:pStyle w:val="42"/>
              <w:adjustRightInd w:val="0"/>
              <w:textAlignment w:val="baseline"/>
              <w:rPr>
                <w:sz w:val="18"/>
                <w:szCs w:val="18"/>
              </w:rPr>
            </w:pPr>
            <w:r>
              <w:rPr>
                <w:rFonts w:hint="eastAsia"/>
                <w:sz w:val="18"/>
                <w:szCs w:val="18"/>
              </w:rPr>
              <w:t>三级</w:t>
            </w:r>
          </w:p>
        </w:tc>
        <w:tc>
          <w:tcPr>
            <w:tcW w:w="2460" w:type="dxa"/>
            <w:vAlign w:val="center"/>
          </w:tcPr>
          <w:p>
            <w:pPr>
              <w:pStyle w:val="42"/>
              <w:adjustRightInd w:val="0"/>
              <w:textAlignment w:val="baseline"/>
              <w:rPr>
                <w:sz w:val="18"/>
                <w:szCs w:val="18"/>
              </w:rPr>
            </w:pPr>
            <w:r>
              <w:rPr>
                <w:rFonts w:hint="eastAsia"/>
                <w:sz w:val="18"/>
                <w:szCs w:val="18"/>
              </w:rPr>
              <w:t>拟建项目情况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环境法律法规标准</w:t>
            </w:r>
          </w:p>
        </w:tc>
        <w:tc>
          <w:tcPr>
            <w:tcW w:w="5103" w:type="dxa"/>
            <w:gridSpan w:val="3"/>
            <w:vAlign w:val="center"/>
          </w:tcPr>
          <w:p>
            <w:pPr>
              <w:pStyle w:val="42"/>
              <w:adjustRightInd w:val="0"/>
              <w:textAlignment w:val="baseline"/>
              <w:rPr>
                <w:sz w:val="18"/>
                <w:szCs w:val="18"/>
              </w:rPr>
            </w:pPr>
            <w:r>
              <w:rPr>
                <w:rFonts w:hint="eastAsia"/>
                <w:sz w:val="18"/>
                <w:szCs w:val="18"/>
              </w:rPr>
              <w:t>符合国家和地方相关法律、法规，总量控制和排污许可证管理要求；污染物排放达到国家和地方排放标准要求：污水综合排放标准（GB8978），大气污染物综合排放标准（GB16297），环境空气质量标准（GB3095），地表水环境质量标准（GB3838），合成氨工业水污染物排放标准（GB13458）</w:t>
            </w:r>
          </w:p>
        </w:tc>
        <w:tc>
          <w:tcPr>
            <w:tcW w:w="2460" w:type="dxa"/>
            <w:vAlign w:val="center"/>
          </w:tcPr>
          <w:p>
            <w:pPr>
              <w:pStyle w:val="42"/>
              <w:adjustRightInd w:val="0"/>
              <w:textAlignment w:val="baseline"/>
              <w:rPr>
                <w:sz w:val="18"/>
                <w:szCs w:val="18"/>
              </w:rPr>
            </w:pPr>
            <w:r>
              <w:rPr>
                <w:rFonts w:hint="eastAsia"/>
                <w:sz w:val="18"/>
                <w:szCs w:val="18"/>
              </w:rPr>
              <w:t>符合国家和地方相关法律、法规，总量控制和排污许可证管理要求；污染物排放达到国家和地方排放标准要求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组织机构</w:t>
            </w:r>
          </w:p>
        </w:tc>
        <w:tc>
          <w:tcPr>
            <w:tcW w:w="5103" w:type="dxa"/>
            <w:gridSpan w:val="3"/>
            <w:vAlign w:val="center"/>
          </w:tcPr>
          <w:p>
            <w:pPr>
              <w:pStyle w:val="42"/>
              <w:adjustRightInd w:val="0"/>
              <w:textAlignment w:val="baseline"/>
              <w:rPr>
                <w:sz w:val="18"/>
                <w:szCs w:val="18"/>
              </w:rPr>
            </w:pPr>
            <w:r>
              <w:rPr>
                <w:rFonts w:hint="eastAsia"/>
                <w:sz w:val="18"/>
                <w:szCs w:val="18"/>
              </w:rPr>
              <w:t>设专门环境管理机构和专职管理人员</w:t>
            </w:r>
          </w:p>
        </w:tc>
        <w:tc>
          <w:tcPr>
            <w:tcW w:w="2460" w:type="dxa"/>
            <w:vAlign w:val="center"/>
          </w:tcPr>
          <w:p>
            <w:pPr>
              <w:pStyle w:val="42"/>
              <w:adjustRightInd w:val="0"/>
              <w:textAlignment w:val="baseline"/>
              <w:rPr>
                <w:sz w:val="18"/>
                <w:szCs w:val="18"/>
              </w:rPr>
            </w:pPr>
            <w:r>
              <w:rPr>
                <w:rFonts w:hint="eastAsia"/>
                <w:sz w:val="18"/>
                <w:szCs w:val="18"/>
              </w:rPr>
              <w:t>设专门环境管理机构和专职管理人员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环境审核</w:t>
            </w:r>
          </w:p>
        </w:tc>
        <w:tc>
          <w:tcPr>
            <w:tcW w:w="2551" w:type="dxa"/>
            <w:vAlign w:val="center"/>
          </w:tcPr>
          <w:p>
            <w:pPr>
              <w:pStyle w:val="42"/>
              <w:adjustRightInd w:val="0"/>
              <w:textAlignment w:val="baseline"/>
              <w:rPr>
                <w:sz w:val="18"/>
                <w:szCs w:val="18"/>
              </w:rPr>
            </w:pPr>
            <w:r>
              <w:rPr>
                <w:rFonts w:hint="eastAsia"/>
                <w:sz w:val="18"/>
                <w:szCs w:val="18"/>
              </w:rPr>
              <w:t>按照氮肥制造业清洁生产审核指南的要求进行了审核；按照GB24001（或相应的SHE）建立并运行了环境管理体系，环境管理手册、程序文件和作业文件齐备</w:t>
            </w:r>
          </w:p>
        </w:tc>
        <w:tc>
          <w:tcPr>
            <w:tcW w:w="2552" w:type="dxa"/>
            <w:gridSpan w:val="2"/>
            <w:vAlign w:val="center"/>
          </w:tcPr>
          <w:p>
            <w:pPr>
              <w:pStyle w:val="42"/>
              <w:adjustRightInd w:val="0"/>
              <w:textAlignment w:val="baseline"/>
              <w:rPr>
                <w:sz w:val="18"/>
                <w:szCs w:val="18"/>
              </w:rPr>
            </w:pPr>
            <w:r>
              <w:rPr>
                <w:rFonts w:hint="eastAsia"/>
                <w:sz w:val="18"/>
                <w:szCs w:val="18"/>
              </w:rPr>
              <w:t>按照氮肥制造业清洁生产审核指南的要求进行了审核；环境管理制度健全，原始记录及统计数据齐全有效</w:t>
            </w:r>
          </w:p>
        </w:tc>
        <w:tc>
          <w:tcPr>
            <w:tcW w:w="2460" w:type="dxa"/>
            <w:vAlign w:val="center"/>
          </w:tcPr>
          <w:p>
            <w:pPr>
              <w:pStyle w:val="42"/>
              <w:adjustRightInd w:val="0"/>
              <w:textAlignment w:val="baseline"/>
              <w:rPr>
                <w:sz w:val="18"/>
                <w:szCs w:val="18"/>
              </w:rPr>
            </w:pPr>
            <w:r>
              <w:rPr>
                <w:rFonts w:hint="eastAsia"/>
                <w:sz w:val="18"/>
                <w:szCs w:val="18"/>
              </w:rPr>
              <w:t>按照相应的SHE建立并运行了环境管理体系，环境管理手册、程序文件和作业文件齐备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废物处理</w:t>
            </w:r>
          </w:p>
        </w:tc>
        <w:tc>
          <w:tcPr>
            <w:tcW w:w="5103" w:type="dxa"/>
            <w:gridSpan w:val="3"/>
            <w:vAlign w:val="center"/>
          </w:tcPr>
          <w:p>
            <w:pPr>
              <w:pStyle w:val="42"/>
              <w:adjustRightInd w:val="0"/>
              <w:textAlignment w:val="baseline"/>
              <w:rPr>
                <w:sz w:val="18"/>
                <w:szCs w:val="18"/>
              </w:rPr>
            </w:pPr>
            <w:r>
              <w:rPr>
                <w:rFonts w:hint="eastAsia"/>
                <w:sz w:val="18"/>
                <w:szCs w:val="18"/>
              </w:rPr>
              <w:t>用符合国家规定的废物处置方法处置废物；严格执行国家或地方规定的废物转移制度。对危险废物要建立危险废物管理制度，并进行无害化处理。</w:t>
            </w:r>
          </w:p>
        </w:tc>
        <w:tc>
          <w:tcPr>
            <w:tcW w:w="2460" w:type="dxa"/>
            <w:vAlign w:val="center"/>
          </w:tcPr>
          <w:p>
            <w:pPr>
              <w:pStyle w:val="42"/>
              <w:adjustRightInd w:val="0"/>
              <w:textAlignment w:val="baseline"/>
              <w:rPr>
                <w:sz w:val="18"/>
                <w:szCs w:val="18"/>
              </w:rPr>
            </w:pPr>
            <w:r>
              <w:rPr>
                <w:rFonts w:hint="eastAsia"/>
                <w:sz w:val="18"/>
                <w:szCs w:val="18"/>
              </w:rPr>
              <w:t>用符合国家规定的废物处置方法处置废物；严格执行国家或地方规定的废物转移制度。对危险废物要建立危险废物管理制度，并进行无害化处理。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生产过程环境管理</w:t>
            </w:r>
          </w:p>
        </w:tc>
        <w:tc>
          <w:tcPr>
            <w:tcW w:w="2551" w:type="dxa"/>
            <w:vAlign w:val="center"/>
          </w:tcPr>
          <w:p>
            <w:pPr>
              <w:pStyle w:val="42"/>
              <w:adjustRightInd w:val="0"/>
              <w:textAlignment w:val="baseline"/>
              <w:rPr>
                <w:sz w:val="18"/>
                <w:szCs w:val="18"/>
              </w:rPr>
            </w:pPr>
            <w:r>
              <w:rPr>
                <w:rFonts w:hint="eastAsia"/>
                <w:sz w:val="18"/>
                <w:szCs w:val="18"/>
              </w:rPr>
              <w:t>有严格的检验、自动计量和控制措施；无运行故障，设备完好率达99%；所有生产设备有具体的管理制度，并严格执行；所有环节由自动计量仪表，并严格执行定量考核制度；有严格的应急处预案</w:t>
            </w:r>
          </w:p>
        </w:tc>
        <w:tc>
          <w:tcPr>
            <w:tcW w:w="2552" w:type="dxa"/>
            <w:gridSpan w:val="2"/>
            <w:vAlign w:val="center"/>
          </w:tcPr>
          <w:p>
            <w:pPr>
              <w:pStyle w:val="42"/>
              <w:adjustRightInd w:val="0"/>
              <w:textAlignment w:val="baseline"/>
              <w:rPr>
                <w:sz w:val="18"/>
                <w:szCs w:val="18"/>
              </w:rPr>
            </w:pPr>
            <w:r>
              <w:rPr>
                <w:rFonts w:hint="eastAsia"/>
                <w:sz w:val="18"/>
                <w:szCs w:val="18"/>
              </w:rPr>
              <w:t>有严格的检验、计量和控制措施；无运行故障，设备完好率达98%；主要生产设备有具体的管理制度，并严格执行；主要环节由自动计量仪表，并严格执行定量考核制度；有应急处预案</w:t>
            </w:r>
          </w:p>
        </w:tc>
        <w:tc>
          <w:tcPr>
            <w:tcW w:w="2460" w:type="dxa"/>
            <w:vAlign w:val="center"/>
          </w:tcPr>
          <w:p>
            <w:pPr>
              <w:pStyle w:val="42"/>
              <w:adjustRightInd w:val="0"/>
              <w:textAlignment w:val="baseline"/>
              <w:rPr>
                <w:sz w:val="18"/>
                <w:szCs w:val="18"/>
              </w:rPr>
            </w:pPr>
            <w:r>
              <w:rPr>
                <w:rFonts w:hint="eastAsia"/>
                <w:sz w:val="18"/>
                <w:szCs w:val="18"/>
              </w:rPr>
              <w:t>有严格的检验、自动计量和控制措施；无运行故障，设备完好率达99%；所有生产设备有具体的管理制度，并严格执行；所有环节由自动计量仪表，并严格执行定量考核制度；有严格的应急处预案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42"/>
              <w:adjustRightInd w:val="0"/>
              <w:textAlignment w:val="baseline"/>
              <w:rPr>
                <w:sz w:val="18"/>
                <w:szCs w:val="18"/>
              </w:rPr>
            </w:pPr>
            <w:r>
              <w:rPr>
                <w:rFonts w:hint="eastAsia"/>
                <w:sz w:val="18"/>
                <w:szCs w:val="18"/>
              </w:rPr>
              <w:t>相关方环境管理</w:t>
            </w:r>
          </w:p>
        </w:tc>
        <w:tc>
          <w:tcPr>
            <w:tcW w:w="5103" w:type="dxa"/>
            <w:gridSpan w:val="3"/>
            <w:vAlign w:val="center"/>
          </w:tcPr>
          <w:p>
            <w:pPr>
              <w:pStyle w:val="42"/>
              <w:adjustRightInd w:val="0"/>
              <w:textAlignment w:val="baseline"/>
              <w:rPr>
                <w:sz w:val="18"/>
                <w:szCs w:val="18"/>
              </w:rPr>
            </w:pPr>
            <w:r>
              <w:rPr>
                <w:rFonts w:hint="eastAsia"/>
                <w:sz w:val="18"/>
                <w:szCs w:val="18"/>
              </w:rPr>
              <w:t>对原材料供应方、生产协作方、相关服务方等提出管径管理要求</w:t>
            </w:r>
          </w:p>
        </w:tc>
        <w:tc>
          <w:tcPr>
            <w:tcW w:w="2460" w:type="dxa"/>
            <w:vAlign w:val="center"/>
          </w:tcPr>
          <w:p>
            <w:pPr>
              <w:pStyle w:val="42"/>
              <w:adjustRightInd w:val="0"/>
              <w:textAlignment w:val="baseline"/>
              <w:rPr>
                <w:sz w:val="18"/>
                <w:szCs w:val="18"/>
              </w:rPr>
            </w:pPr>
            <w:r>
              <w:rPr>
                <w:rFonts w:hint="eastAsia"/>
                <w:sz w:val="18"/>
                <w:szCs w:val="18"/>
              </w:rPr>
              <w:t>对原材料供应方、生产协作方、相关服务方等提出管径管理要求</w:t>
            </w:r>
          </w:p>
        </w:tc>
      </w:tr>
    </w:tbl>
    <w:p>
      <w:pPr>
        <w:ind w:firstLine="480"/>
      </w:pPr>
      <w:r>
        <w:rPr>
          <w:rFonts w:hint="eastAsia"/>
        </w:rPr>
        <w:t>由上表3.7-5可知，拟建项目环境管理满足清洁生水平一级产指标要求。</w:t>
      </w:r>
    </w:p>
    <w:p>
      <w:pPr>
        <w:pStyle w:val="4"/>
        <w:spacing w:before="156" w:after="156"/>
      </w:pPr>
      <w:bookmarkStart w:id="94" w:name="_Toc84844266"/>
      <w:r>
        <w:rPr>
          <w:rFonts w:hint="eastAsia"/>
        </w:rPr>
        <w:t>3.7.6小结</w:t>
      </w:r>
      <w:bookmarkEnd w:id="94"/>
    </w:p>
    <w:p>
      <w:pPr>
        <w:ind w:firstLine="480"/>
      </w:pPr>
      <w:r>
        <w:rPr>
          <w:rFonts w:hint="eastAsia"/>
        </w:rPr>
        <w:t>综上所述，拟建项目生产工艺与装备、废物回收处理、资源能源利用指标、污染物产生指标（末端处理前）和环境管理均满足《清洁生产标准 氮肥制造业》（HJ/T188-2006）二级指标要求，拟建项目清洁生产水平处于国内清洁生产先进水平。</w:t>
      </w:r>
    </w:p>
    <w:p>
      <w:pPr>
        <w:ind w:firstLine="480"/>
        <w:sectPr>
          <w:headerReference r:id="rId23" w:type="first"/>
          <w:footerReference r:id="rId26" w:type="first"/>
          <w:headerReference r:id="rId21" w:type="default"/>
          <w:footerReference r:id="rId24" w:type="default"/>
          <w:headerReference r:id="rId22" w:type="even"/>
          <w:footerReference r:id="rId25" w:type="even"/>
          <w:pgSz w:w="11906" w:h="16838"/>
          <w:pgMar w:top="1440" w:right="1800" w:bottom="1440" w:left="1800" w:header="851" w:footer="992" w:gutter="0"/>
          <w:cols w:space="425" w:num="1"/>
          <w:docGrid w:type="lines" w:linePitch="312" w:charSpace="0"/>
        </w:sectPr>
      </w:pPr>
    </w:p>
    <w:p>
      <w:pPr>
        <w:pStyle w:val="2"/>
        <w:spacing w:before="156" w:after="156"/>
      </w:pPr>
      <w:bookmarkStart w:id="95" w:name="_Toc84844267"/>
      <w:r>
        <w:rPr>
          <w:rFonts w:hint="eastAsia"/>
        </w:rPr>
        <w:t>4区域环境概况</w:t>
      </w:r>
      <w:bookmarkEnd w:id="95"/>
    </w:p>
    <w:p>
      <w:pPr>
        <w:pStyle w:val="3"/>
        <w:spacing w:before="156" w:after="156"/>
      </w:pPr>
      <w:bookmarkStart w:id="96" w:name="_Toc84844268"/>
      <w:r>
        <w:rPr>
          <w:rFonts w:hint="eastAsia"/>
        </w:rPr>
        <w:t>4.1自然环境</w:t>
      </w:r>
      <w:bookmarkEnd w:id="96"/>
    </w:p>
    <w:p>
      <w:pPr>
        <w:pStyle w:val="4"/>
        <w:spacing w:before="156" w:after="156"/>
      </w:pPr>
      <w:bookmarkStart w:id="97" w:name="_Toc84844269"/>
      <w:r>
        <w:rPr>
          <w:rFonts w:hint="eastAsia"/>
        </w:rPr>
        <w:t>4.1.1地理位置与交通</w:t>
      </w:r>
      <w:bookmarkEnd w:id="97"/>
    </w:p>
    <w:p>
      <w:pPr>
        <w:ind w:firstLine="480"/>
      </w:pPr>
      <w:r>
        <w:rPr>
          <w:rFonts w:hint="eastAsia"/>
        </w:rPr>
        <w:t>拟建项目位于长寿经济技术开发区。园区内已建完善的道路交通网络，交通便利，地势平坦，位置优越。</w:t>
      </w:r>
    </w:p>
    <w:p>
      <w:pPr>
        <w:ind w:firstLine="480"/>
      </w:pPr>
      <w:r>
        <w:rPr>
          <w:rFonts w:hint="eastAsia"/>
        </w:rPr>
        <w:t>重庆市长寿区位于重庆腹心地带，主城区东部，距主城区50km，东经106°49′22″至107°27′33″，北纬29°43′至30°12′30″之间，东西长57.5km，南北宽56.5km，总面积1415.49km</w:t>
      </w:r>
      <w:r>
        <w:rPr>
          <w:rFonts w:hint="eastAsia"/>
          <w:vertAlign w:val="superscript"/>
        </w:rPr>
        <w:t>2</w:t>
      </w:r>
      <w:r>
        <w:rPr>
          <w:rFonts w:hint="eastAsia"/>
        </w:rPr>
        <w:t>。东北毗垫江县，东南临涪陵区，西邻渝北区，北连四川省邻水县，属于三峡库区。</w:t>
      </w:r>
    </w:p>
    <w:p>
      <w:pPr>
        <w:ind w:firstLine="480"/>
      </w:pPr>
      <w:r>
        <w:rPr>
          <w:rFonts w:hint="eastAsia"/>
        </w:rPr>
        <w:t>长寿区区位优势独特，是长江上游和川东地区的交通枢纽，长寿港是进出口集散地，三峡库区蓄水后，长寿港成为重庆市的深水码头，万吨级货轮可直达长寿；渝—涪、渝—万高速公路、渝—怀铁路皆从长寿区境内通过。依托高速公路、国道公路、渝怀铁路和长江航运，已形成了一个各种运输方式相衔接、四通八达、方便快捷、高速经济的综合交通运输体系。</w:t>
      </w:r>
    </w:p>
    <w:p>
      <w:pPr>
        <w:ind w:firstLine="480"/>
      </w:pPr>
      <w:r>
        <w:rPr>
          <w:rFonts w:hint="eastAsia"/>
        </w:rPr>
        <w:t>重庆长寿经济技术开发区位于长寿主城区西部，自西向东沿长江北岸的狭长地块，包括建成区和规划的发展区。区内已建有较为完善的道路交通网络，交通便利，地势平坦，位置优越。</w:t>
      </w:r>
    </w:p>
    <w:p>
      <w:pPr>
        <w:ind w:firstLine="480"/>
      </w:pPr>
      <w:r>
        <w:rPr>
          <w:rFonts w:hint="eastAsia"/>
        </w:rPr>
        <w:t>拟建项目地理位置详见附图1。</w:t>
      </w:r>
    </w:p>
    <w:p>
      <w:pPr>
        <w:pStyle w:val="4"/>
        <w:spacing w:before="156" w:after="156"/>
      </w:pPr>
      <w:bookmarkStart w:id="98" w:name="_Toc84844270"/>
      <w:r>
        <w:rPr>
          <w:rFonts w:hint="eastAsia"/>
        </w:rPr>
        <w:t>4.1.2地形、地貌与地质情况</w:t>
      </w:r>
      <w:bookmarkEnd w:id="98"/>
    </w:p>
    <w:p>
      <w:pPr>
        <w:ind w:firstLine="480"/>
      </w:pPr>
      <w:r>
        <w:rPr>
          <w:rFonts w:hint="eastAsia"/>
        </w:rPr>
        <w:t>重庆长寿经济技术开发区为剥蚀红层丘陵地貌，长江沿岸为河谷地貌，地形坡度角5～35°。园区范围内属低山丘陵地貌，地形破碎，起伏较大。构造上位于长寿复向斜西翼，区内无断层。地层岩性为第四系全新人工填土、冲洪积砂土、卵砾石土、粉土，基岩为中侏罗纪中统沙溪庙组砂泥岩层，场地抗震设防烈度为6 度，适合本工程建设。</w:t>
      </w:r>
    </w:p>
    <w:p>
      <w:pPr>
        <w:ind w:firstLine="480"/>
      </w:pPr>
      <w:r>
        <w:rPr>
          <w:rFonts w:hint="eastAsia"/>
        </w:rPr>
        <w:t>根据长寿经济技术开发区晏家组团进行规划环评时的地质调查资料：调查区未见明显断层破碎带，岩层产状凌乱，调查范围内断层透水性较弱，可视为隔水断层。整体来讲，调查区地质构造相对简单。</w:t>
      </w:r>
    </w:p>
    <w:p>
      <w:pPr>
        <w:ind w:firstLine="480"/>
      </w:pPr>
      <w:r>
        <w:rPr>
          <w:rFonts w:hint="eastAsia"/>
        </w:rPr>
        <w:t>规划区地下水类型有三种：松散岩类孔隙水、基岩裂隙水、碳酸岩类岩溶水，其中碳酸岩类岩溶水主要分布于调查区西北边缘的三叠系中统雷口坡组和下统嘉陵江组灰岩、白云岩地层中，此类地下水距地面标高较高且距离远，同时又处于规划区地下水上游，受规划区影响微小。松散岩类孔隙水、基岩裂隙水分布较广。</w:t>
      </w:r>
    </w:p>
    <w:p>
      <w:pPr>
        <w:ind w:firstLine="480"/>
      </w:pPr>
      <w:r>
        <w:rPr>
          <w:rFonts w:hint="eastAsia"/>
        </w:rPr>
        <w:t>松散岩类孔隙水主要赋存于第四系未胶结或半胶结的松散沉积物中，在丘陵平缓地带粉质粘土基本无水，呈岩土界面的浸润状或散滴状渗出；在人类活动较多地方（晏家街道居民区、凤城街道居民区）及坡脚地带，人工堆填和泥砂岩碎石土、冲积砂土较多，透水性强，地下水埋藏深度不均匀主要接收大气降水及地表水的渗漏补给，水位、水量随季节和地势变化。</w:t>
      </w:r>
    </w:p>
    <w:p>
      <w:pPr>
        <w:ind w:firstLine="480"/>
      </w:pPr>
      <w:r>
        <w:rPr>
          <w:rFonts w:hint="eastAsia"/>
        </w:rPr>
        <w:t>基岩裂隙水可分为风化网状裂隙水和构造裂隙水两个亚类。风化网状裂隙水广泛分布于侏罗系地层中，富水性中等。由于调查区构造相对不发育，基岩裂隙在岩层中所能占有的赋存空间有限，因此基岩富水性相对较差，水量贫乏。</w:t>
      </w:r>
    </w:p>
    <w:p>
      <w:pPr>
        <w:ind w:firstLine="480"/>
      </w:pPr>
      <w:r>
        <w:rPr>
          <w:rFonts w:hint="eastAsia"/>
        </w:rPr>
        <w:t>评价区域内无自然保护区、风景名胜区、文物古迹和珍稀动植物等。</w:t>
      </w:r>
    </w:p>
    <w:p>
      <w:pPr>
        <w:pStyle w:val="4"/>
        <w:spacing w:before="156" w:after="156"/>
      </w:pPr>
      <w:bookmarkStart w:id="99" w:name="_Toc84844271"/>
      <w:r>
        <w:rPr>
          <w:rFonts w:hint="eastAsia"/>
        </w:rPr>
        <w:t>4.1.3 气候与气象</w:t>
      </w:r>
      <w:bookmarkEnd w:id="99"/>
    </w:p>
    <w:p>
      <w:pPr>
        <w:ind w:firstLine="480"/>
      </w:pPr>
      <w:r>
        <w:rPr>
          <w:rFonts w:hint="eastAsia"/>
        </w:rPr>
        <w:t>长寿区属中亚热带湿润季风气候区，具有四季分明、气候温和、冬暖春早、热量丰富、降雨充沛、初夏多雨、盛夏炎热、常伏旱、秋多连绵阴雨、无霜期长、温差大、多雾少日照的特点，绝大部分热带作物均可以生长。年平均气温17.68℃，最高气温20.4℃，最低气温16.7℃；多数年份极端高温40.5℃，极端最低-2.3℃。常年平均降水量1226mm，最高1457.7mm，最低836.5mm，多夜雨。相对湿度79%，夏77%，秋、冬83%。年均暴雨日27 日，年均雾日数57 天，年均日照时数1244.1 小时。年平均风速1.5m/s，全年主导风向NNE 风。灾害性天气突出，多数年份有伏旱、寒潮、冰雹、暴雨袭击。</w:t>
      </w:r>
    </w:p>
    <w:p>
      <w:pPr>
        <w:ind w:firstLine="480"/>
      </w:pPr>
      <w:r>
        <w:rPr>
          <w:rFonts w:hint="eastAsia"/>
        </w:rPr>
        <w:t>项目所在地年平均气温17.5～18.5℃，年降水量1162.7mm。</w:t>
      </w:r>
    </w:p>
    <w:p>
      <w:pPr>
        <w:pStyle w:val="4"/>
        <w:spacing w:before="156" w:after="156"/>
      </w:pPr>
      <w:bookmarkStart w:id="100" w:name="_Toc84844272"/>
      <w:r>
        <w:rPr>
          <w:rFonts w:hint="eastAsia"/>
        </w:rPr>
        <w:t>4.1.4水文</w:t>
      </w:r>
      <w:bookmarkEnd w:id="100"/>
    </w:p>
    <w:p>
      <w:pPr>
        <w:ind w:firstLine="480"/>
      </w:pPr>
      <w:r>
        <w:rPr>
          <w:rFonts w:hint="eastAsia"/>
        </w:rPr>
        <w:t>长江横贯长寿区，由西北面扇沱乡入境，至南面黄草峡出境，境内流长20.9km，境内流域面积1442.65km</w:t>
      </w:r>
      <w:r>
        <w:rPr>
          <w:rFonts w:hint="eastAsia"/>
          <w:vertAlign w:val="superscript"/>
        </w:rPr>
        <w:t>2</w:t>
      </w:r>
      <w:r>
        <w:rPr>
          <w:rFonts w:hint="eastAsia"/>
        </w:rPr>
        <w:t>，成库前多年平均流量11500m</w:t>
      </w:r>
      <w:r>
        <w:rPr>
          <w:rFonts w:hint="eastAsia"/>
          <w:vertAlign w:val="superscript"/>
        </w:rPr>
        <w:t>3</w:t>
      </w:r>
      <w:r>
        <w:rPr>
          <w:rFonts w:hint="eastAsia"/>
        </w:rPr>
        <w:t>/s。</w:t>
      </w:r>
    </w:p>
    <w:p>
      <w:pPr>
        <w:ind w:firstLine="480"/>
      </w:pPr>
      <w:r>
        <w:rPr>
          <w:rFonts w:hint="eastAsia"/>
        </w:rPr>
        <w:t>长江长寿水文站资料表明长江近年最高水位为174.23m，最低水位为142.01m，最大水位差为32.22m。</w:t>
      </w:r>
    </w:p>
    <w:p>
      <w:pPr>
        <w:ind w:firstLine="480"/>
      </w:pPr>
      <w:r>
        <w:rPr>
          <w:rFonts w:hint="eastAsia"/>
        </w:rPr>
        <w:t>园区北面有长江支流羊滩河（又名晏家河），绕园区西北面流入长江，河流长21.8km，流域面积81.65km</w:t>
      </w:r>
      <w:r>
        <w:rPr>
          <w:rFonts w:hint="eastAsia"/>
          <w:vertAlign w:val="superscript"/>
        </w:rPr>
        <w:t>2</w:t>
      </w:r>
      <w:r>
        <w:rPr>
          <w:rFonts w:hint="eastAsia"/>
        </w:rPr>
        <w:t>，水域面积216.33hm</w:t>
      </w:r>
      <w:r>
        <w:rPr>
          <w:rFonts w:hint="eastAsia"/>
          <w:vertAlign w:val="superscript"/>
        </w:rPr>
        <w:t>2</w:t>
      </w:r>
      <w:r>
        <w:rPr>
          <w:rFonts w:hint="eastAsia"/>
        </w:rPr>
        <w:t>，多年平均径流量为1.2m</w:t>
      </w:r>
      <w:r>
        <w:rPr>
          <w:rFonts w:hint="eastAsia"/>
          <w:vertAlign w:val="superscript"/>
        </w:rPr>
        <w:t>3</w:t>
      </w:r>
      <w:r>
        <w:rPr>
          <w:rFonts w:hint="eastAsia"/>
        </w:rPr>
        <w:t>/s，其在园区内流经长度约5km。园区内多有地表水系和冲沟，地表水和本区地下水间均存在紧密的水力联系，互为补给关系，水质和水量也有一定的联系和影响。场地地下水主要来源于大气降水、农田水、生活生产用水排放及沟流水深入补给，局部来源于支流河道的深入补给。项目所在地西北面约1530 米有河泉水库，长1160m，宽60～215m，水域面积约16 万m</w:t>
      </w:r>
      <w:r>
        <w:rPr>
          <w:rFonts w:hint="eastAsia"/>
          <w:vertAlign w:val="superscript"/>
        </w:rPr>
        <w:t>2</w:t>
      </w:r>
      <w:r>
        <w:rPr>
          <w:rFonts w:hint="eastAsia"/>
        </w:rPr>
        <w:t>，估计库容量约为128万m</w:t>
      </w:r>
      <w:r>
        <w:rPr>
          <w:rFonts w:hint="eastAsia"/>
          <w:vertAlign w:val="superscript"/>
        </w:rPr>
        <w:t>3</w:t>
      </w:r>
      <w:r>
        <w:rPr>
          <w:rFonts w:hint="eastAsia"/>
        </w:rPr>
        <w:t>，为小型水库，其功能为农田灌溉、养鱼以及旅游等。</w:t>
      </w:r>
    </w:p>
    <w:p>
      <w:pPr>
        <w:pStyle w:val="4"/>
        <w:spacing w:before="156" w:after="156"/>
      </w:pPr>
      <w:bookmarkStart w:id="101" w:name="_Toc84844273"/>
      <w:r>
        <w:rPr>
          <w:rFonts w:hint="eastAsia"/>
        </w:rPr>
        <w:t>4.1.5地下水</w:t>
      </w:r>
      <w:bookmarkEnd w:id="101"/>
    </w:p>
    <w:p>
      <w:pPr>
        <w:ind w:firstLine="480"/>
      </w:pPr>
      <w:r>
        <w:rPr>
          <w:rFonts w:hint="eastAsia"/>
        </w:rPr>
        <w:t>（1）地质条件</w:t>
      </w:r>
    </w:p>
    <w:p>
      <w:pPr>
        <w:ind w:firstLine="480"/>
      </w:pPr>
      <w:r>
        <w:rPr>
          <w:rFonts w:hint="eastAsia"/>
        </w:rPr>
        <w:t>1）地层岩性：场地主要出露地层为第四系（Q4al、Q4ml、Q4el+dl）、侏罗系（J3p、J2s 、J2xs 、J2x、J1-2z）、三叠系（T3xj），岩性如下：</w:t>
      </w:r>
    </w:p>
    <w:p>
      <w:pPr>
        <w:ind w:firstLine="480"/>
      </w:pPr>
      <w:r>
        <w:rPr>
          <w:rFonts w:hint="eastAsia"/>
        </w:rPr>
        <w:t>①第四系冲积土(Q4al)：棕褐色、黄褐色，岩性以卵石、粉、细砂为主，松散～稍密，稍湿～湿，厚度约10~20m。</w:t>
      </w:r>
    </w:p>
    <w:p>
      <w:pPr>
        <w:ind w:firstLine="480"/>
      </w:pPr>
      <w:r>
        <w:rPr>
          <w:rFonts w:hint="eastAsia"/>
        </w:rPr>
        <w:t>②第四系人工填土（Q4ml），呈棕褐色，灰褐色，黄褐色，紫红色等杂色，主要由砂岩和泥岩块石、碎石及粘性土组成，厚度一般为0.6～2.8m，局部大型建筑深填20m，平均厚度约1.7m。</w:t>
      </w:r>
    </w:p>
    <w:p>
      <w:pPr>
        <w:ind w:firstLine="480"/>
      </w:pPr>
      <w:r>
        <w:rPr>
          <w:rFonts w:hint="eastAsia"/>
        </w:rPr>
        <w:t>③第四系残坡积土（Q4el+dl），黄褐色、灰褐色、棕褐色等。岩性有少量粉土和粉质粘土，呈软塑～可塑。厚度变化大，一般厚度0.30～10.20m，平均厚度2.5m。</w:t>
      </w:r>
    </w:p>
    <w:p>
      <w:pPr>
        <w:ind w:firstLine="480"/>
      </w:pPr>
      <w:r>
        <w:rPr>
          <w:rFonts w:hint="eastAsia"/>
        </w:rPr>
        <w:t>④侏罗系上统蓬莱镇组（J3p），砂岩为灰白色、青灰色厚层~块状中细粒长石石英砂岩；泥岩为紫红色，砂质泥岩，多为夹层。</w:t>
      </w:r>
    </w:p>
    <w:p>
      <w:pPr>
        <w:ind w:firstLine="480"/>
      </w:pPr>
      <w:r>
        <w:rPr>
          <w:rFonts w:hint="eastAsia"/>
        </w:rPr>
        <w:t>⑤侏罗系中统上沙溪庙组（J2s）。泥岩：棕红色、紫红色、暗紫红色局部夹灰绿色。此岩组在调查区内分布广泛。</w:t>
      </w:r>
    </w:p>
    <w:p>
      <w:pPr>
        <w:ind w:firstLine="480"/>
      </w:pPr>
      <w:r>
        <w:rPr>
          <w:rFonts w:hint="eastAsia"/>
        </w:rPr>
        <w:t>⑥侏罗系中统下沙溪庙组（J2xs）。紫红色泥岩、砂质泥岩夹黄灰色岩屑长石砂岩。</w:t>
      </w:r>
    </w:p>
    <w:p>
      <w:pPr>
        <w:ind w:firstLine="480"/>
      </w:pPr>
      <w:r>
        <w:rPr>
          <w:rFonts w:hint="eastAsia"/>
        </w:rPr>
        <w:t>⑦侏罗系中统新田沟组（J2x）。分为杂色钙质泥岩夹透镜状砂岩，质硬；页岩夹薄层介壳灰岩和黄绿色砂质泥岩，长石砂岩。底部石英砂岩或含砾砂岩。</w:t>
      </w:r>
    </w:p>
    <w:p>
      <w:pPr>
        <w:ind w:firstLine="480"/>
      </w:pPr>
      <w:r>
        <w:rPr>
          <w:rFonts w:hint="eastAsia"/>
        </w:rPr>
        <w:t>⑧侏罗系中下统自流井组东岳庙段（J1-2z）。该层上部为灰绿色泥岩偶夹薄层状泥灰岩，中部为黑色页岩夹生物碎屑灰岩，底部含介壳粉砂岩。该层厚度较薄。</w:t>
      </w:r>
    </w:p>
    <w:p>
      <w:pPr>
        <w:ind w:firstLine="480"/>
      </w:pPr>
      <w:r>
        <w:rPr>
          <w:rFonts w:hint="eastAsia"/>
        </w:rPr>
        <w:t>⑨三叠系上统须家河组（T3xj）：黄灰、黄褐、浅灰色厚层~块状岩屑砂岩、长石石英砂岩、含砾岩屑石英砂岩与粉砂岩、炭质页岩夹煤层组成七个韵律，韵律底偶见砾岩透镜体。</w:t>
      </w:r>
    </w:p>
    <w:p>
      <w:pPr>
        <w:ind w:firstLine="480"/>
      </w:pPr>
      <w:r>
        <w:rPr>
          <w:rFonts w:hint="eastAsia"/>
        </w:rPr>
        <w:t>2）地质构造：长寿经济技术开发区晏家组团西北边缘为明月峡背斜东南翼，明月峡背斜南段东翼地层呈单斜构造，轴向10°~30°，为一扭转狭长之不对称背斜，东翼30°~55°，该背斜在调查区已趋于湮灭。调查区中部发育剑山坡逆断层，该断层为一压扭性断层，长14公里，走向北30°西，倾向北东，倾角30°~60°穿过水文地质单元A区。现场调查未见明显断层破碎带，岩层产状凌乱，调查范围内断层透水性较弱，可视为隔水断层。整体来讲，调查区地质构造相对简单。</w:t>
      </w:r>
    </w:p>
    <w:p>
      <w:pPr>
        <w:ind w:firstLine="480"/>
      </w:pPr>
      <w:r>
        <w:rPr>
          <w:rFonts w:hint="eastAsia"/>
        </w:rPr>
        <w:t>（2）地下水类型及富水性</w:t>
      </w:r>
    </w:p>
    <w:p>
      <w:pPr>
        <w:ind w:firstLine="480"/>
      </w:pPr>
      <w:r>
        <w:rPr>
          <w:rFonts w:hint="eastAsia"/>
        </w:rPr>
        <w:t>长寿经济技术开发区晏家组团地下水类型有三种：松散岩类孔隙水、基岩裂隙水、碳酸岩类岩溶水，其中碳酸岩类岩溶水主要分布于调查区西北边缘的三叠系中统雷口坡组和下统嘉陵江组灰岩、白云岩地层中，此类地下水距地面标高较高且距离远，同时又处于规划区地下水上游，受规划区影响微小。松散岩类孔隙水、基岩裂隙水分布较广。</w:t>
      </w:r>
    </w:p>
    <w:p>
      <w:pPr>
        <w:ind w:firstLine="480"/>
      </w:pPr>
      <w:r>
        <w:rPr>
          <w:rFonts w:hint="eastAsia"/>
        </w:rPr>
        <w:t>松散岩类孔隙水主要赋存于第四系未胶结或半胶结的松散沉积物中，在丘陵平缓地带粉质粘土基本无水，呈岩土界面的浸润状或散滴状渗出；在人类活动较多地方（晏家街道居民区、凤城街道居民区）及坡脚地带，人工堆填和泥砂岩碎石土、冲积砂土较多，透水性强，地下水埋藏深度不均匀主要接收大气降水及地表水的渗漏补给，水位、水量随季节和地势变化。</w:t>
      </w:r>
    </w:p>
    <w:p>
      <w:pPr>
        <w:ind w:firstLine="480"/>
      </w:pPr>
      <w:r>
        <w:rPr>
          <w:rFonts w:hint="eastAsia"/>
        </w:rPr>
        <w:t>基岩裂隙水可分为风化网状裂隙水和构造裂隙水两个亚类。风化网状裂隙水广泛分布于侏罗系地层中，富水性中等。由于调查区构造相对不发育，基岩裂隙在岩层中所能占有的赋存空间有限，因此基岩富水性相对较差，水量贫乏。受到裂隙通道在空间上的展布具有明显的方向性的影响，地下水水位变化较大，无统一水面，水量变化也比较大。</w:t>
      </w:r>
    </w:p>
    <w:p>
      <w:pPr>
        <w:ind w:firstLine="480"/>
      </w:pPr>
      <w:r>
        <w:rPr>
          <w:rFonts w:hint="eastAsia"/>
        </w:rPr>
        <w:t>长寿经济技术开发区晏家组团地下水富水性基本呈现如下规律：①潜水面起伏大体与地形一致但较地形缓；②受地层岩性、地质构造、地貌形态影响，在分水岭地带打井，井中水位随井深加大而降低，在河谷地带打井，井水位随井深加大而抬升；③单侧斜坡状地形富水性较差，盆地型地形富水性较好；④由分水岭到河谷，流量增大，地下径流加强，由地表向深部，地下径流减弱。</w:t>
      </w:r>
    </w:p>
    <w:p>
      <w:pPr>
        <w:ind w:firstLine="480"/>
      </w:pPr>
      <w:r>
        <w:rPr>
          <w:rFonts w:hint="eastAsia"/>
        </w:rPr>
        <w:t>（3）地下水补、径、排条件</w:t>
      </w:r>
    </w:p>
    <w:p>
      <w:pPr>
        <w:ind w:firstLine="480"/>
      </w:pPr>
      <w:r>
        <w:rPr>
          <w:rFonts w:hint="eastAsia"/>
        </w:rPr>
        <w:t>长寿经济技术开发区晏家组团地下水补、径、排总体特点：地下水各相对独立水文单元主要接收区域独立水文单元范围内大气降雨就近补给；在浅表层地下水受风化网状裂隙影响表现为层间相互径流和层间内部径流，在较深层风化裂隙不发育，主要表现为层间内部径流；区域内地下水排泄为地下水以基岩裂隙为通道下渗至泥岩和页岩等隔水层顶板排泄，或透水层层间流动排泄，在地形较陡地段基岩裸露条件下以泉眼、河流排泄。层间裂隙水每个含水砂岩体均被不透水的泥岩所隔，使每个含水层构成了独立的含水单元，各自形成补给、径流、排泄系统，一般径流途径短，具有就近补给、就近排泄的特点。</w:t>
      </w:r>
    </w:p>
    <w:p>
      <w:pPr>
        <w:ind w:firstLine="480"/>
      </w:pPr>
      <w:r>
        <w:rPr>
          <w:rFonts w:hint="eastAsia"/>
        </w:rPr>
        <w:t>（4）地下水补给</w:t>
      </w:r>
    </w:p>
    <w:p>
      <w:pPr>
        <w:ind w:firstLine="480"/>
      </w:pPr>
      <w:r>
        <w:rPr>
          <w:rFonts w:hint="eastAsia"/>
        </w:rPr>
        <w:t>地下水的循环特征受岩性组合关系、地形地貌及构造条件的制约。大气降水下渗是主要补给来源，其次是地表水。补给区的范围与各含水岩组的出露范围一致，沿地层孔隙、裂隙垂直下渗，大气降水属于面状补给，范围普遍且较均匀，为地下水的主要补给来源。地表水则可看作线状补给，局限于地表水体周边（如相对独立水文单元A区范围沟谷溪沟发育地带）；从时间分布比较，大气降水持续时间有限而地表水体补给持续时间较长。</w:t>
      </w:r>
    </w:p>
    <w:p>
      <w:pPr>
        <w:ind w:firstLine="480"/>
      </w:pPr>
      <w:r>
        <w:rPr>
          <w:rFonts w:hint="eastAsia"/>
        </w:rPr>
        <w:t>大气降雨入渗补给量的多少决定于有效降雨量大小和包气带岩性以及地形地貌特征。相对独立水文单元A区、B区低山陡坡地带多年平均降雨量为1200mm左右，其中5～10月降雨量占年降雨量的80%。当有效降雨量一定时，包气带岩性的渗透性愈强，地势相对平缓地段，降雨入渗补给就愈多，地势相对较陡地段，降雨入渗补给就愈少。调查区接近50%区域为基岩出露，包气带大部分受构造影响较小，岩体较完整，渗透性弱，补给条件差；其中小部分受构造及外部风化作用影响较大，裂隙较发育，山顶较平坦，岩体较破碎的砂岩出露区域渗透性较强，补给条件较好；位于缓坡及地势起伏不大的平缓地区，包气带岩性主要为第四系残坡积粉质粘土，土层厚度0.5～6.2m，渗透性较弱，降雨入渗补给条件较差；位于长江、溪沟和村子附近，包气带岩性为第四系人工填土、冲积砂石和少量粉土，渗透性强，降雨入渗补给条件好，直接接受大气降雨补给，与地表水联系较为紧密。</w:t>
      </w:r>
    </w:p>
    <w:p>
      <w:pPr>
        <w:ind w:firstLine="480"/>
      </w:pPr>
      <w:r>
        <w:rPr>
          <w:rFonts w:hint="eastAsia"/>
        </w:rPr>
        <w:t>（5）地下水径流</w:t>
      </w:r>
    </w:p>
    <w:p>
      <w:pPr>
        <w:ind w:firstLine="480"/>
      </w:pPr>
      <w:r>
        <w:rPr>
          <w:rFonts w:hint="eastAsia"/>
        </w:rPr>
        <w:t>受地形和构造条件控制，在地势低且相对平缓地区（如相对独立水文单元A区靠近长江范围、相对独立水文单元B区靠近长江范围），切割较浅，地形起伏小，地下水径流条件一般，含水岩组露头受大气降水补给后，随地形坡降和网状裂隙系统向中间沟谷溪沟处分散径流；在地形两边高中间低（如相对独立水文单元A区北西侧中低山范围、相对独立水文单元B区北西侧低山范围），切割相对较深，地形起伏大，地下水径流条件相对较好。降水入渗补给后，浅层风化带网状裂隙孔隙水随地形坡降向坡下径流，至沟谷中储集埋藏再沿沟谷方向下游径流。层间裂隙水主要受到地层岩性和构造控制，还有裂隙发育深度和层状含水层的展布特点的制约，一般沿岩层倾向随地形由高向低处径流，当含水层被切割时，径流途径短，循环交替强，地下水以泉水或浅民井形式排泄地表；当含水层连续未被切割时，径流途径从山丘顶流至沟谷溪沟。</w:t>
      </w:r>
    </w:p>
    <w:p>
      <w:pPr>
        <w:ind w:firstLine="480"/>
      </w:pPr>
      <w:r>
        <w:rPr>
          <w:rFonts w:hint="eastAsia"/>
        </w:rPr>
        <w:t>（6）地下水排泄</w:t>
      </w:r>
    </w:p>
    <w:p>
      <w:pPr>
        <w:ind w:firstLine="480"/>
      </w:pPr>
      <w:r>
        <w:rPr>
          <w:rFonts w:hint="eastAsia"/>
        </w:rPr>
        <w:t>调查区内地下水排泄方式受地层岩性和地质构造控制，分为松散岩类孔隙水排泄方式、风化带网状裂隙水浅层排泄方式和较深部的岩层排泄方式。</w:t>
      </w:r>
    </w:p>
    <w:p>
      <w:pPr>
        <w:ind w:firstLine="480"/>
      </w:pPr>
      <w:r>
        <w:rPr>
          <w:rFonts w:hint="eastAsia"/>
        </w:rPr>
        <w:t>松散岩类孔隙水离地表较近，埋藏较浅，主要通过河流排泄，同时也有一部分通过蒸发和蒸腾作用排泄。浅层风化带网状裂隙水一部分随着砂岩、泥岩界面或风化带界线径流，再受到地层岩性和地形地貌的控制，就近排泄或在地势低洼处以下降泉的方式向附近的溪沟排泄。较深部的碎屑岩层间裂隙水沿基本与岩层倾向一致的方向径流，在区内较低的侵蚀基准面以下降泉或浅层民井探挖至露头点的方式排泄，根据现场调查，该类水在区内的排泄处相对甚少，多呈现出地下径流状态而少见排泄现象。碳酸岩类岩溶水通过裂隙及小型溶洞溶穴排泄。区内地下水排泄方式基本以下降泉或浅层民井探挖至露头点的方式向较低侵蚀基准面排泄，经溪沟最终汇入长江。</w:t>
      </w:r>
    </w:p>
    <w:p>
      <w:pPr>
        <w:ind w:firstLine="480"/>
      </w:pPr>
      <w:r>
        <w:rPr>
          <w:rFonts w:hint="eastAsia"/>
        </w:rPr>
        <w:t>（7）地下水化学特征</w:t>
      </w:r>
    </w:p>
    <w:p>
      <w:pPr>
        <w:ind w:firstLine="480"/>
      </w:pPr>
      <w:r>
        <w:rPr>
          <w:rFonts w:hint="eastAsia"/>
        </w:rPr>
        <w:t>根据《重庆幅区域水文地质普查报告H-49-（23）》、《重庆1：20万涪陵幅区域化探H-48-（24）》，结合本次地下水水质监测结果，确定该调查区地下水类型为HCO</w:t>
      </w:r>
      <w:r>
        <w:rPr>
          <w:rFonts w:hint="eastAsia"/>
          <w:vertAlign w:val="subscript"/>
        </w:rPr>
        <w:t>3</w:t>
      </w:r>
      <w:r>
        <w:rPr>
          <w:rFonts w:hint="eastAsia"/>
        </w:rPr>
        <w:t>-Ca•Mg型水和HCO</w:t>
      </w:r>
      <w:r>
        <w:rPr>
          <w:rFonts w:hint="eastAsia"/>
          <w:vertAlign w:val="subscript"/>
        </w:rPr>
        <w:t>3</w:t>
      </w:r>
      <w:r>
        <w:rPr>
          <w:rFonts w:hint="eastAsia"/>
        </w:rPr>
        <w:t>-Ca型水。</w:t>
      </w:r>
    </w:p>
    <w:p>
      <w:pPr>
        <w:pStyle w:val="4"/>
        <w:spacing w:before="156" w:after="156"/>
      </w:pPr>
      <w:bookmarkStart w:id="102" w:name="_Toc84844274"/>
      <w:r>
        <w:rPr>
          <w:rFonts w:hint="eastAsia"/>
        </w:rPr>
        <w:t>4.1.6自然资源</w:t>
      </w:r>
      <w:bookmarkEnd w:id="102"/>
    </w:p>
    <w:p>
      <w:pPr>
        <w:ind w:firstLine="480"/>
      </w:pPr>
      <w:r>
        <w:rPr>
          <w:rFonts w:hint="eastAsia"/>
        </w:rPr>
        <w:t>矿藏资源：长寿区境内自然资源极其丰富，主要矿产资源有天然气、煤、硫铁矿、钾矿和岩盐，已探明的矿产资源有20多种，其中，天然气储量318亿m</w:t>
      </w:r>
      <w:r>
        <w:rPr>
          <w:rFonts w:hint="eastAsia"/>
          <w:vertAlign w:val="superscript"/>
        </w:rPr>
        <w:t>3</w:t>
      </w:r>
      <w:r>
        <w:rPr>
          <w:rFonts w:hint="eastAsia"/>
        </w:rPr>
        <w:t>，已列为国家重点开采地区；煤储量4600万吨，岩盐10亿吨以上，其岩层最大厚度为88.5m；铁矿石储量1900万吨，黄铁矿2400万吨，白云石、石灰岩储量均在20亿吨以上。现已开发利用的有天然气、煤炭、岩盐等。重庆川东气田天然气储量3200亿m</w:t>
      </w:r>
      <w:r>
        <w:rPr>
          <w:rFonts w:hint="eastAsia"/>
          <w:vertAlign w:val="superscript"/>
        </w:rPr>
        <w:t>3</w:t>
      </w:r>
      <w:r>
        <w:rPr>
          <w:rFonts w:hint="eastAsia"/>
        </w:rPr>
        <w:t>，预计2010年可达6000亿m</w:t>
      </w:r>
      <w:r>
        <w:rPr>
          <w:rFonts w:hint="eastAsia"/>
          <w:vertAlign w:val="superscript"/>
        </w:rPr>
        <w:t>3</w:t>
      </w:r>
      <w:r>
        <w:rPr>
          <w:rFonts w:hint="eastAsia"/>
        </w:rPr>
        <w:t>，年净化输出能力53亿m</w:t>
      </w:r>
      <w:r>
        <w:rPr>
          <w:rFonts w:hint="eastAsia"/>
          <w:vertAlign w:val="superscript"/>
        </w:rPr>
        <w:t>3</w:t>
      </w:r>
      <w:r>
        <w:rPr>
          <w:rFonts w:hint="eastAsia"/>
        </w:rPr>
        <w:t>，川东气田主输气管线穿境而过。</w:t>
      </w:r>
    </w:p>
    <w:p>
      <w:pPr>
        <w:ind w:firstLine="480"/>
      </w:pPr>
      <w:r>
        <w:rPr>
          <w:rFonts w:hint="eastAsia"/>
        </w:rPr>
        <w:t>水资源：长寿区境内有1江、2湖、3河、13溪，建有水电站30座。其中，国家“一五”重点工程狮子滩发电站是新中国自行开发建设的第一座梯级水力发电站，西南地区最大的人工湖—长寿湖水面65平方公里，常年蓄水10亿m</w:t>
      </w:r>
      <w:r>
        <w:rPr>
          <w:rFonts w:hint="eastAsia"/>
          <w:vertAlign w:val="superscript"/>
        </w:rPr>
        <w:t>3</w:t>
      </w:r>
      <w:r>
        <w:rPr>
          <w:rFonts w:hint="eastAsia"/>
        </w:rPr>
        <w:t>，有大小岛屿200多个，休闲旅游产业发展前景广阔。</w:t>
      </w:r>
    </w:p>
    <w:p>
      <w:pPr>
        <w:ind w:firstLine="480"/>
      </w:pPr>
      <w:r>
        <w:rPr>
          <w:rFonts w:hint="eastAsia"/>
        </w:rPr>
        <w:t>土壤类型：主要有水稻土、冲积土、紫色土和黄壤土四大类，分别占全区耕地面积的61.68%、0.25%、35.06%和3.01%。水稻土主要集中在向斜谷中的浅丘、平坝、台地上；冲积土系河流冲积而成，分布于长江及溪流沿岸；紫色土由紫色砂岩风化而成，分布在向斜丘陵区；黄壤土砾石含量高，分布在低山区。</w:t>
      </w:r>
    </w:p>
    <w:p>
      <w:pPr>
        <w:ind w:firstLine="480"/>
      </w:pPr>
      <w:r>
        <w:rPr>
          <w:rFonts w:hint="eastAsia"/>
        </w:rPr>
        <w:t>森林植被：长寿区天然植被为亚热带常绿阔叶林，森林植被多为人工常绿针阔混交林，主要分布在东山、西山和王堡山。树种以马尾松为主，全区主要林地面积416410亩，覆盖率19.6%。</w:t>
      </w:r>
    </w:p>
    <w:p>
      <w:pPr>
        <w:pStyle w:val="3"/>
        <w:spacing w:before="156" w:after="156"/>
      </w:pPr>
      <w:bookmarkStart w:id="103" w:name="_Toc84844275"/>
      <w:r>
        <w:rPr>
          <w:rFonts w:hint="eastAsia"/>
        </w:rPr>
        <w:t>4.2发展规划</w:t>
      </w:r>
      <w:bookmarkEnd w:id="103"/>
    </w:p>
    <w:p>
      <w:pPr>
        <w:pStyle w:val="4"/>
        <w:spacing w:before="156" w:after="156"/>
      </w:pPr>
      <w:bookmarkStart w:id="104" w:name="_Toc84844276"/>
      <w:r>
        <w:rPr>
          <w:rFonts w:hint="eastAsia"/>
        </w:rPr>
        <w:t>4.2.1 城镇总体规划</w:t>
      </w:r>
      <w:bookmarkEnd w:id="104"/>
    </w:p>
    <w:p>
      <w:pPr>
        <w:ind w:firstLine="480"/>
      </w:pPr>
      <w:r>
        <w:rPr>
          <w:rFonts w:hint="eastAsia"/>
        </w:rPr>
        <w:t>根据《重庆市长寿区城乡总体规划（2013年编制）》，长寿区城市空间结构与功能布局形成“一心两片”的空间结构。“一心”即菩提山、牛心山为城区的城市绿心。“两片”即承担城市综合职能的中心城区和以工业发展为主要职能的经开区。城市组团功能规划形成8个组团。中心城区由菩提组团、渡舟组团、桃花组团、阳鹤组团、凤城组团和八颗组团6个组团构成，经开区由晏家组团和江南组团2个组团构成。其中菩提组团主要承担行政办公、商业商务、文化教育、旅游接待和居住功能，建设用地规模8.9平方公里；桃花组团主要为居住功能，建设用地规模3.9平方公里；阳鹤组团主要为居住功能，建设用地规模4.4平方公里；凤城组团主要为居住功能，建设用地规模10.1平方公里；渡舟组团主要为商务、居住功能，建设用地规模8.8平方公里；八颗组团主要为工业、居住功能，建设用地规模3.4平方公里；晏家组团主要为工业功能，建设用地规模35.3平方公里；江南组团主要为工业功能，建设用地规模14.7平方公里。规划定位为国家重要的石油及天然气化工基地，重庆市城市发展新区中的新型制造业基地、都市农业基地和休闲旅游区，区域性物流中心。产业发展方向为逐步建立起以石油、天然气化工产业和钢铁冶金产业为支柱，以新材料新能源产业、装备制造业和电子信息产业为延伸，以现代农业、休闲旅游业和物流服务业为重要补充的产业协调发展格局。产业空间格局为优化区域产业空间布局，形成“一带四区三园”的空间格局。“一带”指以国家级经济技术开发区（以下简称经开区）为核心，向北延伸的街镇产业发展带；“四区”指南部产业集聚区、中部特色产业区、东侧和西侧的两个生态产业培养区；“三园”指现代畜牧养殖园、现代农业种植示范园、沙田柚种植示范园。</w:t>
      </w:r>
    </w:p>
    <w:p>
      <w:pPr>
        <w:pStyle w:val="4"/>
        <w:spacing w:before="156" w:after="156"/>
      </w:pPr>
      <w:bookmarkStart w:id="105" w:name="_Toc84844277"/>
      <w:r>
        <w:rPr>
          <w:rFonts w:hint="eastAsia"/>
        </w:rPr>
        <w:t>4.2.2重庆长寿经济技术开发区规划</w:t>
      </w:r>
      <w:bookmarkEnd w:id="105"/>
    </w:p>
    <w:p>
      <w:pPr>
        <w:ind w:firstLine="480"/>
      </w:pPr>
      <w:r>
        <w:rPr>
          <w:rFonts w:hint="eastAsia"/>
        </w:rPr>
        <w:t>长寿经济技术开发区是国务院2010年11月11日批准升级的国家级经济技术开发区，（以下简称“经开区”）。规划面积73.6平方公里，主要发展天然气化工、石油化工、钢铁冶金、新材料新能源、装备制造五大产业。</w:t>
      </w:r>
    </w:p>
    <w:p>
      <w:pPr>
        <w:ind w:firstLine="480"/>
      </w:pPr>
      <w:r>
        <w:rPr>
          <w:rFonts w:hint="eastAsia"/>
        </w:rPr>
        <w:t>按照地域特性，经开区分为晏家组团、江南组团、八颗组团、葛兰组团。其中，晏家组团主要发展天然气化工、石油化工、新材料新能源产业。</w:t>
      </w:r>
    </w:p>
    <w:p>
      <w:pPr>
        <w:ind w:firstLine="480"/>
      </w:pPr>
      <w:r>
        <w:rPr>
          <w:rFonts w:hint="eastAsia"/>
        </w:rPr>
        <w:t>根据《长寿经济技术开发区晏家组团控制性详细规划环境影响报告书》（重庆市环境科学研究院2015.8）及《关于长寿经济技术开发区晏家组团控制性详细规划环境影响报告书审查意见的函》（渝环函[2015]641）号，长寿经济技术开发区晏家组团控制性详细规划及要求如下：</w:t>
      </w:r>
    </w:p>
    <w:p>
      <w:pPr>
        <w:pStyle w:val="5"/>
      </w:pPr>
      <w:r>
        <w:rPr>
          <w:rFonts w:hint="eastAsia"/>
        </w:rPr>
        <w:t>4.2.2.1规划的基本情况</w:t>
      </w:r>
    </w:p>
    <w:p>
      <w:pPr>
        <w:ind w:firstLine="480"/>
      </w:pPr>
      <w:r>
        <w:rPr>
          <w:rFonts w:hint="eastAsia"/>
        </w:rPr>
        <w:t>（1）规划名称：长寿经济技术开发区晏家组团控制性详细规划。</w:t>
      </w:r>
    </w:p>
    <w:p>
      <w:pPr>
        <w:ind w:firstLine="480"/>
      </w:pPr>
      <w:r>
        <w:rPr>
          <w:rFonts w:hint="eastAsia"/>
        </w:rPr>
        <w:t>（2）规划面积：规划范围总用地面积约47.87km</w:t>
      </w:r>
      <w:r>
        <w:rPr>
          <w:rFonts w:hint="eastAsia"/>
          <w:vertAlign w:val="superscript"/>
        </w:rPr>
        <w:t>2</w:t>
      </w:r>
      <w:r>
        <w:rPr>
          <w:rFonts w:hint="eastAsia"/>
        </w:rPr>
        <w:t>，其中建设用地34.81km</w:t>
      </w:r>
      <w:r>
        <w:rPr>
          <w:rFonts w:hint="eastAsia"/>
          <w:vertAlign w:val="superscript"/>
        </w:rPr>
        <w:t>2</w:t>
      </w:r>
      <w:r>
        <w:rPr>
          <w:rFonts w:hint="eastAsia"/>
        </w:rPr>
        <w:t>，非建设用地13.06km</w:t>
      </w:r>
      <w:r>
        <w:rPr>
          <w:rFonts w:hint="eastAsia"/>
          <w:vertAlign w:val="superscript"/>
        </w:rPr>
        <w:t>2</w:t>
      </w:r>
      <w:r>
        <w:rPr>
          <w:rFonts w:hint="eastAsia"/>
        </w:rPr>
        <w:t>。</w:t>
      </w:r>
    </w:p>
    <w:p>
      <w:pPr>
        <w:ind w:firstLine="480"/>
      </w:pPr>
      <w:r>
        <w:rPr>
          <w:rFonts w:hint="eastAsia"/>
        </w:rPr>
        <w:t>（3）四至范围：西北以渝利铁路为界；西南以渝怀铁路为界；东北以菩提山、牛心山山脚、渝宜高速、轻化路为界，东南以长江为界。</w:t>
      </w:r>
    </w:p>
    <w:p>
      <w:pPr>
        <w:ind w:firstLine="480"/>
      </w:pPr>
      <w:r>
        <w:rPr>
          <w:rFonts w:hint="eastAsia"/>
        </w:rPr>
        <w:t>（4）规划年限：2013年～2020年（基准年2013年，水平年2020年）。</w:t>
      </w:r>
    </w:p>
    <w:p>
      <w:pPr>
        <w:ind w:firstLine="480"/>
      </w:pPr>
      <w:r>
        <w:rPr>
          <w:rFonts w:hint="eastAsia"/>
        </w:rPr>
        <w:t>（5）地理位置：规划区位于重庆市长寿区晏家街道，距重庆主城区65km，距长寿城区边界2km，位于长江以北，毗邻长江黄金水道。</w:t>
      </w:r>
    </w:p>
    <w:p>
      <w:pPr>
        <w:pStyle w:val="5"/>
      </w:pPr>
      <w:r>
        <w:rPr>
          <w:rFonts w:hint="eastAsia"/>
        </w:rPr>
        <w:t>4.2.2.2规划布局</w:t>
      </w:r>
    </w:p>
    <w:p>
      <w:pPr>
        <w:ind w:firstLine="480"/>
      </w:pPr>
      <w:r>
        <w:rPr>
          <w:rFonts w:hint="eastAsia"/>
        </w:rPr>
        <w:t>规划区包括A标准分区、B标准分区、D标准分区、E标准分区、F标准分区、G标准分区，不包括C标准分区（未纳入长寿区城乡总体规划工业用地指标，仍维持目前的农林用地不变）。渝宜高速公路以北为D、E、F、G标准分区，渝宜高速公路以南为A、B标准分区。</w:t>
      </w:r>
    </w:p>
    <w:p>
      <w:pPr>
        <w:ind w:firstLine="480"/>
      </w:pPr>
      <w:r>
        <w:rPr>
          <w:rFonts w:hint="eastAsia"/>
        </w:rPr>
        <w:t>A标准分区为川维川染片区，主要企业为卡贝乐、亚太纸业、川维厂，规划发展用地为川维家属区西北侧化中大道和渝长高速围合的区域，主要发展污染较轻的企业；B标准分区主要企业为医药中间体和合成药品企业、云天化、川维厂，规划拟入驻重油深加工项目及川维煤顶气项目；D标准分区为晏家街道，主要为居民居住区；E 标准分区主要企业为映天辉、海洲化学、重庆紫光、润江水泥、重钢钢构、重钢气体，规划发展工业用地较少，主要用于发展精细化工；F 标准分区为原晏家工业园区，主要企业为国际复合、装备制造企业及电镀企业，规划发展工业用地较少；G标准分区为原化工园区北部拓展区，主要企业为巴斯夫及化医集团，拟入驻企业为化医煤定气项目、MTO一体化项目、福华集团项目。</w:t>
      </w:r>
    </w:p>
    <w:p>
      <w:pPr>
        <w:ind w:firstLine="480"/>
      </w:pPr>
      <w:r>
        <w:rPr>
          <w:rFonts w:hint="eastAsia"/>
        </w:rPr>
        <w:t>晏家组团主要发展天然气化工、石油化工、新材料新能源产业。本项目属于合成氨项目，选址于晏家组团G标准分区。园区各标准分区分布情况及项目所在区域土地利用规划详见附图5。</w:t>
      </w:r>
    </w:p>
    <w:p>
      <w:pPr>
        <w:pStyle w:val="4"/>
        <w:spacing w:before="156" w:after="156"/>
      </w:pPr>
      <w:bookmarkStart w:id="106" w:name="_Toc84844278"/>
      <w:r>
        <w:rPr>
          <w:rFonts w:hint="eastAsia"/>
        </w:rPr>
        <w:t>4.3污染源现状调查</w:t>
      </w:r>
      <w:bookmarkEnd w:id="106"/>
    </w:p>
    <w:p>
      <w:pPr>
        <w:ind w:firstLine="480"/>
      </w:pPr>
      <w:r>
        <w:rPr>
          <w:rFonts w:hint="eastAsia"/>
        </w:rPr>
        <w:t>长寿经济技术开发区是国务院2010年11月11日批准升级的国家级经济技术开发区，（以下简称“经开区”）。规划面积73.6平方公里，主要发展天然气化工、石油化工、钢铁冶金、新材料新能源、装备制造五大产业。</w:t>
      </w:r>
    </w:p>
    <w:p>
      <w:pPr>
        <w:ind w:firstLine="480"/>
        <w:sectPr>
          <w:headerReference r:id="rId29" w:type="first"/>
          <w:footerReference r:id="rId32" w:type="first"/>
          <w:headerReference r:id="rId27" w:type="default"/>
          <w:footerReference r:id="rId30" w:type="default"/>
          <w:headerReference r:id="rId28" w:type="even"/>
          <w:footerReference r:id="rId31" w:type="even"/>
          <w:pgSz w:w="11906" w:h="16838"/>
          <w:pgMar w:top="1440" w:right="1800" w:bottom="1440" w:left="1800" w:header="851" w:footer="992" w:gutter="0"/>
          <w:cols w:space="425" w:num="1"/>
          <w:docGrid w:type="lines" w:linePitch="312" w:charSpace="0"/>
        </w:sectPr>
      </w:pPr>
      <w:r>
        <w:rPr>
          <w:rFonts w:hint="eastAsia"/>
        </w:rPr>
        <w:t>根据统计资料和环评报告书，评价区域已入驻企业主要包括巴斯夫、建峰化工、长风、恩力吉、映天辉、英斯凯、中润等。主要企业主要污染物排放及治理情况见表4.3-1～4.3-3。</w:t>
      </w:r>
    </w:p>
    <w:p>
      <w:pPr>
        <w:pStyle w:val="41"/>
        <w:spacing w:before="156" w:after="156"/>
      </w:pPr>
      <w:r>
        <w:rPr>
          <w:rFonts w:hint="eastAsia"/>
        </w:rPr>
        <w:t>表4.3-1 区域主要企业废气污染物排放及治理情况汇总表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4"/>
        <w:gridCol w:w="2709"/>
        <w:gridCol w:w="838"/>
        <w:gridCol w:w="838"/>
        <w:gridCol w:w="838"/>
        <w:gridCol w:w="838"/>
        <w:gridCol w:w="732"/>
        <w:gridCol w:w="732"/>
        <w:gridCol w:w="601"/>
        <w:gridCol w:w="629"/>
        <w:gridCol w:w="732"/>
        <w:gridCol w:w="629"/>
        <w:gridCol w:w="629"/>
        <w:gridCol w:w="640"/>
        <w:gridCol w:w="799"/>
        <w:gridCol w:w="601"/>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blHeader/>
          <w:jc w:val="center"/>
        </w:trPr>
        <w:tc>
          <w:tcPr>
            <w:tcW w:w="163" w:type="pct"/>
            <w:vMerge w:val="restart"/>
            <w:vAlign w:val="center"/>
          </w:tcPr>
          <w:p>
            <w:pPr>
              <w:pStyle w:val="42"/>
            </w:pPr>
            <w:r>
              <w:rPr>
                <w:rFonts w:hint="eastAsia"/>
              </w:rPr>
              <w:t>序号</w:t>
            </w:r>
          </w:p>
        </w:tc>
        <w:tc>
          <w:tcPr>
            <w:tcW w:w="970" w:type="pct"/>
            <w:vMerge w:val="restart"/>
            <w:vAlign w:val="center"/>
          </w:tcPr>
          <w:p>
            <w:pPr>
              <w:pStyle w:val="42"/>
            </w:pPr>
            <w:r>
              <w:t>企业</w:t>
            </w:r>
          </w:p>
        </w:tc>
        <w:tc>
          <w:tcPr>
            <w:tcW w:w="3868" w:type="pct"/>
            <w:gridSpan w:val="15"/>
            <w:vAlign w:val="center"/>
          </w:tcPr>
          <w:p>
            <w:pPr>
              <w:pStyle w:val="42"/>
            </w:pPr>
            <w:r>
              <w:t>主要排放污染因子(单位：t/a)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blHeader/>
          <w:jc w:val="center"/>
        </w:trPr>
        <w:tc>
          <w:tcPr>
            <w:tcW w:w="163" w:type="pct"/>
            <w:vMerge w:val="continue"/>
            <w:vAlign w:val="center"/>
          </w:tcPr>
          <w:p>
            <w:pPr>
              <w:pStyle w:val="42"/>
            </w:pPr>
          </w:p>
        </w:tc>
        <w:tc>
          <w:tcPr>
            <w:tcW w:w="970" w:type="pct"/>
            <w:vMerge w:val="continue"/>
            <w:vAlign w:val="center"/>
          </w:tcPr>
          <w:p>
            <w:pPr>
              <w:pStyle w:val="42"/>
            </w:pPr>
          </w:p>
        </w:tc>
        <w:tc>
          <w:tcPr>
            <w:tcW w:w="300" w:type="pct"/>
            <w:vAlign w:val="center"/>
          </w:tcPr>
          <w:p>
            <w:pPr>
              <w:pStyle w:val="42"/>
            </w:pPr>
            <w:r>
              <w:t>SO2</w:t>
            </w:r>
          </w:p>
        </w:tc>
        <w:tc>
          <w:tcPr>
            <w:tcW w:w="300" w:type="pct"/>
            <w:vAlign w:val="center"/>
          </w:tcPr>
          <w:p>
            <w:pPr>
              <w:pStyle w:val="42"/>
            </w:pPr>
            <w:r>
              <w:t>NOx</w:t>
            </w:r>
          </w:p>
        </w:tc>
        <w:tc>
          <w:tcPr>
            <w:tcW w:w="300" w:type="pct"/>
            <w:vAlign w:val="center"/>
          </w:tcPr>
          <w:p>
            <w:pPr>
              <w:pStyle w:val="42"/>
            </w:pPr>
            <w:r>
              <w:t>烟粉尘</w:t>
            </w:r>
          </w:p>
        </w:tc>
        <w:tc>
          <w:tcPr>
            <w:tcW w:w="300" w:type="pct"/>
            <w:vAlign w:val="center"/>
          </w:tcPr>
          <w:p>
            <w:pPr>
              <w:pStyle w:val="42"/>
            </w:pPr>
            <w:r>
              <w:t>非甲烷总烃</w:t>
            </w:r>
          </w:p>
        </w:tc>
        <w:tc>
          <w:tcPr>
            <w:tcW w:w="262" w:type="pct"/>
            <w:vAlign w:val="center"/>
          </w:tcPr>
          <w:p>
            <w:pPr>
              <w:pStyle w:val="42"/>
            </w:pPr>
            <w:r>
              <w:t>氟化物</w:t>
            </w:r>
          </w:p>
        </w:tc>
        <w:tc>
          <w:tcPr>
            <w:tcW w:w="262" w:type="pct"/>
            <w:vAlign w:val="center"/>
          </w:tcPr>
          <w:p>
            <w:pPr>
              <w:pStyle w:val="42"/>
            </w:pPr>
            <w:r>
              <w:t>苯系物</w:t>
            </w:r>
          </w:p>
        </w:tc>
        <w:tc>
          <w:tcPr>
            <w:tcW w:w="215" w:type="pct"/>
            <w:vAlign w:val="center"/>
          </w:tcPr>
          <w:p>
            <w:pPr>
              <w:pStyle w:val="42"/>
            </w:pPr>
            <w:r>
              <w:t>CO</w:t>
            </w:r>
          </w:p>
        </w:tc>
        <w:tc>
          <w:tcPr>
            <w:tcW w:w="225" w:type="pct"/>
            <w:vAlign w:val="center"/>
          </w:tcPr>
          <w:p>
            <w:pPr>
              <w:pStyle w:val="42"/>
            </w:pPr>
            <w:r>
              <w:t>甲醛</w:t>
            </w:r>
          </w:p>
        </w:tc>
        <w:tc>
          <w:tcPr>
            <w:tcW w:w="262" w:type="pct"/>
            <w:vAlign w:val="center"/>
          </w:tcPr>
          <w:p>
            <w:pPr>
              <w:pStyle w:val="42"/>
            </w:pPr>
            <w:r>
              <w:t>醇类</w:t>
            </w:r>
          </w:p>
        </w:tc>
        <w:tc>
          <w:tcPr>
            <w:tcW w:w="225" w:type="pct"/>
            <w:vAlign w:val="center"/>
          </w:tcPr>
          <w:p>
            <w:pPr>
              <w:pStyle w:val="42"/>
            </w:pPr>
            <w:r>
              <w:t>光气</w:t>
            </w:r>
          </w:p>
        </w:tc>
        <w:tc>
          <w:tcPr>
            <w:tcW w:w="225" w:type="pct"/>
            <w:vAlign w:val="center"/>
          </w:tcPr>
          <w:p>
            <w:pPr>
              <w:pStyle w:val="42"/>
            </w:pPr>
            <w:r>
              <w:t>酸雾</w:t>
            </w:r>
          </w:p>
        </w:tc>
        <w:tc>
          <w:tcPr>
            <w:tcW w:w="229" w:type="pct"/>
            <w:vAlign w:val="center"/>
          </w:tcPr>
          <w:p>
            <w:pPr>
              <w:pStyle w:val="42"/>
            </w:pPr>
            <w:r>
              <w:t>锡及其化合物</w:t>
            </w:r>
          </w:p>
        </w:tc>
        <w:tc>
          <w:tcPr>
            <w:tcW w:w="286" w:type="pct"/>
            <w:vAlign w:val="center"/>
          </w:tcPr>
          <w:p>
            <w:pPr>
              <w:pStyle w:val="42"/>
            </w:pPr>
            <w:r>
              <w:t>氨</w:t>
            </w:r>
          </w:p>
        </w:tc>
        <w:tc>
          <w:tcPr>
            <w:tcW w:w="215" w:type="pct"/>
            <w:vAlign w:val="center"/>
          </w:tcPr>
          <w:p>
            <w:pPr>
              <w:pStyle w:val="42"/>
            </w:pPr>
            <w:r>
              <w:t>硫化氢</w:t>
            </w:r>
          </w:p>
        </w:tc>
        <w:tc>
          <w:tcPr>
            <w:tcW w:w="261" w:type="pct"/>
            <w:vAlign w:val="center"/>
          </w:tcPr>
          <w:p>
            <w:pPr>
              <w:pStyle w:val="42"/>
            </w:pPr>
            <w: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163" w:type="pct"/>
            <w:vAlign w:val="center"/>
          </w:tcPr>
          <w:p>
            <w:pPr>
              <w:pStyle w:val="42"/>
            </w:pPr>
            <w:r>
              <w:t>1</w:t>
            </w:r>
          </w:p>
        </w:tc>
        <w:tc>
          <w:tcPr>
            <w:tcW w:w="970" w:type="pct"/>
            <w:vAlign w:val="center"/>
          </w:tcPr>
          <w:p>
            <w:pPr>
              <w:pStyle w:val="42"/>
            </w:pPr>
            <w:r>
              <w:t>巴斯夫聚氨酯（重庆）有限公司</w:t>
            </w:r>
          </w:p>
        </w:tc>
        <w:tc>
          <w:tcPr>
            <w:tcW w:w="300" w:type="pct"/>
            <w:vAlign w:val="center"/>
          </w:tcPr>
          <w:p>
            <w:pPr>
              <w:pStyle w:val="42"/>
            </w:pPr>
            <w:r>
              <w:t>0.203</w:t>
            </w:r>
          </w:p>
        </w:tc>
        <w:tc>
          <w:tcPr>
            <w:tcW w:w="300" w:type="pct"/>
            <w:vAlign w:val="center"/>
          </w:tcPr>
          <w:p>
            <w:pPr>
              <w:pStyle w:val="42"/>
            </w:pPr>
            <w:r>
              <w:t>53.572</w:t>
            </w:r>
          </w:p>
        </w:tc>
        <w:tc>
          <w:tcPr>
            <w:tcW w:w="300" w:type="pct"/>
            <w:vAlign w:val="center"/>
          </w:tcPr>
          <w:p>
            <w:pPr>
              <w:pStyle w:val="42"/>
            </w:pPr>
            <w:r>
              <w:t>4.38</w:t>
            </w:r>
          </w:p>
        </w:tc>
        <w:tc>
          <w:tcPr>
            <w:tcW w:w="300" w:type="pct"/>
            <w:vAlign w:val="center"/>
          </w:tcPr>
          <w:p>
            <w:pPr>
              <w:pStyle w:val="42"/>
            </w:pPr>
            <w:r>
              <w:t>0.18</w:t>
            </w:r>
          </w:p>
        </w:tc>
        <w:tc>
          <w:tcPr>
            <w:tcW w:w="262" w:type="pct"/>
            <w:vAlign w:val="center"/>
          </w:tcPr>
          <w:p>
            <w:pPr>
              <w:pStyle w:val="42"/>
            </w:pPr>
          </w:p>
        </w:tc>
        <w:tc>
          <w:tcPr>
            <w:tcW w:w="262" w:type="pct"/>
            <w:vAlign w:val="center"/>
          </w:tcPr>
          <w:p>
            <w:pPr>
              <w:pStyle w:val="42"/>
            </w:pPr>
            <w:r>
              <w:t>0.271</w:t>
            </w:r>
          </w:p>
        </w:tc>
        <w:tc>
          <w:tcPr>
            <w:tcW w:w="215" w:type="pct"/>
            <w:vAlign w:val="center"/>
          </w:tcPr>
          <w:p>
            <w:pPr>
              <w:pStyle w:val="42"/>
            </w:pPr>
            <w:r>
              <w:t>13.04</w:t>
            </w:r>
          </w:p>
        </w:tc>
        <w:tc>
          <w:tcPr>
            <w:tcW w:w="225" w:type="pct"/>
            <w:vAlign w:val="center"/>
          </w:tcPr>
          <w:p>
            <w:pPr>
              <w:pStyle w:val="42"/>
            </w:pPr>
          </w:p>
        </w:tc>
        <w:tc>
          <w:tcPr>
            <w:tcW w:w="262" w:type="pct"/>
            <w:vAlign w:val="center"/>
          </w:tcPr>
          <w:p>
            <w:pPr>
              <w:pStyle w:val="42"/>
            </w:pPr>
            <w:r>
              <w:t>0.11</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w:t>
            </w:r>
          </w:p>
        </w:tc>
        <w:tc>
          <w:tcPr>
            <w:tcW w:w="970" w:type="pct"/>
            <w:vAlign w:val="center"/>
          </w:tcPr>
          <w:p>
            <w:pPr>
              <w:pStyle w:val="42"/>
            </w:pPr>
            <w:r>
              <w:t>重庆长风化学工业有限公司</w:t>
            </w:r>
          </w:p>
        </w:tc>
        <w:tc>
          <w:tcPr>
            <w:tcW w:w="300" w:type="pct"/>
            <w:vAlign w:val="center"/>
          </w:tcPr>
          <w:p>
            <w:pPr>
              <w:pStyle w:val="42"/>
            </w:pPr>
            <w:r>
              <w:t>2.56</w:t>
            </w:r>
          </w:p>
        </w:tc>
        <w:tc>
          <w:tcPr>
            <w:tcW w:w="300" w:type="pct"/>
            <w:vAlign w:val="center"/>
          </w:tcPr>
          <w:p>
            <w:pPr>
              <w:pStyle w:val="42"/>
            </w:pPr>
            <w:r>
              <w:t>20.992</w:t>
            </w:r>
          </w:p>
        </w:tc>
        <w:tc>
          <w:tcPr>
            <w:tcW w:w="300" w:type="pct"/>
            <w:vAlign w:val="center"/>
          </w:tcPr>
          <w:p>
            <w:pPr>
              <w:pStyle w:val="42"/>
            </w:pPr>
            <w:r>
              <w:t>4.864</w:t>
            </w:r>
          </w:p>
        </w:tc>
        <w:tc>
          <w:tcPr>
            <w:tcW w:w="300" w:type="pct"/>
            <w:vAlign w:val="center"/>
          </w:tcPr>
          <w:p>
            <w:pPr>
              <w:pStyle w:val="42"/>
            </w:pPr>
            <w:r>
              <w:t>0.128</w:t>
            </w:r>
          </w:p>
        </w:tc>
        <w:tc>
          <w:tcPr>
            <w:tcW w:w="262" w:type="pct"/>
            <w:vAlign w:val="center"/>
          </w:tcPr>
          <w:p>
            <w:pPr>
              <w:pStyle w:val="42"/>
            </w:pPr>
          </w:p>
        </w:tc>
        <w:tc>
          <w:tcPr>
            <w:tcW w:w="262" w:type="pct"/>
            <w:vAlign w:val="center"/>
          </w:tcPr>
          <w:p>
            <w:pPr>
              <w:pStyle w:val="42"/>
            </w:pPr>
            <w:r>
              <w:t>0.0019</w:t>
            </w:r>
          </w:p>
        </w:tc>
        <w:tc>
          <w:tcPr>
            <w:tcW w:w="215" w:type="pct"/>
            <w:vAlign w:val="center"/>
          </w:tcPr>
          <w:p>
            <w:pPr>
              <w:pStyle w:val="42"/>
            </w:pPr>
          </w:p>
        </w:tc>
        <w:tc>
          <w:tcPr>
            <w:tcW w:w="225" w:type="pct"/>
            <w:vAlign w:val="center"/>
          </w:tcPr>
          <w:p>
            <w:pPr>
              <w:pStyle w:val="42"/>
            </w:pPr>
            <w:r>
              <w:t>4.24</w:t>
            </w:r>
          </w:p>
        </w:tc>
        <w:tc>
          <w:tcPr>
            <w:tcW w:w="262" w:type="pct"/>
            <w:vAlign w:val="center"/>
          </w:tcPr>
          <w:p>
            <w:pPr>
              <w:pStyle w:val="42"/>
            </w:pPr>
            <w:r>
              <w:t>7.42</w:t>
            </w:r>
          </w:p>
        </w:tc>
        <w:tc>
          <w:tcPr>
            <w:tcW w:w="225" w:type="pct"/>
            <w:vAlign w:val="center"/>
          </w:tcPr>
          <w:p>
            <w:pPr>
              <w:pStyle w:val="42"/>
            </w:pPr>
            <w:r>
              <w:t>0.0013</w:t>
            </w: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w:t>
            </w:r>
          </w:p>
        </w:tc>
        <w:tc>
          <w:tcPr>
            <w:tcW w:w="970" w:type="pct"/>
            <w:vAlign w:val="center"/>
          </w:tcPr>
          <w:p>
            <w:pPr>
              <w:pStyle w:val="42"/>
            </w:pPr>
            <w:r>
              <w:t>恩力吉</w:t>
            </w:r>
          </w:p>
        </w:tc>
        <w:tc>
          <w:tcPr>
            <w:tcW w:w="300" w:type="pct"/>
            <w:vAlign w:val="center"/>
          </w:tcPr>
          <w:p>
            <w:pPr>
              <w:pStyle w:val="42"/>
            </w:pPr>
            <w:r>
              <w:t>2720.7</w:t>
            </w:r>
          </w:p>
        </w:tc>
        <w:tc>
          <w:tcPr>
            <w:tcW w:w="300" w:type="pct"/>
            <w:vAlign w:val="center"/>
          </w:tcPr>
          <w:p>
            <w:pPr>
              <w:pStyle w:val="42"/>
            </w:pPr>
            <w:r>
              <w:t>1443.3</w:t>
            </w:r>
          </w:p>
        </w:tc>
        <w:tc>
          <w:tcPr>
            <w:tcW w:w="300" w:type="pct"/>
            <w:vAlign w:val="center"/>
          </w:tcPr>
          <w:p>
            <w:pPr>
              <w:pStyle w:val="42"/>
            </w:pPr>
            <w:r>
              <w:t>340.88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r>
              <w:t>2.08</w:t>
            </w:r>
          </w:p>
        </w:tc>
        <w:tc>
          <w:tcPr>
            <w:tcW w:w="262" w:type="pct"/>
            <w:vAlign w:val="center"/>
          </w:tcPr>
          <w:p>
            <w:pPr>
              <w:pStyle w:val="42"/>
            </w:pPr>
            <w:r>
              <w:t>40.8</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r>
              <w:t>128.2</w:t>
            </w: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w:t>
            </w:r>
          </w:p>
        </w:tc>
        <w:tc>
          <w:tcPr>
            <w:tcW w:w="970" w:type="pct"/>
            <w:vAlign w:val="center"/>
          </w:tcPr>
          <w:p>
            <w:pPr>
              <w:pStyle w:val="42"/>
            </w:pPr>
            <w:r>
              <w:t>中橡（重庆）炭黑有限公司</w:t>
            </w:r>
          </w:p>
        </w:tc>
        <w:tc>
          <w:tcPr>
            <w:tcW w:w="300" w:type="pct"/>
            <w:vAlign w:val="center"/>
          </w:tcPr>
          <w:p>
            <w:pPr>
              <w:pStyle w:val="42"/>
            </w:pPr>
            <w:r>
              <w:t>164.4</w:t>
            </w:r>
          </w:p>
        </w:tc>
        <w:tc>
          <w:tcPr>
            <w:tcW w:w="300" w:type="pct"/>
            <w:vAlign w:val="center"/>
          </w:tcPr>
          <w:p>
            <w:pPr>
              <w:pStyle w:val="42"/>
            </w:pPr>
            <w:r>
              <w:t>154.9</w:t>
            </w:r>
          </w:p>
        </w:tc>
        <w:tc>
          <w:tcPr>
            <w:tcW w:w="300" w:type="pct"/>
            <w:vAlign w:val="center"/>
          </w:tcPr>
          <w:p>
            <w:pPr>
              <w:pStyle w:val="42"/>
            </w:pPr>
            <w:r>
              <w:t>28.2</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w:t>
            </w:r>
          </w:p>
        </w:tc>
        <w:tc>
          <w:tcPr>
            <w:tcW w:w="970" w:type="pct"/>
            <w:vAlign w:val="center"/>
          </w:tcPr>
          <w:p>
            <w:pPr>
              <w:pStyle w:val="42"/>
            </w:pPr>
            <w:r>
              <w:t>化医林德</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w:t>
            </w:r>
          </w:p>
        </w:tc>
        <w:tc>
          <w:tcPr>
            <w:tcW w:w="970" w:type="pct"/>
            <w:vAlign w:val="center"/>
          </w:tcPr>
          <w:p>
            <w:pPr>
              <w:pStyle w:val="42"/>
            </w:pPr>
            <w:r>
              <w:t>重庆英斯凯化工有限公司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2.5032</w:t>
            </w:r>
          </w:p>
        </w:tc>
        <w:tc>
          <w:tcPr>
            <w:tcW w:w="262" w:type="pct"/>
            <w:vAlign w:val="center"/>
          </w:tcPr>
          <w:p>
            <w:pPr>
              <w:pStyle w:val="42"/>
            </w:pPr>
          </w:p>
        </w:tc>
        <w:tc>
          <w:tcPr>
            <w:tcW w:w="262" w:type="pct"/>
            <w:vAlign w:val="center"/>
          </w:tcPr>
          <w:p>
            <w:pPr>
              <w:pStyle w:val="42"/>
            </w:pPr>
            <w:r>
              <w:t>0.1992</w:t>
            </w:r>
          </w:p>
        </w:tc>
        <w:tc>
          <w:tcPr>
            <w:tcW w:w="215" w:type="pct"/>
            <w:vAlign w:val="center"/>
          </w:tcPr>
          <w:p>
            <w:pPr>
              <w:pStyle w:val="42"/>
            </w:pPr>
          </w:p>
        </w:tc>
        <w:tc>
          <w:tcPr>
            <w:tcW w:w="225" w:type="pct"/>
            <w:vAlign w:val="center"/>
          </w:tcPr>
          <w:p>
            <w:pPr>
              <w:pStyle w:val="42"/>
            </w:pPr>
            <w:r>
              <w:t>0.2297</w:t>
            </w:r>
          </w:p>
        </w:tc>
        <w:tc>
          <w:tcPr>
            <w:tcW w:w="262" w:type="pct"/>
            <w:vAlign w:val="center"/>
          </w:tcPr>
          <w:p>
            <w:pPr>
              <w:pStyle w:val="42"/>
            </w:pPr>
            <w:r>
              <w:t>0.2738</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r>
              <w:t>0.126</w:t>
            </w:r>
          </w:p>
        </w:tc>
        <w:tc>
          <w:tcPr>
            <w:tcW w:w="215" w:type="pct"/>
            <w:vAlign w:val="center"/>
          </w:tcPr>
          <w:p>
            <w:pPr>
              <w:pStyle w:val="42"/>
            </w:pPr>
            <w:r>
              <w:t>0.018</w:t>
            </w:r>
          </w:p>
        </w:tc>
        <w:tc>
          <w:tcPr>
            <w:tcW w:w="261" w:type="pct"/>
            <w:vAlign w:val="center"/>
          </w:tcPr>
          <w:p>
            <w:pPr>
              <w:pStyle w:val="42"/>
            </w:pPr>
            <w: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w:t>
            </w:r>
          </w:p>
        </w:tc>
        <w:tc>
          <w:tcPr>
            <w:tcW w:w="970" w:type="pct"/>
            <w:vAlign w:val="center"/>
          </w:tcPr>
          <w:p>
            <w:pPr>
              <w:pStyle w:val="42"/>
            </w:pPr>
            <w:r>
              <w:t>重庆市中润化学有限公司</w:t>
            </w:r>
          </w:p>
        </w:tc>
        <w:tc>
          <w:tcPr>
            <w:tcW w:w="300" w:type="pct"/>
            <w:vAlign w:val="center"/>
          </w:tcPr>
          <w:p>
            <w:pPr>
              <w:pStyle w:val="42"/>
            </w:pPr>
            <w:r>
              <w:t>0.58</w:t>
            </w:r>
          </w:p>
        </w:tc>
        <w:tc>
          <w:tcPr>
            <w:tcW w:w="300" w:type="pct"/>
            <w:vAlign w:val="center"/>
          </w:tcPr>
          <w:p>
            <w:pPr>
              <w:pStyle w:val="42"/>
            </w:pPr>
            <w:r>
              <w:t>5.43</w:t>
            </w:r>
          </w:p>
        </w:tc>
        <w:tc>
          <w:tcPr>
            <w:tcW w:w="300" w:type="pct"/>
            <w:vAlign w:val="center"/>
          </w:tcPr>
          <w:p>
            <w:pPr>
              <w:pStyle w:val="42"/>
            </w:pPr>
            <w:r>
              <w:t>1.38</w:t>
            </w:r>
          </w:p>
        </w:tc>
        <w:tc>
          <w:tcPr>
            <w:tcW w:w="300" w:type="pct"/>
            <w:vAlign w:val="center"/>
          </w:tcPr>
          <w:p>
            <w:pPr>
              <w:pStyle w:val="42"/>
            </w:pPr>
            <w:r>
              <w:t>4.97</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63" w:type="pct"/>
            <w:vAlign w:val="center"/>
          </w:tcPr>
          <w:p>
            <w:pPr>
              <w:pStyle w:val="42"/>
            </w:pPr>
            <w:r>
              <w:t>9</w:t>
            </w:r>
          </w:p>
        </w:tc>
        <w:tc>
          <w:tcPr>
            <w:tcW w:w="970" w:type="pct"/>
            <w:vAlign w:val="center"/>
          </w:tcPr>
          <w:p>
            <w:pPr>
              <w:pStyle w:val="42"/>
            </w:pPr>
            <w:r>
              <w:t>重庆大禹防水科技发展有限公司</w:t>
            </w:r>
          </w:p>
        </w:tc>
        <w:tc>
          <w:tcPr>
            <w:tcW w:w="300" w:type="pct"/>
            <w:vAlign w:val="center"/>
          </w:tcPr>
          <w:p>
            <w:pPr>
              <w:pStyle w:val="42"/>
            </w:pPr>
            <w:r>
              <w:t>0.240</w:t>
            </w:r>
          </w:p>
        </w:tc>
        <w:tc>
          <w:tcPr>
            <w:tcW w:w="300" w:type="pct"/>
            <w:vAlign w:val="center"/>
          </w:tcPr>
          <w:p>
            <w:pPr>
              <w:pStyle w:val="42"/>
            </w:pPr>
            <w:r>
              <w:t>1.513</w:t>
            </w:r>
          </w:p>
        </w:tc>
        <w:tc>
          <w:tcPr>
            <w:tcW w:w="300" w:type="pct"/>
            <w:vAlign w:val="center"/>
          </w:tcPr>
          <w:p>
            <w:pPr>
              <w:pStyle w:val="42"/>
            </w:pPr>
            <w:r>
              <w:t>2.823</w:t>
            </w:r>
          </w:p>
        </w:tc>
        <w:tc>
          <w:tcPr>
            <w:tcW w:w="300" w:type="pct"/>
            <w:vAlign w:val="center"/>
          </w:tcPr>
          <w:p>
            <w:pPr>
              <w:pStyle w:val="42"/>
            </w:pPr>
            <w:r>
              <w:t>1.362</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63" w:type="pct"/>
            <w:vAlign w:val="center"/>
          </w:tcPr>
          <w:p>
            <w:pPr>
              <w:pStyle w:val="42"/>
            </w:pPr>
            <w:r>
              <w:t>10</w:t>
            </w:r>
          </w:p>
        </w:tc>
        <w:tc>
          <w:tcPr>
            <w:tcW w:w="970" w:type="pct"/>
            <w:vAlign w:val="center"/>
          </w:tcPr>
          <w:p>
            <w:pPr>
              <w:pStyle w:val="42"/>
            </w:pPr>
            <w:r>
              <w:t>重庆中科力泰高分子材料股份有限公司</w:t>
            </w:r>
          </w:p>
        </w:tc>
        <w:tc>
          <w:tcPr>
            <w:tcW w:w="300" w:type="pct"/>
            <w:vAlign w:val="center"/>
          </w:tcPr>
          <w:p>
            <w:pPr>
              <w:pStyle w:val="42"/>
            </w:pPr>
            <w:r>
              <w:t>0.538</w:t>
            </w:r>
          </w:p>
        </w:tc>
        <w:tc>
          <w:tcPr>
            <w:tcW w:w="300" w:type="pct"/>
            <w:vAlign w:val="center"/>
          </w:tcPr>
          <w:p>
            <w:pPr>
              <w:pStyle w:val="42"/>
            </w:pPr>
            <w:r>
              <w:t>0.215</w:t>
            </w:r>
          </w:p>
        </w:tc>
        <w:tc>
          <w:tcPr>
            <w:tcW w:w="300" w:type="pct"/>
            <w:vAlign w:val="center"/>
          </w:tcPr>
          <w:p>
            <w:pPr>
              <w:pStyle w:val="42"/>
            </w:pPr>
            <w:r>
              <w:t>0.0734</w:t>
            </w:r>
          </w:p>
        </w:tc>
        <w:tc>
          <w:tcPr>
            <w:tcW w:w="300" w:type="pct"/>
            <w:vAlign w:val="center"/>
          </w:tcPr>
          <w:p>
            <w:pPr>
              <w:pStyle w:val="42"/>
            </w:pPr>
            <w:r>
              <w:t>0.335</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11</w:t>
            </w:r>
          </w:p>
        </w:tc>
        <w:tc>
          <w:tcPr>
            <w:tcW w:w="970" w:type="pct"/>
            <w:vAlign w:val="center"/>
          </w:tcPr>
          <w:p>
            <w:pPr>
              <w:pStyle w:val="42"/>
            </w:pPr>
            <w:r>
              <w:t>重庆紫光国际化工有限责任公司</w:t>
            </w:r>
          </w:p>
        </w:tc>
        <w:tc>
          <w:tcPr>
            <w:tcW w:w="300" w:type="pct"/>
            <w:vAlign w:val="center"/>
          </w:tcPr>
          <w:p>
            <w:pPr>
              <w:pStyle w:val="42"/>
            </w:pPr>
            <w:r>
              <w:t>80.81</w:t>
            </w:r>
          </w:p>
        </w:tc>
        <w:tc>
          <w:tcPr>
            <w:tcW w:w="300" w:type="pct"/>
            <w:vAlign w:val="center"/>
          </w:tcPr>
          <w:p>
            <w:pPr>
              <w:pStyle w:val="42"/>
            </w:pPr>
            <w:r>
              <w:t>402.62</w:t>
            </w:r>
          </w:p>
        </w:tc>
        <w:tc>
          <w:tcPr>
            <w:tcW w:w="300" w:type="pct"/>
            <w:vAlign w:val="center"/>
          </w:tcPr>
          <w:p>
            <w:pPr>
              <w:pStyle w:val="42"/>
            </w:pPr>
            <w:r>
              <w:t>4.57</w:t>
            </w:r>
          </w:p>
        </w:tc>
        <w:tc>
          <w:tcPr>
            <w:tcW w:w="300" w:type="pct"/>
            <w:vAlign w:val="center"/>
          </w:tcPr>
          <w:p>
            <w:pPr>
              <w:pStyle w:val="42"/>
            </w:pPr>
          </w:p>
        </w:tc>
        <w:tc>
          <w:tcPr>
            <w:tcW w:w="262" w:type="pct"/>
            <w:vAlign w:val="center"/>
          </w:tcPr>
          <w:p>
            <w:pPr>
              <w:pStyle w:val="42"/>
            </w:pPr>
          </w:p>
        </w:tc>
        <w:tc>
          <w:tcPr>
            <w:tcW w:w="262" w:type="pct"/>
            <w:vAlign w:val="center"/>
          </w:tcPr>
          <w:p>
            <w:pPr>
              <w:pStyle w:val="42"/>
            </w:pPr>
            <w:r>
              <w:t>1.62</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0.43</w:t>
            </w:r>
          </w:p>
        </w:tc>
        <w:tc>
          <w:tcPr>
            <w:tcW w:w="225" w:type="pct"/>
            <w:vAlign w:val="center"/>
          </w:tcPr>
          <w:p>
            <w:pPr>
              <w:pStyle w:val="42"/>
            </w:pPr>
            <w:r>
              <w:t>0.055</w:t>
            </w:r>
          </w:p>
        </w:tc>
        <w:tc>
          <w:tcPr>
            <w:tcW w:w="225" w:type="pct"/>
            <w:vAlign w:val="center"/>
          </w:tcPr>
          <w:p>
            <w:pPr>
              <w:pStyle w:val="42"/>
            </w:pPr>
            <w:r>
              <w:t>8</w:t>
            </w:r>
          </w:p>
        </w:tc>
        <w:tc>
          <w:tcPr>
            <w:tcW w:w="229" w:type="pct"/>
            <w:vAlign w:val="center"/>
          </w:tcPr>
          <w:p>
            <w:pPr>
              <w:pStyle w:val="42"/>
            </w:pPr>
          </w:p>
        </w:tc>
        <w:tc>
          <w:tcPr>
            <w:tcW w:w="286" w:type="pct"/>
            <w:vAlign w:val="center"/>
          </w:tcPr>
          <w:p>
            <w:pPr>
              <w:pStyle w:val="42"/>
            </w:pPr>
            <w:r>
              <w:t>0.015</w:t>
            </w:r>
          </w:p>
        </w:tc>
        <w:tc>
          <w:tcPr>
            <w:tcW w:w="215" w:type="pct"/>
            <w:vAlign w:val="center"/>
          </w:tcPr>
          <w:p>
            <w:pPr>
              <w:pStyle w:val="42"/>
            </w:pPr>
          </w:p>
        </w:tc>
        <w:tc>
          <w:tcPr>
            <w:tcW w:w="261" w:type="pct"/>
            <w:vAlign w:val="center"/>
          </w:tcPr>
          <w:p>
            <w:pPr>
              <w:pStyle w:val="42"/>
            </w:pPr>
            <w: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12</w:t>
            </w:r>
          </w:p>
        </w:tc>
        <w:tc>
          <w:tcPr>
            <w:tcW w:w="970" w:type="pct"/>
            <w:vAlign w:val="center"/>
          </w:tcPr>
          <w:p>
            <w:pPr>
              <w:pStyle w:val="42"/>
            </w:pPr>
            <w:r>
              <w:t>重庆德馨香料植物开发公司</w:t>
            </w:r>
          </w:p>
        </w:tc>
        <w:tc>
          <w:tcPr>
            <w:tcW w:w="300" w:type="pct"/>
            <w:vAlign w:val="center"/>
          </w:tcPr>
          <w:p>
            <w:pPr>
              <w:pStyle w:val="42"/>
            </w:pPr>
            <w:r>
              <w:t>0.096</w:t>
            </w:r>
          </w:p>
        </w:tc>
        <w:tc>
          <w:tcPr>
            <w:tcW w:w="300" w:type="pct"/>
            <w:vAlign w:val="center"/>
          </w:tcPr>
          <w:p>
            <w:pPr>
              <w:pStyle w:val="42"/>
            </w:pPr>
          </w:p>
        </w:tc>
        <w:tc>
          <w:tcPr>
            <w:tcW w:w="300" w:type="pct"/>
            <w:vAlign w:val="center"/>
          </w:tcPr>
          <w:p>
            <w:pPr>
              <w:pStyle w:val="42"/>
            </w:pPr>
            <w:r>
              <w:t>0.067</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13</w:t>
            </w:r>
          </w:p>
        </w:tc>
        <w:tc>
          <w:tcPr>
            <w:tcW w:w="970" w:type="pct"/>
            <w:vAlign w:val="center"/>
          </w:tcPr>
          <w:p>
            <w:pPr>
              <w:pStyle w:val="42"/>
            </w:pPr>
            <w:r>
              <w:t>重庆市映天辉氯碱化工有限公司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20.4</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14</w:t>
            </w:r>
          </w:p>
        </w:tc>
        <w:tc>
          <w:tcPr>
            <w:tcW w:w="970" w:type="pct"/>
            <w:vAlign w:val="center"/>
          </w:tcPr>
          <w:p>
            <w:pPr>
              <w:pStyle w:val="42"/>
            </w:pPr>
            <w:r>
              <w:t>中荣（重庆）化工分销服务有限公司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0.5</w:t>
            </w:r>
          </w:p>
        </w:tc>
        <w:tc>
          <w:tcPr>
            <w:tcW w:w="262" w:type="pct"/>
            <w:vAlign w:val="center"/>
          </w:tcPr>
          <w:p>
            <w:pPr>
              <w:pStyle w:val="42"/>
            </w:pPr>
          </w:p>
        </w:tc>
        <w:tc>
          <w:tcPr>
            <w:tcW w:w="262" w:type="pct"/>
            <w:vAlign w:val="center"/>
          </w:tcPr>
          <w:p>
            <w:pPr>
              <w:pStyle w:val="42"/>
            </w:pPr>
            <w:r>
              <w:t>0.53</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0.03</w:t>
            </w:r>
          </w:p>
        </w:tc>
        <w:tc>
          <w:tcPr>
            <w:tcW w:w="225" w:type="pct"/>
            <w:vAlign w:val="center"/>
          </w:tcPr>
          <w:p>
            <w:pPr>
              <w:pStyle w:val="42"/>
            </w:pPr>
          </w:p>
        </w:tc>
        <w:tc>
          <w:tcPr>
            <w:tcW w:w="225" w:type="pct"/>
            <w:vAlign w:val="center"/>
          </w:tcPr>
          <w:p>
            <w:pPr>
              <w:pStyle w:val="42"/>
            </w:pPr>
            <w:r>
              <w:t>0.002</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15</w:t>
            </w:r>
          </w:p>
        </w:tc>
        <w:tc>
          <w:tcPr>
            <w:tcW w:w="970" w:type="pct"/>
            <w:vAlign w:val="center"/>
          </w:tcPr>
          <w:p>
            <w:pPr>
              <w:pStyle w:val="42"/>
            </w:pPr>
            <w:r>
              <w:t>攀钢集团重庆钛业有限公司</w:t>
            </w:r>
          </w:p>
        </w:tc>
        <w:tc>
          <w:tcPr>
            <w:tcW w:w="300" w:type="pct"/>
            <w:vAlign w:val="center"/>
          </w:tcPr>
          <w:p>
            <w:pPr>
              <w:pStyle w:val="42"/>
            </w:pPr>
            <w:r>
              <w:t>93.84</w:t>
            </w:r>
          </w:p>
        </w:tc>
        <w:tc>
          <w:tcPr>
            <w:tcW w:w="300" w:type="pct"/>
            <w:vAlign w:val="center"/>
          </w:tcPr>
          <w:p>
            <w:pPr>
              <w:pStyle w:val="42"/>
            </w:pPr>
            <w:r>
              <w:t>71.77</w:t>
            </w:r>
          </w:p>
        </w:tc>
        <w:tc>
          <w:tcPr>
            <w:tcW w:w="300" w:type="pct"/>
            <w:vAlign w:val="center"/>
          </w:tcPr>
          <w:p>
            <w:pPr>
              <w:pStyle w:val="42"/>
            </w:pPr>
            <w:r>
              <w:t>110.68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r>
              <w:t>0.003</w:t>
            </w:r>
          </w:p>
        </w:tc>
        <w:tc>
          <w:tcPr>
            <w:tcW w:w="225" w:type="pct"/>
            <w:vAlign w:val="center"/>
          </w:tcPr>
          <w:p>
            <w:pPr>
              <w:pStyle w:val="42"/>
            </w:pPr>
            <w:r>
              <w:t>0.52</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16</w:t>
            </w:r>
          </w:p>
        </w:tc>
        <w:tc>
          <w:tcPr>
            <w:tcW w:w="970" w:type="pct"/>
            <w:vAlign w:val="center"/>
          </w:tcPr>
          <w:p>
            <w:pPr>
              <w:pStyle w:val="42"/>
            </w:pPr>
            <w:r>
              <w:t>重庆鑫富化工有限公司</w:t>
            </w:r>
          </w:p>
        </w:tc>
        <w:tc>
          <w:tcPr>
            <w:tcW w:w="300" w:type="pct"/>
            <w:vAlign w:val="center"/>
          </w:tcPr>
          <w:p>
            <w:pPr>
              <w:pStyle w:val="42"/>
            </w:pPr>
            <w:r>
              <w:t>1.20</w:t>
            </w:r>
          </w:p>
        </w:tc>
        <w:tc>
          <w:tcPr>
            <w:tcW w:w="300" w:type="pct"/>
            <w:vAlign w:val="center"/>
          </w:tcPr>
          <w:p>
            <w:pPr>
              <w:pStyle w:val="42"/>
            </w:pPr>
            <w:r>
              <w:t>21.40</w:t>
            </w:r>
          </w:p>
        </w:tc>
        <w:tc>
          <w:tcPr>
            <w:tcW w:w="300" w:type="pct"/>
            <w:vAlign w:val="center"/>
          </w:tcPr>
          <w:p>
            <w:pPr>
              <w:pStyle w:val="42"/>
            </w:pPr>
            <w:r>
              <w:t>6.68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r>
              <w:t>0.24</w:t>
            </w: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17</w:t>
            </w:r>
          </w:p>
        </w:tc>
        <w:tc>
          <w:tcPr>
            <w:tcW w:w="970" w:type="pct"/>
            <w:vAlign w:val="center"/>
          </w:tcPr>
          <w:p>
            <w:pPr>
              <w:pStyle w:val="42"/>
            </w:pPr>
            <w:r>
              <w:t>重庆三峡英力化工有限公司</w:t>
            </w:r>
          </w:p>
        </w:tc>
        <w:tc>
          <w:tcPr>
            <w:tcW w:w="300" w:type="pct"/>
            <w:vAlign w:val="center"/>
          </w:tcPr>
          <w:p>
            <w:pPr>
              <w:pStyle w:val="42"/>
            </w:pPr>
            <w:r>
              <w:t>1.20</w:t>
            </w:r>
          </w:p>
        </w:tc>
        <w:tc>
          <w:tcPr>
            <w:tcW w:w="300" w:type="pct"/>
            <w:vAlign w:val="center"/>
          </w:tcPr>
          <w:p>
            <w:pPr>
              <w:pStyle w:val="42"/>
            </w:pPr>
            <w:r>
              <w:t>0.007</w:t>
            </w:r>
          </w:p>
        </w:tc>
        <w:tc>
          <w:tcPr>
            <w:tcW w:w="300" w:type="pct"/>
            <w:vAlign w:val="center"/>
          </w:tcPr>
          <w:p>
            <w:pPr>
              <w:pStyle w:val="42"/>
            </w:pPr>
            <w:r>
              <w:t>6.768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18</w:t>
            </w:r>
          </w:p>
        </w:tc>
        <w:tc>
          <w:tcPr>
            <w:tcW w:w="970" w:type="pct"/>
            <w:vAlign w:val="center"/>
          </w:tcPr>
          <w:p>
            <w:pPr>
              <w:pStyle w:val="42"/>
            </w:pPr>
            <w:r>
              <w:t>重庆润江水泥公司（长寿西南水泥厂）</w:t>
            </w:r>
          </w:p>
        </w:tc>
        <w:tc>
          <w:tcPr>
            <w:tcW w:w="300" w:type="pct"/>
            <w:vAlign w:val="center"/>
          </w:tcPr>
          <w:p>
            <w:pPr>
              <w:pStyle w:val="42"/>
            </w:pPr>
            <w:r>
              <w:t>623.17</w:t>
            </w:r>
          </w:p>
        </w:tc>
        <w:tc>
          <w:tcPr>
            <w:tcW w:w="300" w:type="pct"/>
            <w:vAlign w:val="center"/>
          </w:tcPr>
          <w:p>
            <w:pPr>
              <w:pStyle w:val="42"/>
            </w:pPr>
            <w:r>
              <w:t>2725.03</w:t>
            </w:r>
          </w:p>
        </w:tc>
        <w:tc>
          <w:tcPr>
            <w:tcW w:w="300" w:type="pct"/>
            <w:vAlign w:val="center"/>
          </w:tcPr>
          <w:p>
            <w:pPr>
              <w:pStyle w:val="42"/>
            </w:pPr>
            <w:r>
              <w:t>850.47</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19</w:t>
            </w:r>
          </w:p>
        </w:tc>
        <w:tc>
          <w:tcPr>
            <w:tcW w:w="970" w:type="pct"/>
            <w:vAlign w:val="center"/>
          </w:tcPr>
          <w:p>
            <w:pPr>
              <w:pStyle w:val="42"/>
            </w:pPr>
            <w:r>
              <w:t>阿丽斯科</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r>
              <w:t>0.70</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20</w:t>
            </w:r>
          </w:p>
        </w:tc>
        <w:tc>
          <w:tcPr>
            <w:tcW w:w="970" w:type="pct"/>
            <w:vAlign w:val="center"/>
          </w:tcPr>
          <w:p>
            <w:pPr>
              <w:pStyle w:val="42"/>
            </w:pPr>
            <w:r>
              <w:t>重庆信有达日化有限责任公司</w:t>
            </w:r>
          </w:p>
        </w:tc>
        <w:tc>
          <w:tcPr>
            <w:tcW w:w="300" w:type="pct"/>
            <w:vAlign w:val="center"/>
          </w:tcPr>
          <w:p>
            <w:pPr>
              <w:pStyle w:val="42"/>
            </w:pPr>
            <w:r>
              <w:t>3.013</w:t>
            </w:r>
          </w:p>
        </w:tc>
        <w:tc>
          <w:tcPr>
            <w:tcW w:w="300" w:type="pct"/>
            <w:vAlign w:val="center"/>
          </w:tcPr>
          <w:p>
            <w:pPr>
              <w:pStyle w:val="42"/>
            </w:pPr>
            <w:r>
              <w:t>0.216</w:t>
            </w:r>
          </w:p>
        </w:tc>
        <w:tc>
          <w:tcPr>
            <w:tcW w:w="300" w:type="pct"/>
            <w:vAlign w:val="center"/>
          </w:tcPr>
          <w:p>
            <w:pPr>
              <w:pStyle w:val="42"/>
            </w:pPr>
            <w:r>
              <w:t>1.08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21</w:t>
            </w:r>
          </w:p>
        </w:tc>
        <w:tc>
          <w:tcPr>
            <w:tcW w:w="970" w:type="pct"/>
            <w:vAlign w:val="center"/>
          </w:tcPr>
          <w:p>
            <w:pPr>
              <w:pStyle w:val="42"/>
            </w:pPr>
            <w:r>
              <w:t>重庆海帆生化科技有限公司</w:t>
            </w:r>
          </w:p>
        </w:tc>
        <w:tc>
          <w:tcPr>
            <w:tcW w:w="300" w:type="pct"/>
            <w:vAlign w:val="center"/>
          </w:tcPr>
          <w:p>
            <w:pPr>
              <w:pStyle w:val="42"/>
            </w:pPr>
            <w:r>
              <w:t>0.117</w:t>
            </w:r>
          </w:p>
        </w:tc>
        <w:tc>
          <w:tcPr>
            <w:tcW w:w="300" w:type="pct"/>
            <w:vAlign w:val="center"/>
          </w:tcPr>
          <w:p>
            <w:pPr>
              <w:pStyle w:val="42"/>
            </w:pPr>
            <w:r>
              <w:t>0.525</w:t>
            </w:r>
          </w:p>
        </w:tc>
        <w:tc>
          <w:tcPr>
            <w:tcW w:w="300" w:type="pct"/>
            <w:vAlign w:val="center"/>
          </w:tcPr>
          <w:p>
            <w:pPr>
              <w:pStyle w:val="42"/>
            </w:pPr>
            <w:r>
              <w:t>0.058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22</w:t>
            </w:r>
          </w:p>
        </w:tc>
        <w:tc>
          <w:tcPr>
            <w:tcW w:w="970" w:type="pct"/>
            <w:vAlign w:val="center"/>
          </w:tcPr>
          <w:p>
            <w:pPr>
              <w:pStyle w:val="42"/>
            </w:pPr>
            <w:r>
              <w:t>重庆长龙药业(集团)有限公司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23</w:t>
            </w:r>
          </w:p>
        </w:tc>
        <w:tc>
          <w:tcPr>
            <w:tcW w:w="970" w:type="pct"/>
            <w:vAlign w:val="center"/>
          </w:tcPr>
          <w:p>
            <w:pPr>
              <w:pStyle w:val="42"/>
            </w:pPr>
            <w:r>
              <w:t>重庆宏港化工物质有限公司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24</w:t>
            </w:r>
          </w:p>
        </w:tc>
        <w:tc>
          <w:tcPr>
            <w:tcW w:w="970" w:type="pct"/>
            <w:vAlign w:val="center"/>
          </w:tcPr>
          <w:p>
            <w:pPr>
              <w:pStyle w:val="42"/>
            </w:pPr>
            <w:r>
              <w:t>重钢冷轧厂</w:t>
            </w:r>
          </w:p>
        </w:tc>
        <w:tc>
          <w:tcPr>
            <w:tcW w:w="300" w:type="pct"/>
            <w:vAlign w:val="center"/>
          </w:tcPr>
          <w:p>
            <w:pPr>
              <w:pStyle w:val="42"/>
            </w:pPr>
            <w:r>
              <w:t>0.517</w:t>
            </w:r>
          </w:p>
        </w:tc>
        <w:tc>
          <w:tcPr>
            <w:tcW w:w="300" w:type="pct"/>
            <w:vAlign w:val="center"/>
          </w:tcPr>
          <w:p>
            <w:pPr>
              <w:pStyle w:val="42"/>
            </w:pPr>
          </w:p>
        </w:tc>
        <w:tc>
          <w:tcPr>
            <w:tcW w:w="300" w:type="pct"/>
            <w:vAlign w:val="center"/>
          </w:tcPr>
          <w:p>
            <w:pPr>
              <w:pStyle w:val="42"/>
            </w:pPr>
            <w:r>
              <w:t>11.36</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25</w:t>
            </w:r>
          </w:p>
        </w:tc>
        <w:tc>
          <w:tcPr>
            <w:tcW w:w="970" w:type="pct"/>
            <w:vAlign w:val="center"/>
          </w:tcPr>
          <w:p>
            <w:pPr>
              <w:pStyle w:val="42"/>
            </w:pPr>
            <w:r>
              <w:t>重庆永航金属制品公司</w:t>
            </w:r>
          </w:p>
        </w:tc>
        <w:tc>
          <w:tcPr>
            <w:tcW w:w="300" w:type="pct"/>
            <w:vAlign w:val="center"/>
          </w:tcPr>
          <w:p>
            <w:pPr>
              <w:pStyle w:val="42"/>
            </w:pPr>
            <w:r>
              <w:t>67.80</w:t>
            </w:r>
          </w:p>
        </w:tc>
        <w:tc>
          <w:tcPr>
            <w:tcW w:w="300" w:type="pct"/>
            <w:vAlign w:val="center"/>
          </w:tcPr>
          <w:p>
            <w:pPr>
              <w:pStyle w:val="42"/>
            </w:pPr>
          </w:p>
        </w:tc>
        <w:tc>
          <w:tcPr>
            <w:tcW w:w="300" w:type="pct"/>
            <w:vAlign w:val="center"/>
          </w:tcPr>
          <w:p>
            <w:pPr>
              <w:pStyle w:val="42"/>
            </w:pPr>
            <w:r>
              <w:t>117.30</w:t>
            </w:r>
          </w:p>
        </w:tc>
        <w:tc>
          <w:tcPr>
            <w:tcW w:w="300" w:type="pct"/>
            <w:vAlign w:val="center"/>
          </w:tcPr>
          <w:p>
            <w:pPr>
              <w:pStyle w:val="42"/>
            </w:pPr>
          </w:p>
        </w:tc>
        <w:tc>
          <w:tcPr>
            <w:tcW w:w="262" w:type="pct"/>
            <w:vAlign w:val="center"/>
          </w:tcPr>
          <w:p>
            <w:pPr>
              <w:pStyle w:val="42"/>
            </w:pPr>
            <w:r>
              <w:t>7.29</w:t>
            </w: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26</w:t>
            </w:r>
          </w:p>
        </w:tc>
        <w:tc>
          <w:tcPr>
            <w:tcW w:w="970" w:type="pct"/>
            <w:vAlign w:val="center"/>
          </w:tcPr>
          <w:p>
            <w:pPr>
              <w:pStyle w:val="42"/>
            </w:pPr>
            <w:r>
              <w:t>重庆晏诚金属制品有限公司</w:t>
            </w:r>
          </w:p>
        </w:tc>
        <w:tc>
          <w:tcPr>
            <w:tcW w:w="300" w:type="pct"/>
            <w:vAlign w:val="center"/>
          </w:tcPr>
          <w:p>
            <w:pPr>
              <w:pStyle w:val="42"/>
            </w:pPr>
            <w:r>
              <w:t>0.051</w:t>
            </w:r>
          </w:p>
        </w:tc>
        <w:tc>
          <w:tcPr>
            <w:tcW w:w="300" w:type="pct"/>
            <w:vAlign w:val="center"/>
          </w:tcPr>
          <w:p>
            <w:pPr>
              <w:pStyle w:val="42"/>
            </w:pPr>
            <w:r>
              <w:t>0.06</w:t>
            </w: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27</w:t>
            </w:r>
          </w:p>
        </w:tc>
        <w:tc>
          <w:tcPr>
            <w:tcW w:w="970" w:type="pct"/>
            <w:vAlign w:val="center"/>
          </w:tcPr>
          <w:p>
            <w:pPr>
              <w:pStyle w:val="42"/>
            </w:pPr>
            <w:r>
              <w:t>重庆联正机电设备公司</w:t>
            </w:r>
          </w:p>
        </w:tc>
        <w:tc>
          <w:tcPr>
            <w:tcW w:w="300" w:type="pct"/>
            <w:vAlign w:val="center"/>
          </w:tcPr>
          <w:p>
            <w:pPr>
              <w:pStyle w:val="42"/>
            </w:pPr>
            <w:r>
              <w:t>0.013</w:t>
            </w:r>
          </w:p>
        </w:tc>
        <w:tc>
          <w:tcPr>
            <w:tcW w:w="300" w:type="pct"/>
            <w:vAlign w:val="center"/>
          </w:tcPr>
          <w:p>
            <w:pPr>
              <w:pStyle w:val="42"/>
            </w:pPr>
          </w:p>
        </w:tc>
        <w:tc>
          <w:tcPr>
            <w:tcW w:w="300" w:type="pct"/>
            <w:vAlign w:val="center"/>
          </w:tcPr>
          <w:p>
            <w:pPr>
              <w:pStyle w:val="42"/>
            </w:pPr>
            <w:r>
              <w:t>0.144</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28</w:t>
            </w:r>
          </w:p>
        </w:tc>
        <w:tc>
          <w:tcPr>
            <w:tcW w:w="970" w:type="pct"/>
            <w:vAlign w:val="center"/>
          </w:tcPr>
          <w:p>
            <w:pPr>
              <w:pStyle w:val="42"/>
            </w:pPr>
            <w:r>
              <w:t>重庆鸽牌公司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0.67</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29</w:t>
            </w:r>
          </w:p>
        </w:tc>
        <w:tc>
          <w:tcPr>
            <w:tcW w:w="970" w:type="pct"/>
            <w:vAlign w:val="center"/>
          </w:tcPr>
          <w:p>
            <w:pPr>
              <w:pStyle w:val="42"/>
            </w:pPr>
            <w:r>
              <w:t>重庆山能仪表有限公司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r>
              <w:t>0.0011</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30</w:t>
            </w:r>
          </w:p>
        </w:tc>
        <w:tc>
          <w:tcPr>
            <w:tcW w:w="970" w:type="pct"/>
            <w:vAlign w:val="center"/>
          </w:tcPr>
          <w:p>
            <w:pPr>
              <w:pStyle w:val="42"/>
            </w:pPr>
            <w:r>
              <w:t>重庆鑫锭教学设备有限公司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0.132</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31</w:t>
            </w:r>
          </w:p>
        </w:tc>
        <w:tc>
          <w:tcPr>
            <w:tcW w:w="970" w:type="pct"/>
            <w:vAlign w:val="center"/>
          </w:tcPr>
          <w:p>
            <w:pPr>
              <w:pStyle w:val="42"/>
            </w:pPr>
            <w:r>
              <w:t>重庆航铸钢结构有限公司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1.008</w:t>
            </w:r>
          </w:p>
        </w:tc>
        <w:tc>
          <w:tcPr>
            <w:tcW w:w="262" w:type="pct"/>
            <w:vAlign w:val="center"/>
          </w:tcPr>
          <w:p>
            <w:pPr>
              <w:pStyle w:val="42"/>
            </w:pPr>
          </w:p>
        </w:tc>
        <w:tc>
          <w:tcPr>
            <w:tcW w:w="262" w:type="pct"/>
            <w:vAlign w:val="center"/>
          </w:tcPr>
          <w:p>
            <w:pPr>
              <w:pStyle w:val="42"/>
            </w:pPr>
            <w:r>
              <w:t>0.178</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32</w:t>
            </w:r>
          </w:p>
        </w:tc>
        <w:tc>
          <w:tcPr>
            <w:tcW w:w="970" w:type="pct"/>
            <w:vAlign w:val="center"/>
          </w:tcPr>
          <w:p>
            <w:pPr>
              <w:pStyle w:val="42"/>
            </w:pPr>
            <w:r>
              <w:t>重庆钢铁集团</w:t>
            </w:r>
          </w:p>
        </w:tc>
        <w:tc>
          <w:tcPr>
            <w:tcW w:w="300" w:type="pct"/>
            <w:vAlign w:val="center"/>
          </w:tcPr>
          <w:p>
            <w:pPr>
              <w:pStyle w:val="42"/>
            </w:pPr>
            <w:r>
              <w:t>4.482</w:t>
            </w:r>
          </w:p>
        </w:tc>
        <w:tc>
          <w:tcPr>
            <w:tcW w:w="300" w:type="pct"/>
            <w:vAlign w:val="center"/>
          </w:tcPr>
          <w:p>
            <w:pPr>
              <w:pStyle w:val="42"/>
            </w:pPr>
            <w:r>
              <w:t>2.85</w:t>
            </w:r>
          </w:p>
        </w:tc>
        <w:tc>
          <w:tcPr>
            <w:tcW w:w="300" w:type="pct"/>
            <w:vAlign w:val="center"/>
          </w:tcPr>
          <w:p>
            <w:pPr>
              <w:pStyle w:val="42"/>
            </w:pPr>
            <w:r>
              <w:t>23.495</w:t>
            </w:r>
          </w:p>
        </w:tc>
        <w:tc>
          <w:tcPr>
            <w:tcW w:w="300" w:type="pct"/>
            <w:vAlign w:val="center"/>
          </w:tcPr>
          <w:p>
            <w:pPr>
              <w:pStyle w:val="42"/>
            </w:pPr>
          </w:p>
        </w:tc>
        <w:tc>
          <w:tcPr>
            <w:tcW w:w="262" w:type="pct"/>
            <w:vAlign w:val="center"/>
          </w:tcPr>
          <w:p>
            <w:pPr>
              <w:pStyle w:val="42"/>
            </w:pPr>
          </w:p>
        </w:tc>
        <w:tc>
          <w:tcPr>
            <w:tcW w:w="262" w:type="pct"/>
            <w:vAlign w:val="center"/>
          </w:tcPr>
          <w:p>
            <w:pPr>
              <w:pStyle w:val="42"/>
            </w:pPr>
            <w:r>
              <w:t>0.007</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33</w:t>
            </w:r>
          </w:p>
        </w:tc>
        <w:tc>
          <w:tcPr>
            <w:tcW w:w="970" w:type="pct"/>
            <w:vAlign w:val="center"/>
          </w:tcPr>
          <w:p>
            <w:pPr>
              <w:pStyle w:val="42"/>
            </w:pPr>
            <w:r>
              <w:t>重庆永宏石油化工设备有限公司</w:t>
            </w:r>
          </w:p>
        </w:tc>
        <w:tc>
          <w:tcPr>
            <w:tcW w:w="300" w:type="pct"/>
            <w:vAlign w:val="center"/>
          </w:tcPr>
          <w:p>
            <w:pPr>
              <w:pStyle w:val="42"/>
            </w:pPr>
            <w:r>
              <w:t>0.009</w:t>
            </w:r>
          </w:p>
        </w:tc>
        <w:tc>
          <w:tcPr>
            <w:tcW w:w="300" w:type="pct"/>
            <w:vAlign w:val="center"/>
          </w:tcPr>
          <w:p>
            <w:pPr>
              <w:pStyle w:val="42"/>
            </w:pPr>
          </w:p>
        </w:tc>
        <w:tc>
          <w:tcPr>
            <w:tcW w:w="300" w:type="pct"/>
            <w:vAlign w:val="center"/>
          </w:tcPr>
          <w:p>
            <w:pPr>
              <w:pStyle w:val="42"/>
            </w:pPr>
            <w:r>
              <w:t>0.005</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34</w:t>
            </w:r>
          </w:p>
        </w:tc>
        <w:tc>
          <w:tcPr>
            <w:tcW w:w="970" w:type="pct"/>
            <w:vAlign w:val="center"/>
          </w:tcPr>
          <w:p>
            <w:pPr>
              <w:pStyle w:val="42"/>
            </w:pPr>
            <w:r>
              <w:t>重庆环松科技工业公司</w:t>
            </w:r>
          </w:p>
        </w:tc>
        <w:tc>
          <w:tcPr>
            <w:tcW w:w="300" w:type="pct"/>
            <w:vAlign w:val="center"/>
          </w:tcPr>
          <w:p>
            <w:pPr>
              <w:pStyle w:val="42"/>
            </w:pPr>
            <w:r>
              <w:t>0.14</w:t>
            </w:r>
          </w:p>
        </w:tc>
        <w:tc>
          <w:tcPr>
            <w:tcW w:w="300" w:type="pct"/>
            <w:vAlign w:val="center"/>
          </w:tcPr>
          <w:p>
            <w:pPr>
              <w:pStyle w:val="42"/>
            </w:pPr>
          </w:p>
        </w:tc>
        <w:tc>
          <w:tcPr>
            <w:tcW w:w="300" w:type="pct"/>
            <w:vAlign w:val="center"/>
          </w:tcPr>
          <w:p>
            <w:pPr>
              <w:pStyle w:val="42"/>
            </w:pPr>
            <w:r>
              <w:t>1.54</w:t>
            </w:r>
          </w:p>
        </w:tc>
        <w:tc>
          <w:tcPr>
            <w:tcW w:w="300" w:type="pct"/>
            <w:vAlign w:val="center"/>
          </w:tcPr>
          <w:p>
            <w:pPr>
              <w:pStyle w:val="42"/>
            </w:pPr>
          </w:p>
        </w:tc>
        <w:tc>
          <w:tcPr>
            <w:tcW w:w="262" w:type="pct"/>
            <w:vAlign w:val="center"/>
          </w:tcPr>
          <w:p>
            <w:pPr>
              <w:pStyle w:val="42"/>
            </w:pPr>
          </w:p>
        </w:tc>
        <w:tc>
          <w:tcPr>
            <w:tcW w:w="262" w:type="pct"/>
            <w:vAlign w:val="center"/>
          </w:tcPr>
          <w:p>
            <w:pPr>
              <w:pStyle w:val="42"/>
            </w:pPr>
            <w:r>
              <w:t>0.76</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35</w:t>
            </w:r>
          </w:p>
        </w:tc>
        <w:tc>
          <w:tcPr>
            <w:tcW w:w="970" w:type="pct"/>
            <w:vAlign w:val="center"/>
          </w:tcPr>
          <w:p>
            <w:pPr>
              <w:pStyle w:val="42"/>
            </w:pPr>
            <w:r>
              <w:t>重庆渝达动力机械厂、重庆六星动力机械有限公司</w:t>
            </w:r>
          </w:p>
        </w:tc>
        <w:tc>
          <w:tcPr>
            <w:tcW w:w="300" w:type="pct"/>
            <w:vAlign w:val="center"/>
          </w:tcPr>
          <w:p>
            <w:pPr>
              <w:pStyle w:val="42"/>
            </w:pPr>
            <w:r>
              <w:t>0.26</w:t>
            </w:r>
          </w:p>
        </w:tc>
        <w:tc>
          <w:tcPr>
            <w:tcW w:w="300" w:type="pct"/>
            <w:vAlign w:val="center"/>
          </w:tcPr>
          <w:p>
            <w:pPr>
              <w:pStyle w:val="42"/>
            </w:pPr>
          </w:p>
        </w:tc>
        <w:tc>
          <w:tcPr>
            <w:tcW w:w="300" w:type="pct"/>
            <w:vAlign w:val="center"/>
          </w:tcPr>
          <w:p>
            <w:pPr>
              <w:pStyle w:val="42"/>
            </w:pPr>
            <w:r>
              <w:t>2.25</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36</w:t>
            </w:r>
          </w:p>
        </w:tc>
        <w:tc>
          <w:tcPr>
            <w:tcW w:w="970" w:type="pct"/>
            <w:vAlign w:val="center"/>
          </w:tcPr>
          <w:p>
            <w:pPr>
              <w:pStyle w:val="42"/>
            </w:pPr>
            <w:r>
              <w:t>重庆钢铁（集团）三峰公司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0.001</w:t>
            </w:r>
          </w:p>
        </w:tc>
        <w:tc>
          <w:tcPr>
            <w:tcW w:w="300" w:type="pct"/>
            <w:vAlign w:val="center"/>
          </w:tcPr>
          <w:p>
            <w:pPr>
              <w:pStyle w:val="42"/>
            </w:pPr>
          </w:p>
        </w:tc>
        <w:tc>
          <w:tcPr>
            <w:tcW w:w="262" w:type="pct"/>
            <w:vAlign w:val="center"/>
          </w:tcPr>
          <w:p>
            <w:pPr>
              <w:pStyle w:val="42"/>
            </w:pPr>
          </w:p>
        </w:tc>
        <w:tc>
          <w:tcPr>
            <w:tcW w:w="262" w:type="pct"/>
            <w:vAlign w:val="center"/>
          </w:tcPr>
          <w:p>
            <w:pPr>
              <w:pStyle w:val="42"/>
            </w:pPr>
            <w:r>
              <w:t>0.007</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37</w:t>
            </w:r>
          </w:p>
        </w:tc>
        <w:tc>
          <w:tcPr>
            <w:tcW w:w="970" w:type="pct"/>
            <w:vAlign w:val="center"/>
          </w:tcPr>
          <w:p>
            <w:pPr>
              <w:pStyle w:val="42"/>
            </w:pPr>
            <w:r>
              <w:t>重庆市九龙橡胶制品制造有限公司</w:t>
            </w:r>
          </w:p>
        </w:tc>
        <w:tc>
          <w:tcPr>
            <w:tcW w:w="300" w:type="pct"/>
            <w:vAlign w:val="center"/>
          </w:tcPr>
          <w:p>
            <w:pPr>
              <w:pStyle w:val="42"/>
            </w:pPr>
            <w:r>
              <w:t>0.228</w:t>
            </w:r>
          </w:p>
        </w:tc>
        <w:tc>
          <w:tcPr>
            <w:tcW w:w="300" w:type="pct"/>
            <w:vAlign w:val="center"/>
          </w:tcPr>
          <w:p>
            <w:pPr>
              <w:pStyle w:val="42"/>
            </w:pPr>
          </w:p>
        </w:tc>
        <w:tc>
          <w:tcPr>
            <w:tcW w:w="300" w:type="pct"/>
            <w:vAlign w:val="center"/>
          </w:tcPr>
          <w:p>
            <w:pPr>
              <w:pStyle w:val="42"/>
            </w:pPr>
            <w:r>
              <w:t>0.038</w:t>
            </w:r>
          </w:p>
        </w:tc>
        <w:tc>
          <w:tcPr>
            <w:tcW w:w="300" w:type="pct"/>
            <w:vAlign w:val="center"/>
          </w:tcPr>
          <w:p>
            <w:pPr>
              <w:pStyle w:val="42"/>
            </w:pPr>
            <w:r>
              <w:t>39.79</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38</w:t>
            </w:r>
          </w:p>
        </w:tc>
        <w:tc>
          <w:tcPr>
            <w:tcW w:w="970" w:type="pct"/>
            <w:vAlign w:val="center"/>
          </w:tcPr>
          <w:p>
            <w:pPr>
              <w:pStyle w:val="42"/>
            </w:pPr>
            <w:r>
              <w:t>正新橡胶（重庆）有限公司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0.858</w:t>
            </w:r>
          </w:p>
        </w:tc>
        <w:tc>
          <w:tcPr>
            <w:tcW w:w="300" w:type="pct"/>
            <w:vAlign w:val="center"/>
          </w:tcPr>
          <w:p>
            <w:pPr>
              <w:pStyle w:val="42"/>
            </w:pPr>
            <w:r>
              <w:t>0.519</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r>
              <w:t>0.134</w:t>
            </w: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39</w:t>
            </w:r>
          </w:p>
        </w:tc>
        <w:tc>
          <w:tcPr>
            <w:tcW w:w="970" w:type="pct"/>
            <w:vAlign w:val="center"/>
          </w:tcPr>
          <w:p>
            <w:pPr>
              <w:pStyle w:val="42"/>
            </w:pPr>
            <w:r>
              <w:t>重庆万斯金属特种成形有限公司</w:t>
            </w:r>
          </w:p>
        </w:tc>
        <w:tc>
          <w:tcPr>
            <w:tcW w:w="300" w:type="pct"/>
            <w:vAlign w:val="center"/>
          </w:tcPr>
          <w:p>
            <w:pPr>
              <w:pStyle w:val="42"/>
            </w:pPr>
            <w:r>
              <w:t>0.004</w:t>
            </w:r>
          </w:p>
        </w:tc>
        <w:tc>
          <w:tcPr>
            <w:tcW w:w="300" w:type="pct"/>
            <w:vAlign w:val="center"/>
          </w:tcPr>
          <w:p>
            <w:pPr>
              <w:pStyle w:val="42"/>
            </w:pPr>
          </w:p>
        </w:tc>
        <w:tc>
          <w:tcPr>
            <w:tcW w:w="300" w:type="pct"/>
            <w:vAlign w:val="center"/>
          </w:tcPr>
          <w:p>
            <w:pPr>
              <w:pStyle w:val="42"/>
            </w:pPr>
            <w:r>
              <w:t>0.03</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40</w:t>
            </w:r>
          </w:p>
        </w:tc>
        <w:tc>
          <w:tcPr>
            <w:tcW w:w="970" w:type="pct"/>
            <w:vAlign w:val="center"/>
          </w:tcPr>
          <w:p>
            <w:pPr>
              <w:pStyle w:val="42"/>
            </w:pPr>
            <w:r>
              <w:t>重庆望江变压器有限公司</w:t>
            </w:r>
          </w:p>
        </w:tc>
        <w:tc>
          <w:tcPr>
            <w:tcW w:w="300" w:type="pct"/>
            <w:vAlign w:val="center"/>
          </w:tcPr>
          <w:p>
            <w:pPr>
              <w:pStyle w:val="42"/>
            </w:pPr>
            <w:r>
              <w:t>0.045</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r>
              <w:t>0.091</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41</w:t>
            </w:r>
          </w:p>
        </w:tc>
        <w:tc>
          <w:tcPr>
            <w:tcW w:w="970" w:type="pct"/>
            <w:vAlign w:val="center"/>
          </w:tcPr>
          <w:p>
            <w:pPr>
              <w:pStyle w:val="42"/>
            </w:pPr>
            <w:r>
              <w:t>永益</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42</w:t>
            </w:r>
          </w:p>
        </w:tc>
        <w:tc>
          <w:tcPr>
            <w:tcW w:w="970" w:type="pct"/>
            <w:vAlign w:val="center"/>
          </w:tcPr>
          <w:p>
            <w:pPr>
              <w:pStyle w:val="42"/>
            </w:pPr>
            <w:r>
              <w:t>重庆蓝渝汽车配件有限公司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0.02</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43</w:t>
            </w:r>
          </w:p>
        </w:tc>
        <w:tc>
          <w:tcPr>
            <w:tcW w:w="970" w:type="pct"/>
            <w:vAlign w:val="center"/>
          </w:tcPr>
          <w:p>
            <w:pPr>
              <w:pStyle w:val="42"/>
            </w:pPr>
            <w:r>
              <w:t>惠申</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0.02</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44</w:t>
            </w:r>
          </w:p>
        </w:tc>
        <w:tc>
          <w:tcPr>
            <w:tcW w:w="970" w:type="pct"/>
            <w:vAlign w:val="center"/>
          </w:tcPr>
          <w:p>
            <w:pPr>
              <w:pStyle w:val="42"/>
            </w:pPr>
            <w:r>
              <w:t>重庆萱海塑胶制品有限公司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r>
              <w:t>0.14</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45</w:t>
            </w:r>
          </w:p>
        </w:tc>
        <w:tc>
          <w:tcPr>
            <w:tcW w:w="970" w:type="pct"/>
            <w:vAlign w:val="center"/>
          </w:tcPr>
          <w:p>
            <w:pPr>
              <w:pStyle w:val="42"/>
            </w:pPr>
            <w:r>
              <w:t>重庆瀚海机械制造有限公司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r>
              <w:t>1.39</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46</w:t>
            </w:r>
          </w:p>
        </w:tc>
        <w:tc>
          <w:tcPr>
            <w:tcW w:w="970" w:type="pct"/>
            <w:vAlign w:val="center"/>
          </w:tcPr>
          <w:p>
            <w:pPr>
              <w:pStyle w:val="42"/>
            </w:pPr>
            <w:r>
              <w:t>重庆启蓝塑料有限公司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0.06</w:t>
            </w:r>
          </w:p>
        </w:tc>
        <w:tc>
          <w:tcPr>
            <w:tcW w:w="300" w:type="pct"/>
            <w:vAlign w:val="center"/>
          </w:tcPr>
          <w:p>
            <w:pPr>
              <w:pStyle w:val="42"/>
            </w:pPr>
            <w:r>
              <w:t>0.60</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47</w:t>
            </w:r>
          </w:p>
        </w:tc>
        <w:tc>
          <w:tcPr>
            <w:tcW w:w="970" w:type="pct"/>
            <w:vAlign w:val="center"/>
          </w:tcPr>
          <w:p>
            <w:pPr>
              <w:pStyle w:val="42"/>
            </w:pPr>
            <w:r>
              <w:t>重庆华申皮革制品有限公司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0.007</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48</w:t>
            </w:r>
          </w:p>
        </w:tc>
        <w:tc>
          <w:tcPr>
            <w:tcW w:w="970" w:type="pct"/>
            <w:vAlign w:val="center"/>
          </w:tcPr>
          <w:p>
            <w:pPr>
              <w:pStyle w:val="42"/>
            </w:pPr>
            <w:r>
              <w:t>重庆国际复合材料有限公司</w:t>
            </w:r>
          </w:p>
        </w:tc>
        <w:tc>
          <w:tcPr>
            <w:tcW w:w="300" w:type="pct"/>
            <w:vAlign w:val="center"/>
          </w:tcPr>
          <w:p>
            <w:pPr>
              <w:pStyle w:val="42"/>
            </w:pPr>
            <w:r>
              <w:t>156.71</w:t>
            </w:r>
          </w:p>
        </w:tc>
        <w:tc>
          <w:tcPr>
            <w:tcW w:w="300" w:type="pct"/>
            <w:vAlign w:val="center"/>
          </w:tcPr>
          <w:p>
            <w:pPr>
              <w:pStyle w:val="42"/>
            </w:pPr>
            <w:r>
              <w:t>120.50</w:t>
            </w:r>
          </w:p>
        </w:tc>
        <w:tc>
          <w:tcPr>
            <w:tcW w:w="300" w:type="pct"/>
            <w:vAlign w:val="center"/>
          </w:tcPr>
          <w:p>
            <w:pPr>
              <w:pStyle w:val="42"/>
            </w:pPr>
            <w:r>
              <w:t>156.32</w:t>
            </w:r>
          </w:p>
        </w:tc>
        <w:tc>
          <w:tcPr>
            <w:tcW w:w="300" w:type="pct"/>
            <w:vAlign w:val="center"/>
          </w:tcPr>
          <w:p>
            <w:pPr>
              <w:pStyle w:val="42"/>
            </w:pPr>
          </w:p>
        </w:tc>
        <w:tc>
          <w:tcPr>
            <w:tcW w:w="262" w:type="pct"/>
            <w:vAlign w:val="center"/>
          </w:tcPr>
          <w:p>
            <w:pPr>
              <w:pStyle w:val="42"/>
            </w:pPr>
            <w:r>
              <w:t>12.88</w:t>
            </w: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49</w:t>
            </w:r>
          </w:p>
        </w:tc>
        <w:tc>
          <w:tcPr>
            <w:tcW w:w="970" w:type="pct"/>
            <w:vAlign w:val="center"/>
          </w:tcPr>
          <w:p>
            <w:pPr>
              <w:pStyle w:val="42"/>
            </w:pPr>
            <w:r>
              <w:t>重庆百年水晶玻璃公司</w:t>
            </w:r>
          </w:p>
        </w:tc>
        <w:tc>
          <w:tcPr>
            <w:tcW w:w="300" w:type="pct"/>
            <w:vAlign w:val="center"/>
          </w:tcPr>
          <w:p>
            <w:pPr>
              <w:pStyle w:val="42"/>
            </w:pPr>
            <w:r>
              <w:t>64.80</w:t>
            </w:r>
          </w:p>
        </w:tc>
        <w:tc>
          <w:tcPr>
            <w:tcW w:w="300" w:type="pct"/>
            <w:vAlign w:val="center"/>
          </w:tcPr>
          <w:p>
            <w:pPr>
              <w:pStyle w:val="42"/>
            </w:pPr>
            <w:r>
              <w:t>42.12</w:t>
            </w:r>
          </w:p>
        </w:tc>
        <w:tc>
          <w:tcPr>
            <w:tcW w:w="300" w:type="pct"/>
            <w:vAlign w:val="center"/>
          </w:tcPr>
          <w:p>
            <w:pPr>
              <w:pStyle w:val="42"/>
            </w:pPr>
            <w:r>
              <w:t>22.68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50</w:t>
            </w:r>
          </w:p>
        </w:tc>
        <w:tc>
          <w:tcPr>
            <w:tcW w:w="970" w:type="pct"/>
            <w:vAlign w:val="center"/>
          </w:tcPr>
          <w:p>
            <w:pPr>
              <w:pStyle w:val="42"/>
            </w:pPr>
            <w:r>
              <w:t>重庆重华玻璃纤维有限公司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51</w:t>
            </w:r>
          </w:p>
        </w:tc>
        <w:tc>
          <w:tcPr>
            <w:tcW w:w="970" w:type="pct"/>
            <w:vAlign w:val="center"/>
          </w:tcPr>
          <w:p>
            <w:pPr>
              <w:pStyle w:val="42"/>
            </w:pPr>
            <w:r>
              <w:t>重庆升亿玻璃纤维有限公司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2.40</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52</w:t>
            </w:r>
          </w:p>
        </w:tc>
        <w:tc>
          <w:tcPr>
            <w:tcW w:w="970" w:type="pct"/>
            <w:vAlign w:val="center"/>
          </w:tcPr>
          <w:p>
            <w:pPr>
              <w:pStyle w:val="42"/>
            </w:pPr>
            <w:r>
              <w:t>重庆市泓淋科技有限公司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r>
              <w:t>0.06</w:t>
            </w: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53</w:t>
            </w:r>
          </w:p>
        </w:tc>
        <w:tc>
          <w:tcPr>
            <w:tcW w:w="970" w:type="pct"/>
            <w:vAlign w:val="center"/>
          </w:tcPr>
          <w:p>
            <w:pPr>
              <w:pStyle w:val="42"/>
            </w:pPr>
            <w:r>
              <w:t>重庆鸽牌电瓷有限公司</w:t>
            </w:r>
          </w:p>
        </w:tc>
        <w:tc>
          <w:tcPr>
            <w:tcW w:w="300" w:type="pct"/>
            <w:vAlign w:val="center"/>
          </w:tcPr>
          <w:p>
            <w:pPr>
              <w:pStyle w:val="42"/>
            </w:pPr>
            <w:r>
              <w:t>0.27</w:t>
            </w:r>
          </w:p>
        </w:tc>
        <w:tc>
          <w:tcPr>
            <w:tcW w:w="300" w:type="pct"/>
            <w:vAlign w:val="center"/>
          </w:tcPr>
          <w:p>
            <w:pPr>
              <w:pStyle w:val="42"/>
            </w:pPr>
          </w:p>
        </w:tc>
        <w:tc>
          <w:tcPr>
            <w:tcW w:w="300" w:type="pct"/>
            <w:vAlign w:val="center"/>
          </w:tcPr>
          <w:p>
            <w:pPr>
              <w:pStyle w:val="42"/>
            </w:pPr>
            <w:r>
              <w:t>0.165</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54</w:t>
            </w:r>
          </w:p>
        </w:tc>
        <w:tc>
          <w:tcPr>
            <w:tcW w:w="970" w:type="pct"/>
            <w:vAlign w:val="center"/>
          </w:tcPr>
          <w:p>
            <w:pPr>
              <w:pStyle w:val="42"/>
            </w:pPr>
            <w:r>
              <w:t>重庆纽米新材料科技责任有限公司</w:t>
            </w:r>
          </w:p>
        </w:tc>
        <w:tc>
          <w:tcPr>
            <w:tcW w:w="300" w:type="pct"/>
            <w:vAlign w:val="center"/>
          </w:tcPr>
          <w:p>
            <w:pPr>
              <w:pStyle w:val="42"/>
            </w:pPr>
            <w:r>
              <w:t>0.78</w:t>
            </w:r>
          </w:p>
        </w:tc>
        <w:tc>
          <w:tcPr>
            <w:tcW w:w="300" w:type="pct"/>
            <w:vAlign w:val="center"/>
          </w:tcPr>
          <w:p>
            <w:pPr>
              <w:pStyle w:val="42"/>
            </w:pPr>
            <w:r>
              <w:t>3.56</w:t>
            </w:r>
          </w:p>
        </w:tc>
        <w:tc>
          <w:tcPr>
            <w:tcW w:w="300" w:type="pct"/>
            <w:vAlign w:val="center"/>
          </w:tcPr>
          <w:p>
            <w:pPr>
              <w:pStyle w:val="42"/>
            </w:pPr>
            <w:r>
              <w:t>1.19</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55</w:t>
            </w:r>
          </w:p>
        </w:tc>
        <w:tc>
          <w:tcPr>
            <w:tcW w:w="970" w:type="pct"/>
            <w:vAlign w:val="center"/>
          </w:tcPr>
          <w:p>
            <w:pPr>
              <w:pStyle w:val="42"/>
            </w:pPr>
            <w:r>
              <w:t>重庆沈通变压器有限公司</w:t>
            </w:r>
          </w:p>
        </w:tc>
        <w:tc>
          <w:tcPr>
            <w:tcW w:w="300" w:type="pct"/>
            <w:vAlign w:val="center"/>
          </w:tcPr>
          <w:p>
            <w:pPr>
              <w:pStyle w:val="42"/>
            </w:pPr>
          </w:p>
        </w:tc>
        <w:tc>
          <w:tcPr>
            <w:tcW w:w="300" w:type="pct"/>
            <w:vAlign w:val="center"/>
          </w:tcPr>
          <w:p>
            <w:pPr>
              <w:pStyle w:val="42"/>
            </w:pPr>
            <w:r>
              <w:t>0.246</w:t>
            </w:r>
          </w:p>
        </w:tc>
        <w:tc>
          <w:tcPr>
            <w:tcW w:w="300" w:type="pct"/>
            <w:vAlign w:val="center"/>
          </w:tcPr>
          <w:p>
            <w:pPr>
              <w:pStyle w:val="42"/>
            </w:pPr>
            <w:r>
              <w:t>0.308</w:t>
            </w:r>
          </w:p>
        </w:tc>
        <w:tc>
          <w:tcPr>
            <w:tcW w:w="300" w:type="pct"/>
            <w:vAlign w:val="center"/>
          </w:tcPr>
          <w:p>
            <w:pPr>
              <w:pStyle w:val="42"/>
            </w:pPr>
          </w:p>
        </w:tc>
        <w:tc>
          <w:tcPr>
            <w:tcW w:w="262" w:type="pct"/>
            <w:vAlign w:val="center"/>
          </w:tcPr>
          <w:p>
            <w:pPr>
              <w:pStyle w:val="42"/>
            </w:pPr>
          </w:p>
        </w:tc>
        <w:tc>
          <w:tcPr>
            <w:tcW w:w="262" w:type="pct"/>
            <w:vAlign w:val="center"/>
          </w:tcPr>
          <w:p>
            <w:pPr>
              <w:pStyle w:val="42"/>
            </w:pPr>
            <w:r>
              <w:t>0.648</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56</w:t>
            </w:r>
          </w:p>
        </w:tc>
        <w:tc>
          <w:tcPr>
            <w:tcW w:w="970" w:type="pct"/>
            <w:vAlign w:val="center"/>
          </w:tcPr>
          <w:p>
            <w:pPr>
              <w:pStyle w:val="42"/>
            </w:pPr>
            <w:r>
              <w:t>巍智包装制品（重庆）有限公司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57</w:t>
            </w:r>
          </w:p>
        </w:tc>
        <w:tc>
          <w:tcPr>
            <w:tcW w:w="970" w:type="pct"/>
            <w:vAlign w:val="center"/>
          </w:tcPr>
          <w:p>
            <w:pPr>
              <w:pStyle w:val="42"/>
            </w:pPr>
            <w:r>
              <w:t>重庆天信线缆有限公司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1</w:t>
            </w:r>
          </w:p>
        </w:tc>
        <w:tc>
          <w:tcPr>
            <w:tcW w:w="300" w:type="pct"/>
            <w:vAlign w:val="center"/>
          </w:tcPr>
          <w:p>
            <w:pPr>
              <w:pStyle w:val="42"/>
            </w:pPr>
            <w:r>
              <w:t>0.3</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58</w:t>
            </w:r>
          </w:p>
        </w:tc>
        <w:tc>
          <w:tcPr>
            <w:tcW w:w="970" w:type="pct"/>
            <w:vAlign w:val="center"/>
          </w:tcPr>
          <w:p>
            <w:pPr>
              <w:pStyle w:val="42"/>
            </w:pPr>
            <w:r>
              <w:t>重庆昊翔纸制品有限公司</w:t>
            </w:r>
          </w:p>
        </w:tc>
        <w:tc>
          <w:tcPr>
            <w:tcW w:w="300" w:type="pct"/>
            <w:vAlign w:val="center"/>
          </w:tcPr>
          <w:p>
            <w:pPr>
              <w:pStyle w:val="42"/>
            </w:pPr>
            <w:r>
              <w:t>0.67</w:t>
            </w:r>
          </w:p>
        </w:tc>
        <w:tc>
          <w:tcPr>
            <w:tcW w:w="300" w:type="pct"/>
            <w:vAlign w:val="center"/>
          </w:tcPr>
          <w:p>
            <w:pPr>
              <w:pStyle w:val="42"/>
            </w:pPr>
            <w:r>
              <w:t>1.33</w:t>
            </w:r>
          </w:p>
        </w:tc>
        <w:tc>
          <w:tcPr>
            <w:tcW w:w="300" w:type="pct"/>
            <w:vAlign w:val="center"/>
          </w:tcPr>
          <w:p>
            <w:pPr>
              <w:pStyle w:val="42"/>
            </w:pPr>
            <w:r>
              <w:t>1.12</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59</w:t>
            </w:r>
          </w:p>
        </w:tc>
        <w:tc>
          <w:tcPr>
            <w:tcW w:w="970" w:type="pct"/>
            <w:vAlign w:val="center"/>
          </w:tcPr>
          <w:p>
            <w:pPr>
              <w:pStyle w:val="42"/>
            </w:pPr>
            <w:r>
              <w:t>重庆景兴包装有限公司</w:t>
            </w:r>
          </w:p>
        </w:tc>
        <w:tc>
          <w:tcPr>
            <w:tcW w:w="300" w:type="pct"/>
            <w:vAlign w:val="center"/>
          </w:tcPr>
          <w:p>
            <w:pPr>
              <w:pStyle w:val="42"/>
            </w:pPr>
            <w:r>
              <w:t>2.21</w:t>
            </w:r>
          </w:p>
        </w:tc>
        <w:tc>
          <w:tcPr>
            <w:tcW w:w="300" w:type="pct"/>
            <w:vAlign w:val="center"/>
          </w:tcPr>
          <w:p>
            <w:pPr>
              <w:pStyle w:val="42"/>
            </w:pPr>
            <w:r>
              <w:t>12.90</w:t>
            </w:r>
          </w:p>
        </w:tc>
        <w:tc>
          <w:tcPr>
            <w:tcW w:w="300" w:type="pct"/>
            <w:vAlign w:val="center"/>
          </w:tcPr>
          <w:p>
            <w:pPr>
              <w:pStyle w:val="42"/>
            </w:pPr>
            <w:r>
              <w:t>3.28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60</w:t>
            </w:r>
          </w:p>
        </w:tc>
        <w:tc>
          <w:tcPr>
            <w:tcW w:w="970" w:type="pct"/>
            <w:vAlign w:val="center"/>
          </w:tcPr>
          <w:p>
            <w:pPr>
              <w:pStyle w:val="42"/>
            </w:pPr>
            <w:r>
              <w:t>重庆建工新型建材有限公司长寿分公司</w:t>
            </w:r>
          </w:p>
        </w:tc>
        <w:tc>
          <w:tcPr>
            <w:tcW w:w="300" w:type="pct"/>
            <w:vAlign w:val="center"/>
          </w:tcPr>
          <w:p>
            <w:pPr>
              <w:pStyle w:val="42"/>
            </w:pPr>
            <w:r>
              <w:t>343.20</w:t>
            </w:r>
          </w:p>
        </w:tc>
        <w:tc>
          <w:tcPr>
            <w:tcW w:w="300" w:type="pct"/>
            <w:vAlign w:val="center"/>
          </w:tcPr>
          <w:p>
            <w:pPr>
              <w:pStyle w:val="42"/>
            </w:pPr>
            <w:r>
              <w:t>2295</w:t>
            </w:r>
          </w:p>
        </w:tc>
        <w:tc>
          <w:tcPr>
            <w:tcW w:w="300" w:type="pct"/>
            <w:vAlign w:val="center"/>
          </w:tcPr>
          <w:p>
            <w:pPr>
              <w:pStyle w:val="42"/>
            </w:pPr>
            <w:r>
              <w:t>1026.6</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61</w:t>
            </w:r>
          </w:p>
        </w:tc>
        <w:tc>
          <w:tcPr>
            <w:tcW w:w="970" w:type="pct"/>
            <w:vAlign w:val="center"/>
          </w:tcPr>
          <w:p>
            <w:pPr>
              <w:pStyle w:val="42"/>
            </w:pPr>
            <w:r>
              <w:t>重庆凯威混凝土公司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1.56</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62</w:t>
            </w:r>
          </w:p>
        </w:tc>
        <w:tc>
          <w:tcPr>
            <w:tcW w:w="970" w:type="pct"/>
            <w:vAlign w:val="center"/>
          </w:tcPr>
          <w:p>
            <w:pPr>
              <w:pStyle w:val="42"/>
            </w:pPr>
            <w:r>
              <w:t>重庆新川塔实业有限公司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1.0</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63</w:t>
            </w:r>
          </w:p>
        </w:tc>
        <w:tc>
          <w:tcPr>
            <w:tcW w:w="970" w:type="pct"/>
            <w:vAlign w:val="center"/>
          </w:tcPr>
          <w:p>
            <w:pPr>
              <w:pStyle w:val="42"/>
            </w:pPr>
            <w:r>
              <w:t>重庆市长寿通威饲料有限公司</w:t>
            </w:r>
          </w:p>
        </w:tc>
        <w:tc>
          <w:tcPr>
            <w:tcW w:w="300" w:type="pct"/>
            <w:vAlign w:val="center"/>
          </w:tcPr>
          <w:p>
            <w:pPr>
              <w:pStyle w:val="42"/>
            </w:pPr>
            <w:r>
              <w:t>0.09</w:t>
            </w:r>
          </w:p>
        </w:tc>
        <w:tc>
          <w:tcPr>
            <w:tcW w:w="300" w:type="pct"/>
            <w:vAlign w:val="center"/>
          </w:tcPr>
          <w:p>
            <w:pPr>
              <w:pStyle w:val="42"/>
            </w:pPr>
            <w:r>
              <w:t>1.09</w:t>
            </w:r>
          </w:p>
        </w:tc>
        <w:tc>
          <w:tcPr>
            <w:tcW w:w="300" w:type="pct"/>
            <w:vAlign w:val="center"/>
          </w:tcPr>
          <w:p>
            <w:pPr>
              <w:pStyle w:val="42"/>
            </w:pPr>
            <w:r>
              <w:t>4.63</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64</w:t>
            </w:r>
          </w:p>
        </w:tc>
        <w:tc>
          <w:tcPr>
            <w:tcW w:w="970" w:type="pct"/>
            <w:vAlign w:val="center"/>
          </w:tcPr>
          <w:p>
            <w:pPr>
              <w:pStyle w:val="42"/>
            </w:pPr>
            <w:r>
              <w:t>重庆冬润果蔬饮品有限公司</w:t>
            </w:r>
          </w:p>
        </w:tc>
        <w:tc>
          <w:tcPr>
            <w:tcW w:w="300" w:type="pct"/>
            <w:vAlign w:val="center"/>
          </w:tcPr>
          <w:p>
            <w:pPr>
              <w:pStyle w:val="42"/>
            </w:pPr>
            <w:r>
              <w:t>0.737</w:t>
            </w:r>
          </w:p>
        </w:tc>
        <w:tc>
          <w:tcPr>
            <w:tcW w:w="300" w:type="pct"/>
            <w:vAlign w:val="center"/>
          </w:tcPr>
          <w:p>
            <w:pPr>
              <w:pStyle w:val="42"/>
            </w:pPr>
            <w:r>
              <w:t>0.393</w:t>
            </w: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65</w:t>
            </w:r>
          </w:p>
        </w:tc>
        <w:tc>
          <w:tcPr>
            <w:tcW w:w="970" w:type="pct"/>
            <w:vAlign w:val="center"/>
          </w:tcPr>
          <w:p>
            <w:pPr>
              <w:pStyle w:val="42"/>
            </w:pPr>
            <w:r>
              <w:t>重庆奇派食品饮料有限公司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66</w:t>
            </w:r>
          </w:p>
        </w:tc>
        <w:tc>
          <w:tcPr>
            <w:tcW w:w="970" w:type="pct"/>
            <w:vAlign w:val="center"/>
          </w:tcPr>
          <w:p>
            <w:pPr>
              <w:pStyle w:val="42"/>
            </w:pPr>
            <w:r>
              <w:t>重庆伟龙食品公司</w:t>
            </w:r>
          </w:p>
        </w:tc>
        <w:tc>
          <w:tcPr>
            <w:tcW w:w="300" w:type="pct"/>
            <w:vAlign w:val="center"/>
          </w:tcPr>
          <w:p>
            <w:pPr>
              <w:pStyle w:val="42"/>
            </w:pPr>
            <w:r>
              <w:t>0.16</w:t>
            </w:r>
          </w:p>
        </w:tc>
        <w:tc>
          <w:tcPr>
            <w:tcW w:w="300" w:type="pct"/>
            <w:vAlign w:val="center"/>
          </w:tcPr>
          <w:p>
            <w:pPr>
              <w:pStyle w:val="42"/>
            </w:pPr>
          </w:p>
        </w:tc>
        <w:tc>
          <w:tcPr>
            <w:tcW w:w="300" w:type="pct"/>
            <w:vAlign w:val="center"/>
          </w:tcPr>
          <w:p>
            <w:pPr>
              <w:pStyle w:val="42"/>
            </w:pPr>
            <w:r>
              <w:t>0.18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67</w:t>
            </w:r>
          </w:p>
        </w:tc>
        <w:tc>
          <w:tcPr>
            <w:tcW w:w="970" w:type="pct"/>
            <w:vAlign w:val="center"/>
          </w:tcPr>
          <w:p>
            <w:pPr>
              <w:pStyle w:val="42"/>
            </w:pPr>
            <w:r>
              <w:t>重庆镁禾环保科技有限公司年产1000万套镁合金脱漆项目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0.202</w:t>
            </w:r>
          </w:p>
        </w:tc>
        <w:tc>
          <w:tcPr>
            <w:tcW w:w="262" w:type="pct"/>
            <w:vAlign w:val="center"/>
          </w:tcPr>
          <w:p>
            <w:pPr>
              <w:pStyle w:val="42"/>
            </w:pPr>
            <w:r>
              <w:t>0.0116</w:t>
            </w: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r>
              <w:t>0.0051</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68</w:t>
            </w:r>
          </w:p>
        </w:tc>
        <w:tc>
          <w:tcPr>
            <w:tcW w:w="970" w:type="pct"/>
            <w:vAlign w:val="center"/>
          </w:tcPr>
          <w:p>
            <w:pPr>
              <w:pStyle w:val="42"/>
            </w:pPr>
            <w:r>
              <w:t>重庆峰圣石化有限公司</w:t>
            </w:r>
          </w:p>
        </w:tc>
        <w:tc>
          <w:tcPr>
            <w:tcW w:w="300" w:type="pct"/>
            <w:vAlign w:val="center"/>
          </w:tcPr>
          <w:p>
            <w:pPr>
              <w:pStyle w:val="42"/>
            </w:pPr>
            <w:r>
              <w:t>0.088</w:t>
            </w:r>
          </w:p>
        </w:tc>
        <w:tc>
          <w:tcPr>
            <w:tcW w:w="300" w:type="pct"/>
            <w:vAlign w:val="center"/>
          </w:tcPr>
          <w:p>
            <w:pPr>
              <w:pStyle w:val="42"/>
            </w:pPr>
            <w:r>
              <w:t>0.88</w:t>
            </w:r>
          </w:p>
        </w:tc>
        <w:tc>
          <w:tcPr>
            <w:tcW w:w="300" w:type="pct"/>
            <w:vAlign w:val="center"/>
          </w:tcPr>
          <w:p>
            <w:pPr>
              <w:pStyle w:val="42"/>
            </w:pPr>
            <w:r>
              <w:t>0.088</w:t>
            </w:r>
          </w:p>
        </w:tc>
        <w:tc>
          <w:tcPr>
            <w:tcW w:w="300" w:type="pct"/>
            <w:vAlign w:val="center"/>
          </w:tcPr>
          <w:p>
            <w:pPr>
              <w:pStyle w:val="42"/>
            </w:pPr>
            <w:r>
              <w:t>0.0037</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0.0016</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69</w:t>
            </w:r>
          </w:p>
        </w:tc>
        <w:tc>
          <w:tcPr>
            <w:tcW w:w="970" w:type="pct"/>
            <w:vAlign w:val="center"/>
          </w:tcPr>
          <w:p>
            <w:pPr>
              <w:pStyle w:val="42"/>
            </w:pPr>
            <w:r>
              <w:t>重庆金圆顺涂装科技有限公司</w:t>
            </w:r>
          </w:p>
        </w:tc>
        <w:tc>
          <w:tcPr>
            <w:tcW w:w="300" w:type="pct"/>
            <w:vAlign w:val="center"/>
          </w:tcPr>
          <w:p>
            <w:pPr>
              <w:pStyle w:val="42"/>
            </w:pPr>
            <w:r>
              <w:t>0.182</w:t>
            </w:r>
          </w:p>
        </w:tc>
        <w:tc>
          <w:tcPr>
            <w:tcW w:w="300" w:type="pct"/>
            <w:vAlign w:val="center"/>
          </w:tcPr>
          <w:p>
            <w:pPr>
              <w:pStyle w:val="42"/>
            </w:pPr>
            <w:r>
              <w:t>1.774</w:t>
            </w:r>
          </w:p>
        </w:tc>
        <w:tc>
          <w:tcPr>
            <w:tcW w:w="300" w:type="pct"/>
            <w:vAlign w:val="center"/>
          </w:tcPr>
          <w:p>
            <w:pPr>
              <w:pStyle w:val="42"/>
            </w:pP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70</w:t>
            </w:r>
          </w:p>
        </w:tc>
        <w:tc>
          <w:tcPr>
            <w:tcW w:w="970" w:type="pct"/>
            <w:vAlign w:val="center"/>
          </w:tcPr>
          <w:p>
            <w:pPr>
              <w:pStyle w:val="42"/>
            </w:pPr>
            <w:r>
              <w:t>重庆钢铁集团建设工程有限公司</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4.28</w:t>
            </w:r>
          </w:p>
        </w:tc>
        <w:tc>
          <w:tcPr>
            <w:tcW w:w="262" w:type="pct"/>
            <w:vAlign w:val="center"/>
          </w:tcPr>
          <w:p>
            <w:pPr>
              <w:pStyle w:val="42"/>
            </w:pPr>
          </w:p>
        </w:tc>
        <w:tc>
          <w:tcPr>
            <w:tcW w:w="262" w:type="pct"/>
            <w:vAlign w:val="center"/>
          </w:tcPr>
          <w:p>
            <w:pPr>
              <w:pStyle w:val="42"/>
            </w:pPr>
            <w:r>
              <w:t>0.44</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71</w:t>
            </w:r>
          </w:p>
        </w:tc>
        <w:tc>
          <w:tcPr>
            <w:tcW w:w="970" w:type="pct"/>
            <w:vAlign w:val="center"/>
          </w:tcPr>
          <w:p>
            <w:pPr>
              <w:pStyle w:val="42"/>
            </w:pPr>
            <w:r>
              <w:t>重庆云天化纽米科技股份有限公司</w:t>
            </w:r>
          </w:p>
        </w:tc>
        <w:tc>
          <w:tcPr>
            <w:tcW w:w="300" w:type="pct"/>
            <w:vAlign w:val="center"/>
          </w:tcPr>
          <w:p>
            <w:pPr>
              <w:pStyle w:val="42"/>
            </w:pPr>
            <w:r>
              <w:t>3.07</w:t>
            </w:r>
          </w:p>
        </w:tc>
        <w:tc>
          <w:tcPr>
            <w:tcW w:w="300" w:type="pct"/>
            <w:vAlign w:val="center"/>
          </w:tcPr>
          <w:p>
            <w:pPr>
              <w:pStyle w:val="42"/>
            </w:pPr>
            <w:r>
              <w:t>12.13</w:t>
            </w:r>
          </w:p>
        </w:tc>
        <w:tc>
          <w:tcPr>
            <w:tcW w:w="300" w:type="pct"/>
            <w:vAlign w:val="center"/>
          </w:tcPr>
          <w:p>
            <w:pPr>
              <w:pStyle w:val="42"/>
            </w:pPr>
            <w:r>
              <w:t>1.52</w:t>
            </w:r>
          </w:p>
        </w:tc>
        <w:tc>
          <w:tcPr>
            <w:tcW w:w="300" w:type="pct"/>
            <w:vAlign w:val="center"/>
          </w:tcPr>
          <w:p>
            <w:pPr>
              <w:pStyle w:val="42"/>
            </w:pPr>
            <w:r>
              <w:t>35.7</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72</w:t>
            </w:r>
          </w:p>
        </w:tc>
        <w:tc>
          <w:tcPr>
            <w:tcW w:w="970" w:type="pct"/>
            <w:vAlign w:val="center"/>
          </w:tcPr>
          <w:p>
            <w:pPr>
              <w:pStyle w:val="42"/>
            </w:pPr>
            <w:r>
              <w:t>立邦涂料（重庆）化工有限公司</w:t>
            </w:r>
          </w:p>
        </w:tc>
        <w:tc>
          <w:tcPr>
            <w:tcW w:w="300" w:type="pct"/>
            <w:vAlign w:val="center"/>
          </w:tcPr>
          <w:p>
            <w:pPr>
              <w:pStyle w:val="42"/>
            </w:pPr>
          </w:p>
        </w:tc>
        <w:tc>
          <w:tcPr>
            <w:tcW w:w="300" w:type="pct"/>
            <w:vAlign w:val="center"/>
          </w:tcPr>
          <w:p>
            <w:pPr>
              <w:pStyle w:val="42"/>
            </w:pPr>
            <w:r>
              <w:t>0.1746</w:t>
            </w:r>
          </w:p>
        </w:tc>
        <w:tc>
          <w:tcPr>
            <w:tcW w:w="300" w:type="pct"/>
            <w:vAlign w:val="center"/>
          </w:tcPr>
          <w:p>
            <w:pPr>
              <w:pStyle w:val="42"/>
            </w:pPr>
            <w:r>
              <w:t>0.4455</w:t>
            </w:r>
          </w:p>
        </w:tc>
        <w:tc>
          <w:tcPr>
            <w:tcW w:w="300" w:type="pct"/>
            <w:vAlign w:val="center"/>
          </w:tcPr>
          <w:p>
            <w:pPr>
              <w:pStyle w:val="42"/>
            </w:pPr>
            <w:r>
              <w:t>0.6458</w:t>
            </w:r>
          </w:p>
        </w:tc>
        <w:tc>
          <w:tcPr>
            <w:tcW w:w="262" w:type="pct"/>
            <w:vAlign w:val="center"/>
          </w:tcPr>
          <w:p>
            <w:pPr>
              <w:pStyle w:val="42"/>
            </w:pPr>
            <w:r>
              <w:t>0.0217</w:t>
            </w: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0.0306</w:t>
            </w:r>
          </w:p>
        </w:tc>
        <w:tc>
          <w:tcPr>
            <w:tcW w:w="225" w:type="pct"/>
            <w:vAlign w:val="center"/>
          </w:tcPr>
          <w:p>
            <w:pPr>
              <w:pStyle w:val="42"/>
            </w:pPr>
          </w:p>
        </w:tc>
        <w:tc>
          <w:tcPr>
            <w:tcW w:w="225" w:type="pct"/>
            <w:vAlign w:val="center"/>
          </w:tcPr>
          <w:p>
            <w:pPr>
              <w:pStyle w:val="42"/>
            </w:pPr>
            <w:r>
              <w:t>0.31</w:t>
            </w:r>
          </w:p>
        </w:tc>
        <w:tc>
          <w:tcPr>
            <w:tcW w:w="229" w:type="pct"/>
            <w:vAlign w:val="center"/>
          </w:tcPr>
          <w:p>
            <w:pPr>
              <w:pStyle w:val="42"/>
            </w:pPr>
          </w:p>
        </w:tc>
        <w:tc>
          <w:tcPr>
            <w:tcW w:w="286" w:type="pct"/>
            <w:vAlign w:val="center"/>
          </w:tcPr>
          <w:p>
            <w:pPr>
              <w:pStyle w:val="42"/>
            </w:pPr>
            <w:r>
              <w:t>0.0992</w:t>
            </w: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73</w:t>
            </w:r>
          </w:p>
        </w:tc>
        <w:tc>
          <w:tcPr>
            <w:tcW w:w="970" w:type="pct"/>
            <w:vAlign w:val="center"/>
          </w:tcPr>
          <w:p>
            <w:pPr>
              <w:pStyle w:val="42"/>
            </w:pPr>
            <w:r>
              <w:t>中国石化集团四川维尼纶厂废硫酸再生循环利用项目</w:t>
            </w:r>
          </w:p>
        </w:tc>
        <w:tc>
          <w:tcPr>
            <w:tcW w:w="300" w:type="pct"/>
            <w:vAlign w:val="center"/>
          </w:tcPr>
          <w:p>
            <w:pPr>
              <w:pStyle w:val="42"/>
            </w:pPr>
            <w:r>
              <w:t>3.95</w:t>
            </w:r>
          </w:p>
        </w:tc>
        <w:tc>
          <w:tcPr>
            <w:tcW w:w="300" w:type="pct"/>
            <w:vAlign w:val="center"/>
          </w:tcPr>
          <w:p>
            <w:pPr>
              <w:pStyle w:val="42"/>
            </w:pPr>
            <w:r>
              <w:t>7.52</w:t>
            </w:r>
          </w:p>
        </w:tc>
        <w:tc>
          <w:tcPr>
            <w:tcW w:w="300" w:type="pct"/>
            <w:vAlign w:val="center"/>
          </w:tcPr>
          <w:p>
            <w:pPr>
              <w:pStyle w:val="42"/>
            </w:pPr>
          </w:p>
        </w:tc>
        <w:tc>
          <w:tcPr>
            <w:tcW w:w="300" w:type="pct"/>
            <w:vAlign w:val="center"/>
          </w:tcPr>
          <w:p>
            <w:pPr>
              <w:pStyle w:val="42"/>
            </w:pPr>
            <w:r>
              <w:t>4.05</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r>
              <w:t>0.676</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74</w:t>
            </w:r>
          </w:p>
        </w:tc>
        <w:tc>
          <w:tcPr>
            <w:tcW w:w="970" w:type="pct"/>
            <w:vAlign w:val="center"/>
          </w:tcPr>
          <w:p>
            <w:pPr>
              <w:pStyle w:val="42"/>
            </w:pPr>
            <w:r>
              <w:t>福安药业集团重庆博圣制药有限公司新建原料药项目</w:t>
            </w:r>
          </w:p>
        </w:tc>
        <w:tc>
          <w:tcPr>
            <w:tcW w:w="300" w:type="pct"/>
            <w:vAlign w:val="center"/>
          </w:tcPr>
          <w:p>
            <w:pPr>
              <w:pStyle w:val="42"/>
            </w:pPr>
            <w:r>
              <w:t>0.32</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17.91</w:t>
            </w:r>
          </w:p>
        </w:tc>
        <w:tc>
          <w:tcPr>
            <w:tcW w:w="262" w:type="pct"/>
            <w:vAlign w:val="center"/>
          </w:tcPr>
          <w:p>
            <w:pPr>
              <w:pStyle w:val="42"/>
            </w:pPr>
          </w:p>
        </w:tc>
        <w:tc>
          <w:tcPr>
            <w:tcW w:w="262" w:type="pct"/>
            <w:vAlign w:val="center"/>
          </w:tcPr>
          <w:p>
            <w:pPr>
              <w:pStyle w:val="42"/>
            </w:pPr>
            <w:r>
              <w:t>0.04</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1.61</w:t>
            </w:r>
          </w:p>
        </w:tc>
        <w:tc>
          <w:tcPr>
            <w:tcW w:w="225" w:type="pct"/>
            <w:vAlign w:val="center"/>
          </w:tcPr>
          <w:p>
            <w:pPr>
              <w:pStyle w:val="42"/>
            </w:pPr>
          </w:p>
        </w:tc>
        <w:tc>
          <w:tcPr>
            <w:tcW w:w="225" w:type="pct"/>
            <w:vAlign w:val="center"/>
          </w:tcPr>
          <w:p>
            <w:pPr>
              <w:pStyle w:val="42"/>
            </w:pPr>
            <w:r>
              <w:t>0.012</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75</w:t>
            </w:r>
          </w:p>
        </w:tc>
        <w:tc>
          <w:tcPr>
            <w:tcW w:w="970" w:type="pct"/>
            <w:vAlign w:val="center"/>
          </w:tcPr>
          <w:p>
            <w:pPr>
              <w:pStyle w:val="42"/>
            </w:pPr>
            <w:r>
              <w:t>重庆康乐制药有限公司高新技术产品和化学药物生产基地建设项目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10.64</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5.784</w:t>
            </w:r>
          </w:p>
        </w:tc>
        <w:tc>
          <w:tcPr>
            <w:tcW w:w="225" w:type="pct"/>
            <w:vAlign w:val="center"/>
          </w:tcPr>
          <w:p>
            <w:pPr>
              <w:pStyle w:val="42"/>
            </w:pPr>
          </w:p>
        </w:tc>
        <w:tc>
          <w:tcPr>
            <w:tcW w:w="225" w:type="pct"/>
            <w:vAlign w:val="center"/>
          </w:tcPr>
          <w:p>
            <w:pPr>
              <w:pStyle w:val="42"/>
            </w:pPr>
            <w:r>
              <w:t>0.026</w:t>
            </w:r>
          </w:p>
        </w:tc>
        <w:tc>
          <w:tcPr>
            <w:tcW w:w="229" w:type="pct"/>
            <w:vAlign w:val="center"/>
          </w:tcPr>
          <w:p>
            <w:pPr>
              <w:pStyle w:val="42"/>
            </w:pPr>
          </w:p>
        </w:tc>
        <w:tc>
          <w:tcPr>
            <w:tcW w:w="286" w:type="pct"/>
            <w:vAlign w:val="center"/>
          </w:tcPr>
          <w:p>
            <w:pPr>
              <w:pStyle w:val="42"/>
            </w:pPr>
            <w:r>
              <w:t>0.106</w:t>
            </w:r>
          </w:p>
        </w:tc>
        <w:tc>
          <w:tcPr>
            <w:tcW w:w="215" w:type="pct"/>
            <w:vAlign w:val="center"/>
          </w:tcPr>
          <w:p>
            <w:pPr>
              <w:pStyle w:val="42"/>
            </w:pPr>
          </w:p>
        </w:tc>
        <w:tc>
          <w:tcPr>
            <w:tcW w:w="261" w:type="pct"/>
            <w:vAlign w:val="center"/>
          </w:tcPr>
          <w:p>
            <w:pPr>
              <w:pStyle w:val="42"/>
            </w:pPr>
            <w: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76</w:t>
            </w:r>
          </w:p>
        </w:tc>
        <w:tc>
          <w:tcPr>
            <w:tcW w:w="970" w:type="pct"/>
            <w:vAlign w:val="center"/>
          </w:tcPr>
          <w:p>
            <w:pPr>
              <w:pStyle w:val="42"/>
            </w:pPr>
            <w:r>
              <w:t>重庆长天药业有限公司化学原料药GMP 生产基地建设项目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0.134</w:t>
            </w:r>
          </w:p>
        </w:tc>
        <w:tc>
          <w:tcPr>
            <w:tcW w:w="300" w:type="pct"/>
            <w:vAlign w:val="center"/>
          </w:tcPr>
          <w:p>
            <w:pPr>
              <w:pStyle w:val="42"/>
            </w:pPr>
            <w:r>
              <w:t>2.339</w:t>
            </w:r>
          </w:p>
        </w:tc>
        <w:tc>
          <w:tcPr>
            <w:tcW w:w="262" w:type="pct"/>
            <w:vAlign w:val="center"/>
          </w:tcPr>
          <w:p>
            <w:pPr>
              <w:pStyle w:val="42"/>
            </w:pPr>
          </w:p>
        </w:tc>
        <w:tc>
          <w:tcPr>
            <w:tcW w:w="262" w:type="pct"/>
            <w:vAlign w:val="center"/>
          </w:tcPr>
          <w:p>
            <w:pPr>
              <w:pStyle w:val="42"/>
            </w:pPr>
            <w:r>
              <w:t>0.234</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r>
              <w:t>0.002</w:t>
            </w:r>
          </w:p>
        </w:tc>
        <w:tc>
          <w:tcPr>
            <w:tcW w:w="229" w:type="pct"/>
            <w:vAlign w:val="center"/>
          </w:tcPr>
          <w:p>
            <w:pPr>
              <w:pStyle w:val="42"/>
            </w:pPr>
          </w:p>
        </w:tc>
        <w:tc>
          <w:tcPr>
            <w:tcW w:w="286" w:type="pct"/>
            <w:vAlign w:val="center"/>
          </w:tcPr>
          <w:p>
            <w:pPr>
              <w:pStyle w:val="42"/>
            </w:pPr>
            <w:r>
              <w:t>0.1803</w:t>
            </w: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77</w:t>
            </w:r>
          </w:p>
        </w:tc>
        <w:tc>
          <w:tcPr>
            <w:tcW w:w="970" w:type="pct"/>
            <w:vAlign w:val="center"/>
          </w:tcPr>
          <w:p>
            <w:pPr>
              <w:pStyle w:val="42"/>
            </w:pPr>
            <w:r>
              <w:t>重庆晟弘化学有限公司年产15000吨金属表面处理剂、防冻液及玻璃水建设项目</w:t>
            </w:r>
          </w:p>
        </w:tc>
        <w:tc>
          <w:tcPr>
            <w:tcW w:w="300" w:type="pct"/>
            <w:vAlign w:val="center"/>
          </w:tcPr>
          <w:p>
            <w:pPr>
              <w:pStyle w:val="42"/>
            </w:pPr>
          </w:p>
        </w:tc>
        <w:tc>
          <w:tcPr>
            <w:tcW w:w="300" w:type="pct"/>
            <w:vAlign w:val="center"/>
          </w:tcPr>
          <w:p>
            <w:pPr>
              <w:pStyle w:val="42"/>
            </w:pPr>
            <w:r>
              <w:t>0.0512</w:t>
            </w:r>
          </w:p>
        </w:tc>
        <w:tc>
          <w:tcPr>
            <w:tcW w:w="300" w:type="pct"/>
            <w:vAlign w:val="center"/>
          </w:tcPr>
          <w:p>
            <w:pPr>
              <w:pStyle w:val="42"/>
            </w:pPr>
            <w:r>
              <w:t>0.1257</w:t>
            </w:r>
          </w:p>
        </w:tc>
        <w:tc>
          <w:tcPr>
            <w:tcW w:w="300" w:type="pct"/>
            <w:vAlign w:val="center"/>
          </w:tcPr>
          <w:p>
            <w:pPr>
              <w:pStyle w:val="42"/>
            </w:pPr>
            <w:r>
              <w:t>0.0612</w:t>
            </w:r>
          </w:p>
        </w:tc>
        <w:tc>
          <w:tcPr>
            <w:tcW w:w="262" w:type="pct"/>
            <w:vAlign w:val="center"/>
          </w:tcPr>
          <w:p>
            <w:pPr>
              <w:pStyle w:val="42"/>
            </w:pPr>
            <w:r>
              <w:t>0.005</w:t>
            </w: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0.041</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78</w:t>
            </w:r>
          </w:p>
        </w:tc>
        <w:tc>
          <w:tcPr>
            <w:tcW w:w="970" w:type="pct"/>
            <w:vAlign w:val="center"/>
          </w:tcPr>
          <w:p>
            <w:pPr>
              <w:pStyle w:val="42"/>
            </w:pPr>
            <w:r>
              <w:t>重庆英斯凯化工有限公司卡立普多医药中间体MPP和莫沙必利中间体J01及cGMP平台更新升级项目（一期）</w:t>
            </w:r>
          </w:p>
        </w:tc>
        <w:tc>
          <w:tcPr>
            <w:tcW w:w="300" w:type="pct"/>
            <w:vAlign w:val="center"/>
          </w:tcPr>
          <w:p>
            <w:pPr>
              <w:pStyle w:val="42"/>
            </w:pPr>
          </w:p>
        </w:tc>
        <w:tc>
          <w:tcPr>
            <w:tcW w:w="300" w:type="pct"/>
            <w:vAlign w:val="center"/>
          </w:tcPr>
          <w:p>
            <w:pPr>
              <w:pStyle w:val="42"/>
            </w:pPr>
          </w:p>
        </w:tc>
        <w:tc>
          <w:tcPr>
            <w:tcW w:w="300" w:type="pct"/>
            <w:vAlign w:val="center"/>
          </w:tcPr>
          <w:p>
            <w:pPr>
              <w:pStyle w:val="42"/>
            </w:pPr>
          </w:p>
        </w:tc>
        <w:tc>
          <w:tcPr>
            <w:tcW w:w="300" w:type="pct"/>
            <w:vAlign w:val="center"/>
          </w:tcPr>
          <w:p>
            <w:pPr>
              <w:pStyle w:val="42"/>
            </w:pPr>
            <w:r>
              <w:t>1.184</w:t>
            </w:r>
          </w:p>
        </w:tc>
        <w:tc>
          <w:tcPr>
            <w:tcW w:w="262" w:type="pct"/>
            <w:vAlign w:val="center"/>
          </w:tcPr>
          <w:p>
            <w:pPr>
              <w:pStyle w:val="42"/>
            </w:pPr>
          </w:p>
        </w:tc>
        <w:tc>
          <w:tcPr>
            <w:tcW w:w="262" w:type="pct"/>
            <w:vAlign w:val="center"/>
          </w:tcPr>
          <w:p>
            <w:pPr>
              <w:pStyle w:val="42"/>
            </w:pPr>
            <w:r>
              <w:t>0.1247</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0.1136</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r>
              <w:t>0.126</w:t>
            </w:r>
          </w:p>
        </w:tc>
        <w:tc>
          <w:tcPr>
            <w:tcW w:w="215" w:type="pct"/>
            <w:vAlign w:val="center"/>
          </w:tcPr>
          <w:p>
            <w:pPr>
              <w:pStyle w:val="42"/>
            </w:pPr>
            <w:r>
              <w:t>0.018</w:t>
            </w:r>
          </w:p>
        </w:tc>
        <w:tc>
          <w:tcPr>
            <w:tcW w:w="261" w:type="pct"/>
            <w:vAlign w:val="center"/>
          </w:tcPr>
          <w:p>
            <w:pPr>
              <w:pStyle w:val="42"/>
            </w:pPr>
            <w:r>
              <w:t>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79</w:t>
            </w:r>
          </w:p>
        </w:tc>
        <w:tc>
          <w:tcPr>
            <w:tcW w:w="970" w:type="pct"/>
            <w:vAlign w:val="center"/>
          </w:tcPr>
          <w:p>
            <w:pPr>
              <w:pStyle w:val="42"/>
            </w:pPr>
            <w:r>
              <w:t>重庆誉铋机械设备有限公司年产60 套矿山设备及1 万吨钢结构件项目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4.17</w:t>
            </w:r>
          </w:p>
        </w:tc>
        <w:tc>
          <w:tcPr>
            <w:tcW w:w="300" w:type="pct"/>
            <w:vAlign w:val="center"/>
          </w:tcPr>
          <w:p>
            <w:pPr>
              <w:pStyle w:val="42"/>
            </w:pPr>
            <w:r>
              <w:t>0.5</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80</w:t>
            </w:r>
          </w:p>
        </w:tc>
        <w:tc>
          <w:tcPr>
            <w:tcW w:w="970" w:type="pct"/>
            <w:vAlign w:val="center"/>
          </w:tcPr>
          <w:p>
            <w:pPr>
              <w:pStyle w:val="42"/>
            </w:pPr>
            <w:r>
              <w:t>重庆市中润化学有限公司有机溶剂NMP生产与回收利用（一期）</w:t>
            </w:r>
          </w:p>
        </w:tc>
        <w:tc>
          <w:tcPr>
            <w:tcW w:w="300" w:type="pct"/>
            <w:vAlign w:val="center"/>
          </w:tcPr>
          <w:p>
            <w:pPr>
              <w:pStyle w:val="42"/>
            </w:pPr>
            <w:r>
              <w:t>0.58</w:t>
            </w:r>
          </w:p>
        </w:tc>
        <w:tc>
          <w:tcPr>
            <w:tcW w:w="300" w:type="pct"/>
            <w:vAlign w:val="center"/>
          </w:tcPr>
          <w:p>
            <w:pPr>
              <w:pStyle w:val="42"/>
            </w:pPr>
            <w:r>
              <w:t>5.43</w:t>
            </w:r>
          </w:p>
        </w:tc>
        <w:tc>
          <w:tcPr>
            <w:tcW w:w="300" w:type="pct"/>
            <w:vAlign w:val="center"/>
          </w:tcPr>
          <w:p>
            <w:pPr>
              <w:pStyle w:val="42"/>
            </w:pPr>
            <w:r>
              <w:t>1.38</w:t>
            </w:r>
          </w:p>
        </w:tc>
        <w:tc>
          <w:tcPr>
            <w:tcW w:w="300" w:type="pct"/>
            <w:vAlign w:val="center"/>
          </w:tcPr>
          <w:p>
            <w:pPr>
              <w:pStyle w:val="42"/>
            </w:pPr>
            <w:r>
              <w:t>0.23</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81</w:t>
            </w:r>
          </w:p>
        </w:tc>
        <w:tc>
          <w:tcPr>
            <w:tcW w:w="970" w:type="pct"/>
            <w:vAlign w:val="center"/>
          </w:tcPr>
          <w:p>
            <w:pPr>
              <w:pStyle w:val="42"/>
            </w:pPr>
            <w:r>
              <w:t>重庆博俊工业科技有限公司汽车零部件、模具生产线建设项目</w:t>
            </w:r>
          </w:p>
        </w:tc>
        <w:tc>
          <w:tcPr>
            <w:tcW w:w="300" w:type="pct"/>
            <w:vAlign w:val="center"/>
          </w:tcPr>
          <w:p>
            <w:pPr>
              <w:pStyle w:val="42"/>
            </w:pPr>
            <w:r>
              <w:t>0.091</w:t>
            </w:r>
          </w:p>
        </w:tc>
        <w:tc>
          <w:tcPr>
            <w:tcW w:w="300" w:type="pct"/>
            <w:vAlign w:val="center"/>
          </w:tcPr>
          <w:p>
            <w:pPr>
              <w:pStyle w:val="42"/>
            </w:pPr>
            <w:r>
              <w:t>0.887</w:t>
            </w:r>
          </w:p>
        </w:tc>
        <w:tc>
          <w:tcPr>
            <w:tcW w:w="300" w:type="pct"/>
            <w:vAlign w:val="center"/>
          </w:tcPr>
          <w:p>
            <w:pPr>
              <w:pStyle w:val="42"/>
            </w:pPr>
            <w:r>
              <w:t>0.103</w:t>
            </w:r>
          </w:p>
        </w:tc>
        <w:tc>
          <w:tcPr>
            <w:tcW w:w="300" w:type="pct"/>
            <w:vAlign w:val="center"/>
          </w:tcPr>
          <w:p>
            <w:pPr>
              <w:pStyle w:val="42"/>
            </w:pPr>
            <w:r>
              <w:t>0.352</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r>
              <w:t>0.071</w:t>
            </w:r>
          </w:p>
        </w:tc>
        <w:tc>
          <w:tcPr>
            <w:tcW w:w="262" w:type="pct"/>
            <w:vAlign w:val="center"/>
          </w:tcPr>
          <w:p>
            <w:pPr>
              <w:pStyle w:val="42"/>
            </w:pPr>
          </w:p>
        </w:tc>
        <w:tc>
          <w:tcPr>
            <w:tcW w:w="225" w:type="pct"/>
            <w:vAlign w:val="center"/>
          </w:tcPr>
          <w:p>
            <w:pPr>
              <w:pStyle w:val="42"/>
            </w:pPr>
          </w:p>
        </w:tc>
        <w:tc>
          <w:tcPr>
            <w:tcW w:w="225" w:type="pct"/>
            <w:vAlign w:val="center"/>
          </w:tcPr>
          <w:p>
            <w:pPr>
              <w:pStyle w:val="42"/>
            </w:pPr>
            <w:r>
              <w:t>0.008</w:t>
            </w: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82</w:t>
            </w:r>
          </w:p>
        </w:tc>
        <w:tc>
          <w:tcPr>
            <w:tcW w:w="970" w:type="pct"/>
            <w:vAlign w:val="center"/>
          </w:tcPr>
          <w:p>
            <w:pPr>
              <w:pStyle w:val="42"/>
            </w:pPr>
            <w:r>
              <w:t>重庆大禹防水科技发展有限公司年产7000万m2防水材料及2万吨防水涂料项目</w:t>
            </w:r>
          </w:p>
        </w:tc>
        <w:tc>
          <w:tcPr>
            <w:tcW w:w="300" w:type="pct"/>
            <w:vAlign w:val="center"/>
          </w:tcPr>
          <w:p>
            <w:pPr>
              <w:pStyle w:val="42"/>
            </w:pPr>
            <w:r>
              <w:t>0.24</w:t>
            </w:r>
          </w:p>
        </w:tc>
        <w:tc>
          <w:tcPr>
            <w:tcW w:w="300" w:type="pct"/>
            <w:vAlign w:val="center"/>
          </w:tcPr>
          <w:p>
            <w:pPr>
              <w:pStyle w:val="42"/>
            </w:pPr>
            <w:r>
              <w:t>1.513</w:t>
            </w:r>
          </w:p>
        </w:tc>
        <w:tc>
          <w:tcPr>
            <w:tcW w:w="300" w:type="pct"/>
            <w:vAlign w:val="center"/>
          </w:tcPr>
          <w:p>
            <w:pPr>
              <w:pStyle w:val="42"/>
            </w:pPr>
            <w:r>
              <w:t>1.463</w:t>
            </w:r>
          </w:p>
        </w:tc>
        <w:tc>
          <w:tcPr>
            <w:tcW w:w="300" w:type="pct"/>
            <w:vAlign w:val="center"/>
          </w:tcPr>
          <w:p>
            <w:pPr>
              <w:pStyle w:val="42"/>
            </w:pPr>
            <w:r>
              <w:t>1.362</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83</w:t>
            </w:r>
          </w:p>
        </w:tc>
        <w:tc>
          <w:tcPr>
            <w:tcW w:w="970" w:type="pct"/>
            <w:vAlign w:val="center"/>
          </w:tcPr>
          <w:p>
            <w:pPr>
              <w:pStyle w:val="42"/>
            </w:pPr>
            <w:r>
              <w:t>重庆世环催化技术有限公司年产1000吨治理N2O催化剂及年产5000吨低温脱硫脱硝催化剂项目</w:t>
            </w:r>
          </w:p>
        </w:tc>
        <w:tc>
          <w:tcPr>
            <w:tcW w:w="300" w:type="pct"/>
            <w:vAlign w:val="center"/>
          </w:tcPr>
          <w:p>
            <w:pPr>
              <w:pStyle w:val="42"/>
            </w:pPr>
          </w:p>
        </w:tc>
        <w:tc>
          <w:tcPr>
            <w:tcW w:w="300" w:type="pct"/>
            <w:vAlign w:val="center"/>
          </w:tcPr>
          <w:p>
            <w:pPr>
              <w:pStyle w:val="42"/>
            </w:pPr>
            <w:r>
              <w:t>31.8</w:t>
            </w:r>
          </w:p>
        </w:tc>
        <w:tc>
          <w:tcPr>
            <w:tcW w:w="300" w:type="pct"/>
            <w:vAlign w:val="center"/>
          </w:tcPr>
          <w:p>
            <w:pPr>
              <w:pStyle w:val="42"/>
            </w:pPr>
            <w:r>
              <w:t>6.98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84</w:t>
            </w:r>
          </w:p>
        </w:tc>
        <w:tc>
          <w:tcPr>
            <w:tcW w:w="970" w:type="pct"/>
            <w:vAlign w:val="center"/>
          </w:tcPr>
          <w:p>
            <w:pPr>
              <w:pStyle w:val="42"/>
            </w:pPr>
            <w:r>
              <w:t>重庆鸿融化工新材料有限公司4000吨沥青仓储项目</w:t>
            </w:r>
          </w:p>
        </w:tc>
        <w:tc>
          <w:tcPr>
            <w:tcW w:w="300" w:type="pct"/>
            <w:vAlign w:val="center"/>
          </w:tcPr>
          <w:p>
            <w:pPr>
              <w:pStyle w:val="42"/>
            </w:pPr>
            <w:r>
              <w:t>0.106</w:t>
            </w:r>
          </w:p>
        </w:tc>
        <w:tc>
          <w:tcPr>
            <w:tcW w:w="300" w:type="pct"/>
            <w:vAlign w:val="center"/>
          </w:tcPr>
          <w:p>
            <w:pPr>
              <w:pStyle w:val="42"/>
            </w:pPr>
            <w:r>
              <w:t>0.491</w:t>
            </w:r>
          </w:p>
        </w:tc>
        <w:tc>
          <w:tcPr>
            <w:tcW w:w="300" w:type="pct"/>
            <w:vAlign w:val="center"/>
          </w:tcPr>
          <w:p>
            <w:pPr>
              <w:pStyle w:val="42"/>
            </w:pPr>
            <w:r>
              <w:t>0.064</w:t>
            </w:r>
          </w:p>
        </w:tc>
        <w:tc>
          <w:tcPr>
            <w:tcW w:w="300" w:type="pct"/>
            <w:vAlign w:val="center"/>
          </w:tcPr>
          <w:p>
            <w:pPr>
              <w:pStyle w:val="42"/>
            </w:pPr>
            <w:r>
              <w:t>0.755</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85</w:t>
            </w:r>
          </w:p>
        </w:tc>
        <w:tc>
          <w:tcPr>
            <w:tcW w:w="970" w:type="pct"/>
            <w:vAlign w:val="center"/>
          </w:tcPr>
          <w:p>
            <w:pPr>
              <w:pStyle w:val="42"/>
            </w:pPr>
            <w:r>
              <w:t>重庆丰铭炜烨汽车零部件有限公司年产90 万套仪表板、扰流板、保险杠等汽车零部件项目</w:t>
            </w:r>
          </w:p>
        </w:tc>
        <w:tc>
          <w:tcPr>
            <w:tcW w:w="300" w:type="pct"/>
            <w:vAlign w:val="center"/>
          </w:tcPr>
          <w:p>
            <w:pPr>
              <w:pStyle w:val="42"/>
            </w:pPr>
            <w:r>
              <w:t>1.15</w:t>
            </w:r>
          </w:p>
        </w:tc>
        <w:tc>
          <w:tcPr>
            <w:tcW w:w="300" w:type="pct"/>
            <w:vAlign w:val="center"/>
          </w:tcPr>
          <w:p>
            <w:pPr>
              <w:pStyle w:val="42"/>
            </w:pPr>
            <w:r>
              <w:t>6.9</w:t>
            </w:r>
          </w:p>
        </w:tc>
        <w:tc>
          <w:tcPr>
            <w:tcW w:w="300" w:type="pct"/>
            <w:vAlign w:val="center"/>
          </w:tcPr>
          <w:p>
            <w:pPr>
              <w:pStyle w:val="42"/>
            </w:pPr>
            <w:r>
              <w:t>3.19</w:t>
            </w:r>
          </w:p>
        </w:tc>
        <w:tc>
          <w:tcPr>
            <w:tcW w:w="300" w:type="pct"/>
            <w:vAlign w:val="center"/>
          </w:tcPr>
          <w:p>
            <w:pPr>
              <w:pStyle w:val="42"/>
            </w:pPr>
            <w:r>
              <w:t>9.16</w:t>
            </w:r>
          </w:p>
        </w:tc>
        <w:tc>
          <w:tcPr>
            <w:tcW w:w="262" w:type="pct"/>
            <w:vAlign w:val="center"/>
          </w:tcPr>
          <w:p>
            <w:pPr>
              <w:pStyle w:val="42"/>
            </w:pPr>
          </w:p>
        </w:tc>
        <w:tc>
          <w:tcPr>
            <w:tcW w:w="262" w:type="pct"/>
            <w:vAlign w:val="center"/>
          </w:tcPr>
          <w:p>
            <w:pPr>
              <w:pStyle w:val="42"/>
            </w:pPr>
            <w:r>
              <w:t>0.75</w:t>
            </w: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86</w:t>
            </w:r>
          </w:p>
        </w:tc>
        <w:tc>
          <w:tcPr>
            <w:tcW w:w="970" w:type="pct"/>
            <w:vAlign w:val="center"/>
          </w:tcPr>
          <w:p>
            <w:pPr>
              <w:pStyle w:val="42"/>
            </w:pPr>
            <w:r>
              <w:t>重庆莱美隆宇药业有限公司年产800kg埃索美拉唑项目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0.0001</w:t>
            </w:r>
          </w:p>
        </w:tc>
        <w:tc>
          <w:tcPr>
            <w:tcW w:w="300" w:type="pct"/>
            <w:vAlign w:val="center"/>
          </w:tcPr>
          <w:p>
            <w:pPr>
              <w:pStyle w:val="42"/>
            </w:pPr>
            <w:r>
              <w:t>0.373</w:t>
            </w:r>
          </w:p>
        </w:tc>
        <w:tc>
          <w:tcPr>
            <w:tcW w:w="262" w:type="pct"/>
            <w:vAlign w:val="center"/>
          </w:tcPr>
          <w:p>
            <w:pPr>
              <w:pStyle w:val="42"/>
            </w:pPr>
          </w:p>
        </w:tc>
        <w:tc>
          <w:tcPr>
            <w:tcW w:w="262" w:type="pct"/>
            <w:vAlign w:val="center"/>
          </w:tcPr>
          <w:p>
            <w:pPr>
              <w:pStyle w:val="42"/>
            </w:pPr>
            <w:r>
              <w:t>0.024</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0.18</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87</w:t>
            </w:r>
          </w:p>
        </w:tc>
        <w:tc>
          <w:tcPr>
            <w:tcW w:w="970" w:type="pct"/>
            <w:vAlign w:val="center"/>
          </w:tcPr>
          <w:p>
            <w:pPr>
              <w:pStyle w:val="42"/>
            </w:pPr>
            <w:r>
              <w:t>重庆安格龙翔制药有限公司年产20吨盐酸克林霉素棕榈酸酯原料扩建项目</w:t>
            </w:r>
          </w:p>
        </w:tc>
        <w:tc>
          <w:tcPr>
            <w:tcW w:w="300" w:type="pct"/>
            <w:vAlign w:val="center"/>
          </w:tcPr>
          <w:p>
            <w:pPr>
              <w:pStyle w:val="42"/>
            </w:pPr>
          </w:p>
        </w:tc>
        <w:tc>
          <w:tcPr>
            <w:tcW w:w="300" w:type="pct"/>
            <w:vAlign w:val="center"/>
          </w:tcPr>
          <w:p>
            <w:pPr>
              <w:pStyle w:val="42"/>
            </w:pPr>
          </w:p>
        </w:tc>
        <w:tc>
          <w:tcPr>
            <w:tcW w:w="300" w:type="pct"/>
            <w:vAlign w:val="center"/>
          </w:tcPr>
          <w:p>
            <w:pPr>
              <w:pStyle w:val="42"/>
            </w:pPr>
            <w:r>
              <w:t>0.005</w:t>
            </w:r>
          </w:p>
        </w:tc>
        <w:tc>
          <w:tcPr>
            <w:tcW w:w="300" w:type="pct"/>
            <w:vAlign w:val="center"/>
          </w:tcPr>
          <w:p>
            <w:pPr>
              <w:pStyle w:val="42"/>
            </w:pPr>
            <w:r>
              <w:t>0.727</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0.216</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88</w:t>
            </w:r>
          </w:p>
        </w:tc>
        <w:tc>
          <w:tcPr>
            <w:tcW w:w="970" w:type="pct"/>
            <w:vAlign w:val="center"/>
          </w:tcPr>
          <w:p>
            <w:pPr>
              <w:pStyle w:val="42"/>
            </w:pPr>
            <w:r>
              <w:t>重庆宏大化工科技有限公司年产60万吨（35%）双氧水项目一期工程配套7000Nm3/h天然气制氢暨20000t/a食品级二氧化碳项目</w:t>
            </w:r>
          </w:p>
        </w:tc>
        <w:tc>
          <w:tcPr>
            <w:tcW w:w="300" w:type="pct"/>
            <w:vAlign w:val="center"/>
          </w:tcPr>
          <w:p>
            <w:pPr>
              <w:pStyle w:val="42"/>
            </w:pPr>
            <w:r>
              <w:t>0.144</w:t>
            </w:r>
          </w:p>
        </w:tc>
        <w:tc>
          <w:tcPr>
            <w:tcW w:w="300" w:type="pct"/>
            <w:vAlign w:val="center"/>
          </w:tcPr>
          <w:p>
            <w:pPr>
              <w:pStyle w:val="42"/>
            </w:pPr>
            <w:r>
              <w:t>8.64</w:t>
            </w:r>
          </w:p>
        </w:tc>
        <w:tc>
          <w:tcPr>
            <w:tcW w:w="300" w:type="pct"/>
            <w:vAlign w:val="center"/>
          </w:tcPr>
          <w:p>
            <w:pPr>
              <w:pStyle w:val="42"/>
            </w:pPr>
            <w:r>
              <w:t>1.728</w:t>
            </w:r>
          </w:p>
        </w:tc>
        <w:tc>
          <w:tcPr>
            <w:tcW w:w="300" w:type="pct"/>
            <w:vAlign w:val="center"/>
          </w:tcPr>
          <w:p>
            <w:pPr>
              <w:pStyle w:val="42"/>
            </w:pP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89</w:t>
            </w:r>
          </w:p>
        </w:tc>
        <w:tc>
          <w:tcPr>
            <w:tcW w:w="970" w:type="pct"/>
            <w:vAlign w:val="center"/>
          </w:tcPr>
          <w:p>
            <w:pPr>
              <w:pStyle w:val="42"/>
            </w:pPr>
            <w:r>
              <w:t>重庆紫光国际化工有限责任公司年产8000吨原甲酸三甲酯（TMOF）技改项目</w:t>
            </w:r>
          </w:p>
        </w:tc>
        <w:tc>
          <w:tcPr>
            <w:tcW w:w="300" w:type="pct"/>
            <w:vAlign w:val="center"/>
          </w:tcPr>
          <w:p>
            <w:pPr>
              <w:pStyle w:val="42"/>
            </w:pPr>
            <w:r>
              <w:t>0.54</w:t>
            </w:r>
          </w:p>
        </w:tc>
        <w:tc>
          <w:tcPr>
            <w:tcW w:w="300" w:type="pct"/>
            <w:vAlign w:val="center"/>
          </w:tcPr>
          <w:p>
            <w:pPr>
              <w:pStyle w:val="42"/>
            </w:pPr>
            <w:r>
              <w:t>5.724</w:t>
            </w:r>
          </w:p>
        </w:tc>
        <w:tc>
          <w:tcPr>
            <w:tcW w:w="300" w:type="pct"/>
            <w:vAlign w:val="center"/>
          </w:tcPr>
          <w:p>
            <w:pPr>
              <w:pStyle w:val="42"/>
            </w:pPr>
            <w:r>
              <w:t>0.157</w:t>
            </w:r>
          </w:p>
        </w:tc>
        <w:tc>
          <w:tcPr>
            <w:tcW w:w="300" w:type="pct"/>
            <w:vAlign w:val="center"/>
          </w:tcPr>
          <w:p>
            <w:pPr>
              <w:pStyle w:val="42"/>
            </w:pPr>
            <w:r>
              <w:t>1.362</w:t>
            </w:r>
          </w:p>
        </w:tc>
        <w:tc>
          <w:tcPr>
            <w:tcW w:w="262" w:type="pct"/>
            <w:vAlign w:val="center"/>
          </w:tcPr>
          <w:p>
            <w:pPr>
              <w:pStyle w:val="42"/>
            </w:pPr>
          </w:p>
        </w:tc>
        <w:tc>
          <w:tcPr>
            <w:tcW w:w="262" w:type="pct"/>
            <w:vAlign w:val="center"/>
          </w:tcPr>
          <w:p>
            <w:pPr>
              <w:pStyle w:val="42"/>
            </w:pPr>
          </w:p>
        </w:tc>
        <w:tc>
          <w:tcPr>
            <w:tcW w:w="215" w:type="pct"/>
            <w:vAlign w:val="center"/>
          </w:tcPr>
          <w:p>
            <w:pPr>
              <w:pStyle w:val="42"/>
            </w:pPr>
          </w:p>
        </w:tc>
        <w:tc>
          <w:tcPr>
            <w:tcW w:w="225" w:type="pct"/>
            <w:vAlign w:val="center"/>
          </w:tcPr>
          <w:p>
            <w:pPr>
              <w:pStyle w:val="42"/>
            </w:pPr>
          </w:p>
        </w:tc>
        <w:tc>
          <w:tcPr>
            <w:tcW w:w="262" w:type="pct"/>
            <w:vAlign w:val="center"/>
          </w:tcPr>
          <w:p>
            <w:pPr>
              <w:pStyle w:val="42"/>
            </w:pPr>
            <w:r>
              <w:t>0.428</w:t>
            </w:r>
          </w:p>
        </w:tc>
        <w:tc>
          <w:tcPr>
            <w:tcW w:w="225" w:type="pct"/>
            <w:vAlign w:val="center"/>
          </w:tcPr>
          <w:p>
            <w:pPr>
              <w:pStyle w:val="42"/>
            </w:pPr>
          </w:p>
        </w:tc>
        <w:tc>
          <w:tcPr>
            <w:tcW w:w="225" w:type="pct"/>
            <w:vAlign w:val="center"/>
          </w:tcPr>
          <w:p>
            <w:pPr>
              <w:pStyle w:val="42"/>
            </w:pPr>
          </w:p>
        </w:tc>
        <w:tc>
          <w:tcPr>
            <w:tcW w:w="229" w:type="pct"/>
            <w:vAlign w:val="center"/>
          </w:tcPr>
          <w:p>
            <w:pPr>
              <w:pStyle w:val="42"/>
            </w:pPr>
          </w:p>
        </w:tc>
        <w:tc>
          <w:tcPr>
            <w:tcW w:w="286" w:type="pct"/>
            <w:vAlign w:val="center"/>
          </w:tcPr>
          <w:p>
            <w:pPr>
              <w:pStyle w:val="42"/>
            </w:pPr>
          </w:p>
        </w:tc>
        <w:tc>
          <w:tcPr>
            <w:tcW w:w="215" w:type="pct"/>
            <w:vAlign w:val="center"/>
          </w:tcPr>
          <w:p>
            <w:pPr>
              <w:pStyle w:val="42"/>
            </w:pPr>
          </w:p>
        </w:tc>
        <w:tc>
          <w:tcPr>
            <w:tcW w:w="261" w:type="pct"/>
            <w:vAlign w:val="center"/>
          </w:tcPr>
          <w:p>
            <w:pPr>
              <w:pStyle w:val="42"/>
            </w:pPr>
            <w: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3" w:type="pct"/>
            <w:vAlign w:val="center"/>
          </w:tcPr>
          <w:p>
            <w:pPr>
              <w:pStyle w:val="42"/>
            </w:pPr>
            <w:r>
              <w:t>90</w:t>
            </w:r>
          </w:p>
        </w:tc>
        <w:tc>
          <w:tcPr>
            <w:tcW w:w="970" w:type="pct"/>
            <w:vAlign w:val="center"/>
          </w:tcPr>
          <w:p>
            <w:pPr>
              <w:pStyle w:val="42"/>
            </w:pPr>
            <w:r>
              <w:t>重庆农药化工（集团）有限公司重庆农药化工（集团）有限公司高端精细化学品系列升级改造项目-2000吨/年吡唑醚菌酯原药项目和丙硫菌唑等五个农药原药项目（吡蚜酮、乙螨唑项目）</w:t>
            </w:r>
          </w:p>
        </w:tc>
        <w:tc>
          <w:tcPr>
            <w:tcW w:w="300" w:type="pct"/>
            <w:vAlign w:val="center"/>
          </w:tcPr>
          <w:p>
            <w:pPr>
              <w:pStyle w:val="42"/>
            </w:pPr>
            <w:r>
              <w:t>20.16</w:t>
            </w:r>
          </w:p>
        </w:tc>
        <w:tc>
          <w:tcPr>
            <w:tcW w:w="300" w:type="pct"/>
            <w:vAlign w:val="center"/>
          </w:tcPr>
          <w:p>
            <w:pPr>
              <w:pStyle w:val="42"/>
            </w:pPr>
            <w:r>
              <w:t>0.43</w:t>
            </w:r>
          </w:p>
        </w:tc>
        <w:tc>
          <w:tcPr>
            <w:tcW w:w="300" w:type="pct"/>
            <w:vAlign w:val="center"/>
          </w:tcPr>
          <w:p>
            <w:pPr>
              <w:pStyle w:val="42"/>
            </w:pPr>
            <w:r>
              <w:t>3.288</w:t>
            </w:r>
          </w:p>
        </w:tc>
        <w:tc>
          <w:tcPr>
            <w:tcW w:w="300" w:type="pct"/>
            <w:vAlign w:val="center"/>
          </w:tcPr>
          <w:p>
            <w:pPr>
              <w:pStyle w:val="42"/>
            </w:pPr>
            <w:r>
              <w:t>2.34</w:t>
            </w:r>
          </w:p>
        </w:tc>
        <w:tc>
          <w:tcPr>
            <w:tcW w:w="262" w:type="pct"/>
            <w:vAlign w:val="center"/>
          </w:tcPr>
          <w:p>
            <w:pPr>
              <w:pStyle w:val="42"/>
            </w:pPr>
          </w:p>
        </w:tc>
        <w:tc>
          <w:tcPr>
            <w:tcW w:w="262" w:type="pct"/>
            <w:vAlign w:val="center"/>
          </w:tcPr>
          <w:p>
            <w:pPr>
              <w:pStyle w:val="42"/>
            </w:pPr>
            <w:r>
              <w:t>14.017</w:t>
            </w:r>
          </w:p>
        </w:tc>
        <w:tc>
          <w:tcPr>
            <w:tcW w:w="215" w:type="pct"/>
            <w:vAlign w:val="center"/>
          </w:tcPr>
          <w:p>
            <w:pPr>
              <w:pStyle w:val="42"/>
            </w:pPr>
          </w:p>
        </w:tc>
        <w:tc>
          <w:tcPr>
            <w:tcW w:w="225" w:type="pct"/>
            <w:vAlign w:val="center"/>
          </w:tcPr>
          <w:p>
            <w:pPr>
              <w:pStyle w:val="42"/>
            </w:pPr>
          </w:p>
        </w:tc>
        <w:tc>
          <w:tcPr>
            <w:tcW w:w="262" w:type="pct"/>
            <w:vAlign w:val="center"/>
          </w:tcPr>
          <w:p>
            <w:pPr>
              <w:pStyle w:val="42"/>
            </w:pPr>
            <w:r>
              <w:t>9.4875</w:t>
            </w:r>
          </w:p>
        </w:tc>
        <w:tc>
          <w:tcPr>
            <w:tcW w:w="225" w:type="pct"/>
            <w:vAlign w:val="center"/>
          </w:tcPr>
          <w:p>
            <w:pPr>
              <w:pStyle w:val="42"/>
            </w:pPr>
            <w:r>
              <w:t>0.003</w:t>
            </w:r>
          </w:p>
        </w:tc>
        <w:tc>
          <w:tcPr>
            <w:tcW w:w="225" w:type="pct"/>
            <w:vAlign w:val="center"/>
          </w:tcPr>
          <w:p>
            <w:pPr>
              <w:pStyle w:val="42"/>
            </w:pPr>
            <w:r>
              <w:t>0.06</w:t>
            </w:r>
          </w:p>
        </w:tc>
        <w:tc>
          <w:tcPr>
            <w:tcW w:w="229" w:type="pct"/>
            <w:vAlign w:val="center"/>
          </w:tcPr>
          <w:p>
            <w:pPr>
              <w:pStyle w:val="42"/>
            </w:pPr>
          </w:p>
        </w:tc>
        <w:tc>
          <w:tcPr>
            <w:tcW w:w="286" w:type="pct"/>
            <w:vAlign w:val="center"/>
          </w:tcPr>
          <w:p>
            <w:pPr>
              <w:pStyle w:val="42"/>
            </w:pPr>
            <w:r>
              <w:t>2.28</w:t>
            </w:r>
          </w:p>
        </w:tc>
        <w:tc>
          <w:tcPr>
            <w:tcW w:w="215" w:type="pct"/>
            <w:vAlign w:val="center"/>
          </w:tcPr>
          <w:p>
            <w:pPr>
              <w:pStyle w:val="42"/>
            </w:pPr>
            <w:r>
              <w:t>0.036</w:t>
            </w:r>
          </w:p>
        </w:tc>
        <w:tc>
          <w:tcPr>
            <w:tcW w:w="261" w:type="pct"/>
            <w:vAlign w:val="center"/>
          </w:tcPr>
          <w:p>
            <w:pPr>
              <w:pStyle w:val="42"/>
            </w:pPr>
            <w:r>
              <w:t>4.489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gridSpan w:val="2"/>
            <w:vAlign w:val="center"/>
          </w:tcPr>
          <w:p>
            <w:pPr>
              <w:pStyle w:val="42"/>
            </w:pPr>
            <w:r>
              <w:rPr>
                <w:rFonts w:hint="eastAsia"/>
              </w:rPr>
              <w:t>合计</w:t>
            </w:r>
          </w:p>
        </w:tc>
        <w:tc>
          <w:tcPr>
            <w:tcW w:w="300" w:type="pct"/>
            <w:vAlign w:val="center"/>
          </w:tcPr>
          <w:p>
            <w:pPr>
              <w:pStyle w:val="42"/>
            </w:pPr>
            <w:r>
              <w:t>4366.721</w:t>
            </w:r>
          </w:p>
        </w:tc>
        <w:tc>
          <w:tcPr>
            <w:tcW w:w="300" w:type="pct"/>
            <w:vAlign w:val="center"/>
          </w:tcPr>
          <w:p>
            <w:pPr>
              <w:pStyle w:val="42"/>
            </w:pPr>
            <w:r>
              <w:t>7509.045</w:t>
            </w:r>
          </w:p>
        </w:tc>
        <w:tc>
          <w:tcPr>
            <w:tcW w:w="300" w:type="pct"/>
            <w:vAlign w:val="center"/>
          </w:tcPr>
          <w:p>
            <w:pPr>
              <w:pStyle w:val="42"/>
            </w:pPr>
            <w:r>
              <w:t>2768.241</w:t>
            </w:r>
          </w:p>
        </w:tc>
        <w:tc>
          <w:tcPr>
            <w:tcW w:w="300" w:type="pct"/>
            <w:vAlign w:val="center"/>
          </w:tcPr>
          <w:p>
            <w:pPr>
              <w:pStyle w:val="42"/>
            </w:pPr>
            <w:r>
              <w:t>166.7767</w:t>
            </w:r>
          </w:p>
        </w:tc>
        <w:tc>
          <w:tcPr>
            <w:tcW w:w="262" w:type="pct"/>
            <w:vAlign w:val="center"/>
          </w:tcPr>
          <w:p>
            <w:pPr>
              <w:pStyle w:val="42"/>
            </w:pPr>
            <w:r>
              <w:t>20.2083</w:t>
            </w:r>
          </w:p>
        </w:tc>
        <w:tc>
          <w:tcPr>
            <w:tcW w:w="262" w:type="pct"/>
            <w:vAlign w:val="center"/>
          </w:tcPr>
          <w:p>
            <w:pPr>
              <w:pStyle w:val="42"/>
            </w:pPr>
            <w:r>
              <w:t>22.1697</w:t>
            </w:r>
          </w:p>
        </w:tc>
        <w:tc>
          <w:tcPr>
            <w:tcW w:w="215" w:type="pct"/>
            <w:vAlign w:val="center"/>
          </w:tcPr>
          <w:p>
            <w:pPr>
              <w:pStyle w:val="42"/>
            </w:pPr>
            <w:r>
              <w:t>13.04</w:t>
            </w:r>
          </w:p>
        </w:tc>
        <w:tc>
          <w:tcPr>
            <w:tcW w:w="225" w:type="pct"/>
            <w:vAlign w:val="center"/>
          </w:tcPr>
          <w:p>
            <w:pPr>
              <w:pStyle w:val="42"/>
            </w:pPr>
            <w:r>
              <w:t>6.621</w:t>
            </w:r>
          </w:p>
        </w:tc>
        <w:tc>
          <w:tcPr>
            <w:tcW w:w="262" w:type="pct"/>
            <w:vAlign w:val="center"/>
          </w:tcPr>
          <w:p>
            <w:pPr>
              <w:pStyle w:val="42"/>
            </w:pPr>
            <w:r>
              <w:t>66.9523</w:t>
            </w:r>
          </w:p>
        </w:tc>
        <w:tc>
          <w:tcPr>
            <w:tcW w:w="225" w:type="pct"/>
            <w:vAlign w:val="center"/>
          </w:tcPr>
          <w:p>
            <w:pPr>
              <w:pStyle w:val="42"/>
            </w:pPr>
            <w:r>
              <w:t>0.063</w:t>
            </w:r>
          </w:p>
        </w:tc>
        <w:tc>
          <w:tcPr>
            <w:tcW w:w="225" w:type="pct"/>
            <w:vAlign w:val="center"/>
          </w:tcPr>
          <w:p>
            <w:pPr>
              <w:pStyle w:val="42"/>
            </w:pPr>
            <w:r>
              <w:t>9.6211</w:t>
            </w:r>
          </w:p>
        </w:tc>
        <w:tc>
          <w:tcPr>
            <w:tcW w:w="229" w:type="pct"/>
            <w:vAlign w:val="center"/>
          </w:tcPr>
          <w:p>
            <w:pPr>
              <w:pStyle w:val="42"/>
            </w:pPr>
            <w:r>
              <w:t>0.06</w:t>
            </w:r>
          </w:p>
        </w:tc>
        <w:tc>
          <w:tcPr>
            <w:tcW w:w="286" w:type="pct"/>
            <w:vAlign w:val="center"/>
          </w:tcPr>
          <w:p>
            <w:pPr>
              <w:pStyle w:val="42"/>
            </w:pPr>
            <w:r>
              <w:t>131.3715</w:t>
            </w:r>
          </w:p>
        </w:tc>
        <w:tc>
          <w:tcPr>
            <w:tcW w:w="215" w:type="pct"/>
            <w:vAlign w:val="center"/>
          </w:tcPr>
          <w:p>
            <w:pPr>
              <w:pStyle w:val="42"/>
            </w:pPr>
            <w:r>
              <w:t>0.206</w:t>
            </w:r>
          </w:p>
        </w:tc>
        <w:tc>
          <w:tcPr>
            <w:tcW w:w="261" w:type="pct"/>
            <w:vAlign w:val="center"/>
          </w:tcPr>
          <w:p>
            <w:pPr>
              <w:pStyle w:val="42"/>
            </w:pPr>
            <w:r>
              <w:t>20.9414</w:t>
            </w:r>
          </w:p>
        </w:tc>
      </w:tr>
    </w:tbl>
    <w:p>
      <w:pPr>
        <w:pStyle w:val="41"/>
        <w:spacing w:before="156" w:after="156"/>
      </w:pPr>
      <w:r>
        <w:rPr>
          <w:rFonts w:hint="eastAsia"/>
        </w:rPr>
        <w:t>表4.3-2 区域主要企业废水污染物排放及治理情况汇总表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70"/>
        <w:gridCol w:w="2654"/>
        <w:gridCol w:w="950"/>
        <w:gridCol w:w="844"/>
        <w:gridCol w:w="734"/>
        <w:gridCol w:w="844"/>
        <w:gridCol w:w="844"/>
        <w:gridCol w:w="622"/>
        <w:gridCol w:w="844"/>
        <w:gridCol w:w="633"/>
        <w:gridCol w:w="507"/>
        <w:gridCol w:w="740"/>
        <w:gridCol w:w="785"/>
        <w:gridCol w:w="846"/>
        <w:gridCol w:w="1278"/>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 w:hRule="atLeast"/>
          <w:tblHeader/>
        </w:trPr>
        <w:tc>
          <w:tcPr>
            <w:tcW w:w="132" w:type="pct"/>
            <w:vMerge w:val="restart"/>
            <w:shd w:val="clear" w:color="auto" w:fill="auto"/>
            <w:vAlign w:val="center"/>
          </w:tcPr>
          <w:p>
            <w:pPr>
              <w:pStyle w:val="42"/>
              <w:rPr>
                <w:sz w:val="18"/>
                <w:szCs w:val="18"/>
              </w:rPr>
            </w:pPr>
            <w:r>
              <w:rPr>
                <w:rFonts w:hint="eastAsia"/>
                <w:sz w:val="18"/>
                <w:szCs w:val="18"/>
              </w:rPr>
              <w:t>序号</w:t>
            </w:r>
          </w:p>
        </w:tc>
        <w:tc>
          <w:tcPr>
            <w:tcW w:w="947" w:type="pct"/>
            <w:vMerge w:val="restart"/>
            <w:shd w:val="clear" w:color="auto" w:fill="auto"/>
            <w:vAlign w:val="center"/>
          </w:tcPr>
          <w:p>
            <w:pPr>
              <w:pStyle w:val="42"/>
              <w:rPr>
                <w:sz w:val="18"/>
                <w:szCs w:val="18"/>
              </w:rPr>
            </w:pPr>
            <w:r>
              <w:rPr>
                <w:rFonts w:hint="eastAsia"/>
                <w:sz w:val="18"/>
                <w:szCs w:val="18"/>
              </w:rPr>
              <w:t>企业</w:t>
            </w:r>
          </w:p>
        </w:tc>
        <w:tc>
          <w:tcPr>
            <w:tcW w:w="339" w:type="pct"/>
            <w:shd w:val="clear" w:color="auto" w:fill="auto"/>
            <w:vAlign w:val="center"/>
          </w:tcPr>
          <w:p>
            <w:pPr>
              <w:pStyle w:val="42"/>
              <w:rPr>
                <w:sz w:val="18"/>
                <w:szCs w:val="18"/>
              </w:rPr>
            </w:pPr>
            <w:r>
              <w:rPr>
                <w:rFonts w:hint="eastAsia"/>
                <w:sz w:val="18"/>
                <w:szCs w:val="18"/>
              </w:rPr>
              <w:t>废水量</w:t>
            </w:r>
          </w:p>
        </w:tc>
        <w:tc>
          <w:tcPr>
            <w:tcW w:w="2941" w:type="pct"/>
            <w:gridSpan w:val="11"/>
            <w:shd w:val="clear" w:color="auto" w:fill="auto"/>
            <w:vAlign w:val="center"/>
          </w:tcPr>
          <w:p>
            <w:pPr>
              <w:pStyle w:val="42"/>
              <w:rPr>
                <w:sz w:val="18"/>
                <w:szCs w:val="18"/>
              </w:rPr>
            </w:pPr>
            <w:r>
              <w:rPr>
                <w:rFonts w:hint="eastAsia"/>
                <w:sz w:val="18"/>
                <w:szCs w:val="18"/>
              </w:rPr>
              <w:t>主要排放污染因子</w:t>
            </w:r>
            <w:r>
              <w:rPr>
                <w:sz w:val="18"/>
                <w:szCs w:val="18"/>
              </w:rPr>
              <w:t>(</w:t>
            </w:r>
            <w:r>
              <w:rPr>
                <w:rFonts w:hint="eastAsia"/>
                <w:sz w:val="18"/>
                <w:szCs w:val="18"/>
              </w:rPr>
              <w:t>单位：</w:t>
            </w:r>
            <w:r>
              <w:rPr>
                <w:sz w:val="18"/>
                <w:szCs w:val="18"/>
              </w:rPr>
              <w:t>t/a)</w:t>
            </w:r>
          </w:p>
        </w:tc>
        <w:tc>
          <w:tcPr>
            <w:tcW w:w="456" w:type="pct"/>
            <w:vMerge w:val="restart"/>
            <w:shd w:val="clear" w:color="auto" w:fill="auto"/>
            <w:vAlign w:val="center"/>
          </w:tcPr>
          <w:p>
            <w:pPr>
              <w:pStyle w:val="42"/>
              <w:rPr>
                <w:sz w:val="18"/>
                <w:szCs w:val="18"/>
              </w:rPr>
            </w:pPr>
            <w:r>
              <w:rPr>
                <w:rFonts w:hint="eastAsia"/>
                <w:sz w:val="18"/>
                <w:szCs w:val="18"/>
              </w:rPr>
              <w:t>主要治理措施</w:t>
            </w:r>
          </w:p>
        </w:tc>
        <w:tc>
          <w:tcPr>
            <w:tcW w:w="185" w:type="pct"/>
            <w:vMerge w:val="restart"/>
            <w:shd w:val="clear" w:color="auto" w:fill="auto"/>
            <w:vAlign w:val="center"/>
          </w:tcPr>
          <w:p>
            <w:pPr>
              <w:pStyle w:val="42"/>
              <w:rPr>
                <w:sz w:val="18"/>
                <w:szCs w:val="18"/>
              </w:rPr>
            </w:pPr>
            <w:r>
              <w:rPr>
                <w:rFonts w:hint="eastAsia"/>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tblHeader/>
        </w:trPr>
        <w:tc>
          <w:tcPr>
            <w:tcW w:w="132" w:type="pct"/>
            <w:vMerge w:val="continue"/>
            <w:vAlign w:val="center"/>
          </w:tcPr>
          <w:p>
            <w:pPr>
              <w:pStyle w:val="42"/>
              <w:rPr>
                <w:sz w:val="18"/>
                <w:szCs w:val="18"/>
              </w:rPr>
            </w:pPr>
          </w:p>
        </w:tc>
        <w:tc>
          <w:tcPr>
            <w:tcW w:w="947" w:type="pct"/>
            <w:vMerge w:val="continue"/>
            <w:vAlign w:val="center"/>
          </w:tcPr>
          <w:p>
            <w:pPr>
              <w:pStyle w:val="42"/>
              <w:rPr>
                <w:sz w:val="18"/>
                <w:szCs w:val="18"/>
              </w:rPr>
            </w:pPr>
          </w:p>
        </w:tc>
        <w:tc>
          <w:tcPr>
            <w:tcW w:w="339" w:type="pct"/>
            <w:shd w:val="clear" w:color="auto" w:fill="auto"/>
            <w:vAlign w:val="center"/>
          </w:tcPr>
          <w:p>
            <w:pPr>
              <w:pStyle w:val="42"/>
              <w:rPr>
                <w:sz w:val="18"/>
                <w:szCs w:val="18"/>
              </w:rPr>
            </w:pPr>
            <w:r>
              <w:rPr>
                <w:rFonts w:hint="eastAsia"/>
                <w:sz w:val="18"/>
                <w:szCs w:val="18"/>
              </w:rPr>
              <w:t>（</w:t>
            </w:r>
            <w:r>
              <w:rPr>
                <w:sz w:val="18"/>
                <w:szCs w:val="18"/>
              </w:rPr>
              <w:t>m³/d</w:t>
            </w:r>
            <w:r>
              <w:rPr>
                <w:rFonts w:hint="eastAsia"/>
                <w:sz w:val="18"/>
                <w:szCs w:val="18"/>
              </w:rPr>
              <w:t>）</w:t>
            </w:r>
          </w:p>
        </w:tc>
        <w:tc>
          <w:tcPr>
            <w:tcW w:w="301" w:type="pct"/>
            <w:shd w:val="clear" w:color="auto" w:fill="auto"/>
            <w:vAlign w:val="center"/>
          </w:tcPr>
          <w:p>
            <w:pPr>
              <w:pStyle w:val="42"/>
              <w:rPr>
                <w:sz w:val="18"/>
                <w:szCs w:val="18"/>
              </w:rPr>
            </w:pPr>
            <w:r>
              <w:rPr>
                <w:sz w:val="18"/>
                <w:szCs w:val="18"/>
              </w:rPr>
              <w:t>COD</w:t>
            </w:r>
          </w:p>
        </w:tc>
        <w:tc>
          <w:tcPr>
            <w:tcW w:w="262" w:type="pct"/>
            <w:shd w:val="clear" w:color="auto" w:fill="auto"/>
            <w:vAlign w:val="center"/>
          </w:tcPr>
          <w:p>
            <w:pPr>
              <w:pStyle w:val="42"/>
              <w:rPr>
                <w:sz w:val="18"/>
                <w:szCs w:val="18"/>
              </w:rPr>
            </w:pPr>
            <w:r>
              <w:rPr>
                <w:sz w:val="18"/>
                <w:szCs w:val="18"/>
              </w:rPr>
              <w:t>BOD5</w:t>
            </w:r>
          </w:p>
        </w:tc>
        <w:tc>
          <w:tcPr>
            <w:tcW w:w="301" w:type="pct"/>
            <w:shd w:val="clear" w:color="auto" w:fill="auto"/>
            <w:vAlign w:val="center"/>
          </w:tcPr>
          <w:p>
            <w:pPr>
              <w:pStyle w:val="42"/>
              <w:rPr>
                <w:sz w:val="18"/>
                <w:szCs w:val="18"/>
              </w:rPr>
            </w:pPr>
            <w:r>
              <w:rPr>
                <w:sz w:val="18"/>
                <w:szCs w:val="18"/>
              </w:rPr>
              <w:t>NH3-N</w:t>
            </w:r>
          </w:p>
        </w:tc>
        <w:tc>
          <w:tcPr>
            <w:tcW w:w="301" w:type="pct"/>
            <w:shd w:val="clear" w:color="auto" w:fill="auto"/>
            <w:vAlign w:val="center"/>
          </w:tcPr>
          <w:p>
            <w:pPr>
              <w:pStyle w:val="42"/>
              <w:rPr>
                <w:sz w:val="18"/>
                <w:szCs w:val="18"/>
              </w:rPr>
            </w:pPr>
            <w:r>
              <w:rPr>
                <w:sz w:val="18"/>
                <w:szCs w:val="18"/>
              </w:rPr>
              <w:t>SS</w:t>
            </w:r>
          </w:p>
        </w:tc>
        <w:tc>
          <w:tcPr>
            <w:tcW w:w="222" w:type="pct"/>
            <w:shd w:val="clear" w:color="auto" w:fill="auto"/>
            <w:vAlign w:val="center"/>
          </w:tcPr>
          <w:p>
            <w:pPr>
              <w:pStyle w:val="42"/>
              <w:rPr>
                <w:sz w:val="18"/>
                <w:szCs w:val="18"/>
              </w:rPr>
            </w:pPr>
            <w:r>
              <w:rPr>
                <w:rFonts w:hint="eastAsia"/>
                <w:sz w:val="18"/>
                <w:szCs w:val="18"/>
              </w:rPr>
              <w:t>石油类</w:t>
            </w:r>
          </w:p>
        </w:tc>
        <w:tc>
          <w:tcPr>
            <w:tcW w:w="301" w:type="pct"/>
            <w:shd w:val="clear" w:color="auto" w:fill="auto"/>
            <w:vAlign w:val="center"/>
          </w:tcPr>
          <w:p>
            <w:pPr>
              <w:pStyle w:val="42"/>
              <w:rPr>
                <w:sz w:val="18"/>
                <w:szCs w:val="18"/>
              </w:rPr>
            </w:pPr>
            <w:r>
              <w:rPr>
                <w:rFonts w:hint="eastAsia"/>
                <w:sz w:val="18"/>
                <w:szCs w:val="18"/>
              </w:rPr>
              <w:t>总磷</w:t>
            </w:r>
          </w:p>
        </w:tc>
        <w:tc>
          <w:tcPr>
            <w:tcW w:w="226" w:type="pct"/>
            <w:shd w:val="clear" w:color="auto" w:fill="auto"/>
            <w:vAlign w:val="center"/>
          </w:tcPr>
          <w:p>
            <w:pPr>
              <w:pStyle w:val="42"/>
              <w:rPr>
                <w:sz w:val="18"/>
                <w:szCs w:val="18"/>
              </w:rPr>
            </w:pPr>
            <w:r>
              <w:rPr>
                <w:rFonts w:hint="eastAsia"/>
                <w:sz w:val="18"/>
                <w:szCs w:val="18"/>
              </w:rPr>
              <w:t>总镍</w:t>
            </w:r>
          </w:p>
        </w:tc>
        <w:tc>
          <w:tcPr>
            <w:tcW w:w="181" w:type="pct"/>
            <w:shd w:val="clear" w:color="auto" w:fill="auto"/>
            <w:vAlign w:val="center"/>
          </w:tcPr>
          <w:p>
            <w:pPr>
              <w:pStyle w:val="42"/>
              <w:rPr>
                <w:sz w:val="18"/>
                <w:szCs w:val="18"/>
              </w:rPr>
            </w:pPr>
            <w:r>
              <w:rPr>
                <w:rFonts w:hint="eastAsia"/>
                <w:sz w:val="18"/>
                <w:szCs w:val="18"/>
              </w:rPr>
              <w:t>总铬</w:t>
            </w:r>
          </w:p>
        </w:tc>
        <w:tc>
          <w:tcPr>
            <w:tcW w:w="264" w:type="pct"/>
            <w:shd w:val="clear" w:color="auto" w:fill="auto"/>
            <w:vAlign w:val="center"/>
          </w:tcPr>
          <w:p>
            <w:pPr>
              <w:pStyle w:val="42"/>
              <w:rPr>
                <w:sz w:val="18"/>
                <w:szCs w:val="18"/>
              </w:rPr>
            </w:pPr>
            <w:r>
              <w:rPr>
                <w:rFonts w:hint="eastAsia"/>
                <w:sz w:val="18"/>
                <w:szCs w:val="18"/>
              </w:rPr>
              <w:t>氯化物</w:t>
            </w:r>
          </w:p>
        </w:tc>
        <w:tc>
          <w:tcPr>
            <w:tcW w:w="280" w:type="pct"/>
            <w:shd w:val="clear" w:color="auto" w:fill="auto"/>
            <w:vAlign w:val="center"/>
          </w:tcPr>
          <w:p>
            <w:pPr>
              <w:pStyle w:val="42"/>
              <w:rPr>
                <w:sz w:val="18"/>
                <w:szCs w:val="18"/>
              </w:rPr>
            </w:pPr>
            <w:r>
              <w:rPr>
                <w:rFonts w:hint="eastAsia"/>
                <w:sz w:val="18"/>
                <w:szCs w:val="18"/>
              </w:rPr>
              <w:t>动植物油</w:t>
            </w:r>
          </w:p>
        </w:tc>
        <w:tc>
          <w:tcPr>
            <w:tcW w:w="302" w:type="pct"/>
            <w:shd w:val="clear" w:color="auto" w:fill="auto"/>
            <w:vAlign w:val="center"/>
          </w:tcPr>
          <w:p>
            <w:pPr>
              <w:pStyle w:val="42"/>
              <w:rPr>
                <w:sz w:val="18"/>
                <w:szCs w:val="18"/>
              </w:rPr>
            </w:pPr>
            <w:r>
              <w:rPr>
                <w:rFonts w:hint="eastAsia"/>
                <w:sz w:val="18"/>
                <w:szCs w:val="18"/>
              </w:rPr>
              <w:t>氟化物</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1</w:t>
            </w:r>
          </w:p>
        </w:tc>
        <w:tc>
          <w:tcPr>
            <w:tcW w:w="947" w:type="pct"/>
            <w:shd w:val="clear" w:color="auto" w:fill="auto"/>
            <w:vAlign w:val="center"/>
          </w:tcPr>
          <w:p>
            <w:pPr>
              <w:pStyle w:val="42"/>
              <w:rPr>
                <w:sz w:val="18"/>
                <w:szCs w:val="18"/>
              </w:rPr>
            </w:pPr>
            <w:r>
              <w:rPr>
                <w:rFonts w:hint="eastAsia"/>
                <w:sz w:val="18"/>
                <w:szCs w:val="18"/>
              </w:rPr>
              <w:t>巴斯夫聚氨酯（重庆）有限公司</w:t>
            </w:r>
          </w:p>
        </w:tc>
        <w:tc>
          <w:tcPr>
            <w:tcW w:w="339" w:type="pct"/>
            <w:shd w:val="clear" w:color="auto" w:fill="auto"/>
            <w:vAlign w:val="center"/>
          </w:tcPr>
          <w:p>
            <w:pPr>
              <w:pStyle w:val="42"/>
              <w:rPr>
                <w:sz w:val="18"/>
                <w:szCs w:val="18"/>
              </w:rPr>
            </w:pPr>
            <w:r>
              <w:rPr>
                <w:sz w:val="18"/>
                <w:szCs w:val="18"/>
              </w:rPr>
              <w:t>1576.85</w:t>
            </w:r>
          </w:p>
        </w:tc>
        <w:tc>
          <w:tcPr>
            <w:tcW w:w="301" w:type="pct"/>
            <w:shd w:val="clear" w:color="auto" w:fill="auto"/>
            <w:vAlign w:val="center"/>
          </w:tcPr>
          <w:p>
            <w:pPr>
              <w:pStyle w:val="42"/>
              <w:rPr>
                <w:sz w:val="18"/>
                <w:szCs w:val="18"/>
              </w:rPr>
            </w:pPr>
            <w:r>
              <w:rPr>
                <w:sz w:val="18"/>
                <w:szCs w:val="18"/>
              </w:rPr>
              <w:t>52.49</w:t>
            </w:r>
          </w:p>
        </w:tc>
        <w:tc>
          <w:tcPr>
            <w:tcW w:w="262" w:type="pct"/>
            <w:shd w:val="clear" w:color="auto" w:fill="auto"/>
            <w:vAlign w:val="center"/>
          </w:tcPr>
          <w:p>
            <w:pPr>
              <w:pStyle w:val="42"/>
              <w:rPr>
                <w:sz w:val="18"/>
                <w:szCs w:val="18"/>
              </w:rPr>
            </w:pPr>
            <w:r>
              <w:rPr>
                <w:sz w:val="18"/>
                <w:szCs w:val="18"/>
              </w:rPr>
              <w:t>10.5</w:t>
            </w:r>
          </w:p>
        </w:tc>
        <w:tc>
          <w:tcPr>
            <w:tcW w:w="301" w:type="pct"/>
            <w:shd w:val="clear" w:color="auto" w:fill="auto"/>
            <w:vAlign w:val="center"/>
          </w:tcPr>
          <w:p>
            <w:pPr>
              <w:pStyle w:val="42"/>
              <w:rPr>
                <w:sz w:val="18"/>
                <w:szCs w:val="18"/>
              </w:rPr>
            </w:pPr>
            <w:r>
              <w:rPr>
                <w:sz w:val="18"/>
                <w:szCs w:val="18"/>
              </w:rPr>
              <w:t>7.52</w:t>
            </w:r>
          </w:p>
        </w:tc>
        <w:tc>
          <w:tcPr>
            <w:tcW w:w="301" w:type="pct"/>
            <w:shd w:val="clear" w:color="auto" w:fill="auto"/>
            <w:vAlign w:val="center"/>
          </w:tcPr>
          <w:p>
            <w:pPr>
              <w:pStyle w:val="42"/>
              <w:rPr>
                <w:sz w:val="18"/>
                <w:szCs w:val="18"/>
              </w:rPr>
            </w:pPr>
            <w:r>
              <w:rPr>
                <w:sz w:val="18"/>
                <w:szCs w:val="18"/>
              </w:rPr>
              <w:t>3.3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restart"/>
            <w:shd w:val="clear" w:color="auto" w:fill="auto"/>
            <w:vAlign w:val="center"/>
          </w:tcPr>
          <w:p>
            <w:pPr>
              <w:pStyle w:val="42"/>
              <w:rPr>
                <w:sz w:val="18"/>
                <w:szCs w:val="18"/>
              </w:rPr>
            </w:pPr>
            <w:r>
              <w:rPr>
                <w:rFonts w:hint="eastAsia"/>
                <w:sz w:val="18"/>
                <w:szCs w:val="18"/>
              </w:rPr>
              <w:t>预处理达</w:t>
            </w:r>
            <w:r>
              <w:rPr>
                <w:sz w:val="18"/>
                <w:szCs w:val="18"/>
              </w:rPr>
              <w:t>GB8978-1996</w:t>
            </w:r>
            <w:r>
              <w:rPr>
                <w:rFonts w:hint="eastAsia"/>
                <w:sz w:val="18"/>
                <w:szCs w:val="18"/>
              </w:rPr>
              <w:t>《污水综合排放标准》三级标准且满足接管标准后送中法污水厂处理达标后排放。</w:t>
            </w:r>
          </w:p>
        </w:tc>
        <w:tc>
          <w:tcPr>
            <w:tcW w:w="185" w:type="pct"/>
            <w:vMerge w:val="restart"/>
            <w:shd w:val="clear" w:color="auto" w:fill="auto"/>
            <w:vAlign w:val="center"/>
          </w:tcPr>
          <w:p>
            <w:pPr>
              <w:pStyle w:val="42"/>
              <w:rPr>
                <w:sz w:val="18"/>
                <w:szCs w:val="18"/>
              </w:rPr>
            </w:pPr>
            <w:r>
              <w:rPr>
                <w:rFonts w:hint="eastAsia"/>
                <w:sz w:val="18"/>
                <w:szCs w:val="18"/>
              </w:rPr>
              <w:t>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 w:hRule="atLeast"/>
        </w:trPr>
        <w:tc>
          <w:tcPr>
            <w:tcW w:w="132" w:type="pct"/>
            <w:shd w:val="clear" w:color="auto" w:fill="auto"/>
          </w:tcPr>
          <w:p>
            <w:pPr>
              <w:pStyle w:val="42"/>
              <w:rPr>
                <w:sz w:val="18"/>
                <w:szCs w:val="18"/>
              </w:rPr>
            </w:pPr>
            <w:r>
              <w:rPr>
                <w:sz w:val="18"/>
                <w:szCs w:val="18"/>
              </w:rPr>
              <w:t>3</w:t>
            </w:r>
          </w:p>
        </w:tc>
        <w:tc>
          <w:tcPr>
            <w:tcW w:w="947" w:type="pct"/>
            <w:shd w:val="clear" w:color="auto" w:fill="auto"/>
            <w:vAlign w:val="center"/>
          </w:tcPr>
          <w:p>
            <w:pPr>
              <w:pStyle w:val="42"/>
              <w:rPr>
                <w:sz w:val="18"/>
                <w:szCs w:val="18"/>
              </w:rPr>
            </w:pPr>
            <w:r>
              <w:rPr>
                <w:rFonts w:hint="eastAsia"/>
                <w:sz w:val="18"/>
                <w:szCs w:val="18"/>
              </w:rPr>
              <w:t>重庆长风化学工业有限公司</w:t>
            </w:r>
          </w:p>
        </w:tc>
        <w:tc>
          <w:tcPr>
            <w:tcW w:w="339" w:type="pct"/>
            <w:shd w:val="clear" w:color="auto" w:fill="auto"/>
            <w:vAlign w:val="center"/>
          </w:tcPr>
          <w:p>
            <w:pPr>
              <w:pStyle w:val="42"/>
              <w:rPr>
                <w:sz w:val="18"/>
                <w:szCs w:val="18"/>
              </w:rPr>
            </w:pPr>
            <w:r>
              <w:rPr>
                <w:sz w:val="18"/>
                <w:szCs w:val="18"/>
              </w:rPr>
              <w:t>600</w:t>
            </w:r>
          </w:p>
        </w:tc>
        <w:tc>
          <w:tcPr>
            <w:tcW w:w="301" w:type="pct"/>
            <w:shd w:val="clear" w:color="auto" w:fill="auto"/>
            <w:vAlign w:val="center"/>
          </w:tcPr>
          <w:p>
            <w:pPr>
              <w:pStyle w:val="42"/>
              <w:rPr>
                <w:sz w:val="18"/>
                <w:szCs w:val="18"/>
              </w:rPr>
            </w:pPr>
            <w:r>
              <w:rPr>
                <w:sz w:val="18"/>
                <w:szCs w:val="18"/>
              </w:rPr>
              <w:t>9.99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1.5</w:t>
            </w:r>
          </w:p>
        </w:tc>
        <w:tc>
          <w:tcPr>
            <w:tcW w:w="301" w:type="pct"/>
            <w:shd w:val="clear" w:color="auto" w:fill="auto"/>
            <w:vAlign w:val="center"/>
          </w:tcPr>
          <w:p>
            <w:pPr>
              <w:pStyle w:val="42"/>
              <w:rPr>
                <w:sz w:val="18"/>
                <w:szCs w:val="18"/>
              </w:rPr>
            </w:pPr>
            <w:r>
              <w:rPr>
                <w:sz w:val="18"/>
                <w:szCs w:val="18"/>
              </w:rPr>
              <w:t>7</w:t>
            </w:r>
          </w:p>
        </w:tc>
        <w:tc>
          <w:tcPr>
            <w:tcW w:w="222" w:type="pct"/>
            <w:shd w:val="clear" w:color="auto" w:fill="auto"/>
            <w:vAlign w:val="center"/>
          </w:tcPr>
          <w:p>
            <w:pPr>
              <w:pStyle w:val="42"/>
              <w:rPr>
                <w:sz w:val="18"/>
                <w:szCs w:val="18"/>
              </w:rPr>
            </w:pPr>
            <w:r>
              <w:rPr>
                <w:sz w:val="18"/>
                <w:szCs w:val="18"/>
              </w:rPr>
              <w:t>0.05</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 w:hRule="atLeast"/>
        </w:trPr>
        <w:tc>
          <w:tcPr>
            <w:tcW w:w="132" w:type="pct"/>
            <w:shd w:val="clear" w:color="auto" w:fill="auto"/>
          </w:tcPr>
          <w:p>
            <w:pPr>
              <w:pStyle w:val="42"/>
              <w:rPr>
                <w:sz w:val="18"/>
                <w:szCs w:val="18"/>
              </w:rPr>
            </w:pPr>
            <w:r>
              <w:rPr>
                <w:sz w:val="18"/>
                <w:szCs w:val="18"/>
              </w:rPr>
              <w:t>4</w:t>
            </w:r>
          </w:p>
        </w:tc>
        <w:tc>
          <w:tcPr>
            <w:tcW w:w="947" w:type="pct"/>
            <w:shd w:val="clear" w:color="auto" w:fill="auto"/>
            <w:vAlign w:val="center"/>
          </w:tcPr>
          <w:p>
            <w:pPr>
              <w:pStyle w:val="42"/>
              <w:rPr>
                <w:sz w:val="18"/>
                <w:szCs w:val="18"/>
              </w:rPr>
            </w:pPr>
            <w:r>
              <w:rPr>
                <w:rFonts w:hint="eastAsia"/>
                <w:sz w:val="18"/>
                <w:szCs w:val="18"/>
              </w:rPr>
              <w:t>恩力吉</w:t>
            </w:r>
          </w:p>
        </w:tc>
        <w:tc>
          <w:tcPr>
            <w:tcW w:w="339" w:type="pct"/>
            <w:shd w:val="clear" w:color="auto" w:fill="auto"/>
            <w:vAlign w:val="center"/>
          </w:tcPr>
          <w:p>
            <w:pPr>
              <w:pStyle w:val="42"/>
              <w:rPr>
                <w:sz w:val="18"/>
                <w:szCs w:val="18"/>
              </w:rPr>
            </w:pPr>
            <w:r>
              <w:rPr>
                <w:sz w:val="18"/>
                <w:szCs w:val="18"/>
              </w:rPr>
              <w:t>13.69</w:t>
            </w:r>
          </w:p>
        </w:tc>
        <w:tc>
          <w:tcPr>
            <w:tcW w:w="301" w:type="pct"/>
            <w:shd w:val="clear" w:color="auto" w:fill="auto"/>
            <w:vAlign w:val="center"/>
          </w:tcPr>
          <w:p>
            <w:pPr>
              <w:pStyle w:val="42"/>
              <w:rPr>
                <w:sz w:val="18"/>
                <w:szCs w:val="18"/>
              </w:rPr>
            </w:pPr>
            <w:r>
              <w:rPr>
                <w:sz w:val="18"/>
                <w:szCs w:val="18"/>
              </w:rPr>
              <w:t>0.2496</w:t>
            </w:r>
          </w:p>
        </w:tc>
        <w:tc>
          <w:tcPr>
            <w:tcW w:w="262" w:type="pct"/>
            <w:shd w:val="clear" w:color="auto" w:fill="auto"/>
            <w:vAlign w:val="center"/>
          </w:tcPr>
          <w:p>
            <w:pPr>
              <w:pStyle w:val="42"/>
              <w:rPr>
                <w:sz w:val="18"/>
                <w:szCs w:val="18"/>
              </w:rPr>
            </w:pPr>
            <w:r>
              <w:rPr>
                <w:sz w:val="18"/>
                <w:szCs w:val="18"/>
              </w:rPr>
              <w:t>0.0032</w:t>
            </w:r>
          </w:p>
        </w:tc>
        <w:tc>
          <w:tcPr>
            <w:tcW w:w="301" w:type="pct"/>
            <w:shd w:val="clear" w:color="auto" w:fill="auto"/>
            <w:vAlign w:val="center"/>
          </w:tcPr>
          <w:p>
            <w:pPr>
              <w:pStyle w:val="42"/>
              <w:rPr>
                <w:sz w:val="18"/>
                <w:szCs w:val="18"/>
              </w:rPr>
            </w:pPr>
            <w:r>
              <w:rPr>
                <w:sz w:val="18"/>
                <w:szCs w:val="18"/>
              </w:rPr>
              <w:t>0.0016</w:t>
            </w:r>
          </w:p>
        </w:tc>
        <w:tc>
          <w:tcPr>
            <w:tcW w:w="301" w:type="pct"/>
            <w:shd w:val="clear" w:color="auto" w:fill="auto"/>
            <w:vAlign w:val="center"/>
          </w:tcPr>
          <w:p>
            <w:pPr>
              <w:pStyle w:val="42"/>
              <w:rPr>
                <w:sz w:val="18"/>
                <w:szCs w:val="18"/>
              </w:rPr>
            </w:pPr>
            <w:r>
              <w:rPr>
                <w:sz w:val="18"/>
                <w:szCs w:val="18"/>
              </w:rPr>
              <w:t>0.0112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w:t>
            </w:r>
          </w:p>
        </w:tc>
        <w:tc>
          <w:tcPr>
            <w:tcW w:w="947" w:type="pct"/>
            <w:shd w:val="clear" w:color="auto" w:fill="auto"/>
            <w:vAlign w:val="center"/>
          </w:tcPr>
          <w:p>
            <w:pPr>
              <w:pStyle w:val="42"/>
              <w:rPr>
                <w:sz w:val="18"/>
                <w:szCs w:val="18"/>
              </w:rPr>
            </w:pPr>
            <w:r>
              <w:rPr>
                <w:rFonts w:hint="eastAsia"/>
                <w:sz w:val="18"/>
                <w:szCs w:val="18"/>
              </w:rPr>
              <w:t>中橡（重庆）炭黑有限公司</w:t>
            </w:r>
          </w:p>
        </w:tc>
        <w:tc>
          <w:tcPr>
            <w:tcW w:w="339" w:type="pct"/>
            <w:shd w:val="clear" w:color="auto" w:fill="auto"/>
            <w:vAlign w:val="center"/>
          </w:tcPr>
          <w:p>
            <w:pPr>
              <w:pStyle w:val="42"/>
              <w:rPr>
                <w:sz w:val="18"/>
                <w:szCs w:val="18"/>
              </w:rPr>
            </w:pPr>
            <w:r>
              <w:rPr>
                <w:sz w:val="18"/>
                <w:szCs w:val="18"/>
              </w:rPr>
              <w:t>379.4</w:t>
            </w:r>
          </w:p>
        </w:tc>
        <w:tc>
          <w:tcPr>
            <w:tcW w:w="301" w:type="pct"/>
            <w:shd w:val="clear" w:color="auto" w:fill="auto"/>
            <w:vAlign w:val="center"/>
          </w:tcPr>
          <w:p>
            <w:pPr>
              <w:pStyle w:val="42"/>
              <w:rPr>
                <w:sz w:val="18"/>
                <w:szCs w:val="18"/>
              </w:rPr>
            </w:pPr>
            <w:r>
              <w:rPr>
                <w:sz w:val="18"/>
                <w:szCs w:val="18"/>
              </w:rPr>
              <w:t>3.6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sz w:val="18"/>
                <w:szCs w:val="18"/>
              </w:rPr>
              <w:t>4.2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132" w:type="pct"/>
            <w:shd w:val="clear" w:color="auto" w:fill="auto"/>
          </w:tcPr>
          <w:p>
            <w:pPr>
              <w:pStyle w:val="42"/>
              <w:rPr>
                <w:sz w:val="18"/>
                <w:szCs w:val="18"/>
              </w:rPr>
            </w:pPr>
            <w:r>
              <w:rPr>
                <w:sz w:val="18"/>
                <w:szCs w:val="18"/>
              </w:rPr>
              <w:t>6</w:t>
            </w:r>
          </w:p>
        </w:tc>
        <w:tc>
          <w:tcPr>
            <w:tcW w:w="947" w:type="pct"/>
            <w:shd w:val="clear" w:color="auto" w:fill="auto"/>
            <w:vAlign w:val="center"/>
          </w:tcPr>
          <w:p>
            <w:pPr>
              <w:pStyle w:val="42"/>
              <w:rPr>
                <w:sz w:val="18"/>
                <w:szCs w:val="18"/>
              </w:rPr>
            </w:pPr>
            <w:r>
              <w:rPr>
                <w:rFonts w:hint="eastAsia"/>
                <w:sz w:val="18"/>
                <w:szCs w:val="18"/>
              </w:rPr>
              <w:t>化医林德</w:t>
            </w:r>
          </w:p>
        </w:tc>
        <w:tc>
          <w:tcPr>
            <w:tcW w:w="339"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32" w:type="pct"/>
            <w:shd w:val="clear" w:color="auto" w:fill="auto"/>
          </w:tcPr>
          <w:p>
            <w:pPr>
              <w:pStyle w:val="42"/>
              <w:rPr>
                <w:sz w:val="18"/>
                <w:szCs w:val="18"/>
              </w:rPr>
            </w:pPr>
            <w:r>
              <w:rPr>
                <w:sz w:val="18"/>
                <w:szCs w:val="18"/>
              </w:rPr>
              <w:t>7</w:t>
            </w:r>
          </w:p>
        </w:tc>
        <w:tc>
          <w:tcPr>
            <w:tcW w:w="947" w:type="pct"/>
            <w:shd w:val="clear" w:color="auto" w:fill="auto"/>
            <w:vAlign w:val="center"/>
          </w:tcPr>
          <w:p>
            <w:pPr>
              <w:pStyle w:val="42"/>
              <w:rPr>
                <w:sz w:val="18"/>
                <w:szCs w:val="18"/>
              </w:rPr>
            </w:pPr>
            <w:r>
              <w:rPr>
                <w:rFonts w:hint="eastAsia"/>
                <w:sz w:val="18"/>
                <w:szCs w:val="18"/>
              </w:rPr>
              <w:t>重庆英斯凯化工有限公司</w:t>
            </w:r>
          </w:p>
        </w:tc>
        <w:tc>
          <w:tcPr>
            <w:tcW w:w="339" w:type="pct"/>
            <w:shd w:val="clear" w:color="auto" w:fill="auto"/>
            <w:vAlign w:val="center"/>
          </w:tcPr>
          <w:p>
            <w:pPr>
              <w:pStyle w:val="42"/>
              <w:rPr>
                <w:sz w:val="18"/>
                <w:szCs w:val="18"/>
              </w:rPr>
            </w:pPr>
            <w:r>
              <w:rPr>
                <w:sz w:val="18"/>
                <w:szCs w:val="18"/>
              </w:rPr>
              <w:t>35900</w:t>
            </w:r>
          </w:p>
        </w:tc>
        <w:tc>
          <w:tcPr>
            <w:tcW w:w="301" w:type="pct"/>
            <w:shd w:val="clear" w:color="auto" w:fill="auto"/>
            <w:vAlign w:val="center"/>
          </w:tcPr>
          <w:p>
            <w:pPr>
              <w:pStyle w:val="42"/>
              <w:rPr>
                <w:sz w:val="18"/>
                <w:szCs w:val="18"/>
              </w:rPr>
            </w:pPr>
            <w:r>
              <w:rPr>
                <w:sz w:val="18"/>
                <w:szCs w:val="18"/>
              </w:rPr>
              <w:t>2.09</w:t>
            </w:r>
          </w:p>
        </w:tc>
        <w:tc>
          <w:tcPr>
            <w:tcW w:w="262" w:type="pct"/>
            <w:shd w:val="clear" w:color="auto" w:fill="auto"/>
            <w:vAlign w:val="center"/>
          </w:tcPr>
          <w:p>
            <w:pPr>
              <w:pStyle w:val="42"/>
              <w:rPr>
                <w:sz w:val="18"/>
                <w:szCs w:val="18"/>
              </w:rPr>
            </w:pPr>
            <w:r>
              <w:rPr>
                <w:sz w:val="18"/>
                <w:szCs w:val="18"/>
              </w:rPr>
              <w:t>0.72</w:t>
            </w:r>
          </w:p>
        </w:tc>
        <w:tc>
          <w:tcPr>
            <w:tcW w:w="301" w:type="pct"/>
            <w:shd w:val="clear" w:color="auto" w:fill="auto"/>
            <w:vAlign w:val="center"/>
          </w:tcPr>
          <w:p>
            <w:pPr>
              <w:pStyle w:val="42"/>
              <w:rPr>
                <w:sz w:val="18"/>
                <w:szCs w:val="18"/>
              </w:rPr>
            </w:pPr>
            <w:r>
              <w:rPr>
                <w:sz w:val="18"/>
                <w:szCs w:val="18"/>
              </w:rPr>
              <w:t>0.34</w:t>
            </w:r>
          </w:p>
        </w:tc>
        <w:tc>
          <w:tcPr>
            <w:tcW w:w="301" w:type="pct"/>
            <w:shd w:val="clear" w:color="auto" w:fill="auto"/>
            <w:vAlign w:val="center"/>
          </w:tcPr>
          <w:p>
            <w:pPr>
              <w:pStyle w:val="42"/>
              <w:rPr>
                <w:sz w:val="18"/>
                <w:szCs w:val="18"/>
              </w:rPr>
            </w:pPr>
            <w:r>
              <w:rPr>
                <w:sz w:val="18"/>
                <w:szCs w:val="18"/>
              </w:rPr>
              <w:t>2.51</w:t>
            </w:r>
          </w:p>
        </w:tc>
        <w:tc>
          <w:tcPr>
            <w:tcW w:w="222" w:type="pct"/>
            <w:shd w:val="clear" w:color="auto" w:fill="auto"/>
            <w:vAlign w:val="center"/>
          </w:tcPr>
          <w:p>
            <w:pPr>
              <w:pStyle w:val="42"/>
              <w:rPr>
                <w:sz w:val="18"/>
                <w:szCs w:val="18"/>
              </w:rPr>
            </w:pPr>
            <w:r>
              <w:rPr>
                <w:sz w:val="18"/>
                <w:szCs w:val="18"/>
              </w:rPr>
              <w:t>0.013</w:t>
            </w:r>
          </w:p>
        </w:tc>
        <w:tc>
          <w:tcPr>
            <w:tcW w:w="301" w:type="pct"/>
            <w:shd w:val="clear" w:color="auto" w:fill="auto"/>
            <w:vAlign w:val="center"/>
          </w:tcPr>
          <w:p>
            <w:pPr>
              <w:pStyle w:val="42"/>
              <w:rPr>
                <w:sz w:val="18"/>
                <w:szCs w:val="18"/>
              </w:rPr>
            </w:pPr>
            <w:r>
              <w:rPr>
                <w:sz w:val="18"/>
                <w:szCs w:val="18"/>
              </w:rPr>
              <w:t>0.016</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17.6</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 w:hRule="atLeast"/>
        </w:trPr>
        <w:tc>
          <w:tcPr>
            <w:tcW w:w="132" w:type="pct"/>
            <w:shd w:val="clear" w:color="auto" w:fill="auto"/>
          </w:tcPr>
          <w:p>
            <w:pPr>
              <w:pStyle w:val="42"/>
              <w:rPr>
                <w:sz w:val="18"/>
                <w:szCs w:val="18"/>
              </w:rPr>
            </w:pPr>
            <w:r>
              <w:rPr>
                <w:sz w:val="18"/>
                <w:szCs w:val="18"/>
              </w:rPr>
              <w:t>8</w:t>
            </w:r>
          </w:p>
        </w:tc>
        <w:tc>
          <w:tcPr>
            <w:tcW w:w="947" w:type="pct"/>
            <w:shd w:val="clear" w:color="auto" w:fill="auto"/>
            <w:vAlign w:val="center"/>
          </w:tcPr>
          <w:p>
            <w:pPr>
              <w:pStyle w:val="42"/>
              <w:rPr>
                <w:sz w:val="18"/>
                <w:szCs w:val="18"/>
              </w:rPr>
            </w:pPr>
            <w:r>
              <w:rPr>
                <w:rFonts w:hint="eastAsia"/>
                <w:sz w:val="18"/>
                <w:szCs w:val="18"/>
              </w:rPr>
              <w:t>重庆市中润化学有限公司</w:t>
            </w:r>
          </w:p>
        </w:tc>
        <w:tc>
          <w:tcPr>
            <w:tcW w:w="339" w:type="pct"/>
            <w:shd w:val="clear" w:color="auto" w:fill="auto"/>
            <w:vAlign w:val="center"/>
          </w:tcPr>
          <w:p>
            <w:pPr>
              <w:pStyle w:val="42"/>
              <w:rPr>
                <w:sz w:val="18"/>
                <w:szCs w:val="18"/>
              </w:rPr>
            </w:pPr>
            <w:r>
              <w:rPr>
                <w:sz w:val="18"/>
                <w:szCs w:val="18"/>
              </w:rPr>
              <w:t>10308</w:t>
            </w:r>
          </w:p>
        </w:tc>
        <w:tc>
          <w:tcPr>
            <w:tcW w:w="301" w:type="pct"/>
            <w:shd w:val="clear" w:color="auto" w:fill="auto"/>
            <w:vAlign w:val="center"/>
          </w:tcPr>
          <w:p>
            <w:pPr>
              <w:pStyle w:val="42"/>
              <w:rPr>
                <w:sz w:val="18"/>
                <w:szCs w:val="18"/>
              </w:rPr>
            </w:pPr>
            <w:r>
              <w:rPr>
                <w:sz w:val="18"/>
                <w:szCs w:val="18"/>
              </w:rPr>
              <w:t>0.62</w:t>
            </w:r>
          </w:p>
        </w:tc>
        <w:tc>
          <w:tcPr>
            <w:tcW w:w="262" w:type="pct"/>
            <w:shd w:val="clear" w:color="auto" w:fill="auto"/>
            <w:vAlign w:val="center"/>
          </w:tcPr>
          <w:p>
            <w:pPr>
              <w:pStyle w:val="42"/>
              <w:rPr>
                <w:sz w:val="18"/>
                <w:szCs w:val="18"/>
              </w:rPr>
            </w:pPr>
            <w:r>
              <w:rPr>
                <w:sz w:val="18"/>
                <w:szCs w:val="18"/>
              </w:rPr>
              <w:t>0.21</w:t>
            </w:r>
          </w:p>
        </w:tc>
        <w:tc>
          <w:tcPr>
            <w:tcW w:w="301" w:type="pct"/>
            <w:shd w:val="clear" w:color="auto" w:fill="auto"/>
            <w:vAlign w:val="center"/>
          </w:tcPr>
          <w:p>
            <w:pPr>
              <w:pStyle w:val="42"/>
              <w:rPr>
                <w:sz w:val="18"/>
                <w:szCs w:val="18"/>
              </w:rPr>
            </w:pPr>
            <w:r>
              <w:rPr>
                <w:sz w:val="18"/>
                <w:szCs w:val="18"/>
              </w:rPr>
              <w:t>0.1</w:t>
            </w:r>
          </w:p>
        </w:tc>
        <w:tc>
          <w:tcPr>
            <w:tcW w:w="301" w:type="pct"/>
            <w:shd w:val="clear" w:color="auto" w:fill="auto"/>
            <w:vAlign w:val="center"/>
          </w:tcPr>
          <w:p>
            <w:pPr>
              <w:pStyle w:val="42"/>
              <w:rPr>
                <w:sz w:val="18"/>
                <w:szCs w:val="18"/>
              </w:rPr>
            </w:pPr>
            <w:r>
              <w:rPr>
                <w:sz w:val="18"/>
                <w:szCs w:val="18"/>
              </w:rPr>
              <w:t>0.72</w:t>
            </w:r>
          </w:p>
        </w:tc>
        <w:tc>
          <w:tcPr>
            <w:tcW w:w="222" w:type="pct"/>
            <w:shd w:val="clear" w:color="auto" w:fill="auto"/>
            <w:vAlign w:val="center"/>
          </w:tcPr>
          <w:p>
            <w:pPr>
              <w:pStyle w:val="42"/>
              <w:rPr>
                <w:sz w:val="18"/>
                <w:szCs w:val="18"/>
              </w:rPr>
            </w:pPr>
            <w:r>
              <w:rPr>
                <w:sz w:val="18"/>
                <w:szCs w:val="18"/>
              </w:rPr>
              <w:t>0.01</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w:t>
            </w:r>
          </w:p>
        </w:tc>
        <w:tc>
          <w:tcPr>
            <w:tcW w:w="947" w:type="pct"/>
            <w:shd w:val="clear" w:color="auto" w:fill="auto"/>
            <w:vAlign w:val="center"/>
          </w:tcPr>
          <w:p>
            <w:pPr>
              <w:pStyle w:val="42"/>
              <w:rPr>
                <w:sz w:val="18"/>
                <w:szCs w:val="18"/>
              </w:rPr>
            </w:pPr>
            <w:r>
              <w:rPr>
                <w:rFonts w:hint="eastAsia"/>
                <w:sz w:val="18"/>
                <w:szCs w:val="18"/>
              </w:rPr>
              <w:t>重庆大禹防水科技发展有限公司</w:t>
            </w:r>
          </w:p>
        </w:tc>
        <w:tc>
          <w:tcPr>
            <w:tcW w:w="339" w:type="pct"/>
            <w:shd w:val="clear" w:color="auto" w:fill="auto"/>
            <w:vAlign w:val="center"/>
          </w:tcPr>
          <w:p>
            <w:pPr>
              <w:pStyle w:val="42"/>
              <w:rPr>
                <w:sz w:val="18"/>
                <w:szCs w:val="18"/>
              </w:rPr>
            </w:pPr>
            <w:r>
              <w:rPr>
                <w:sz w:val="18"/>
                <w:szCs w:val="18"/>
              </w:rPr>
              <w:t>4947.83</w:t>
            </w:r>
          </w:p>
        </w:tc>
        <w:tc>
          <w:tcPr>
            <w:tcW w:w="301" w:type="pct"/>
            <w:shd w:val="clear" w:color="auto" w:fill="auto"/>
            <w:vAlign w:val="center"/>
          </w:tcPr>
          <w:p>
            <w:pPr>
              <w:pStyle w:val="42"/>
              <w:rPr>
                <w:sz w:val="18"/>
                <w:szCs w:val="18"/>
              </w:rPr>
            </w:pPr>
            <w:r>
              <w:rPr>
                <w:sz w:val="18"/>
                <w:szCs w:val="18"/>
              </w:rPr>
              <w:t>2.117</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0.045</w:t>
            </w:r>
          </w:p>
        </w:tc>
        <w:tc>
          <w:tcPr>
            <w:tcW w:w="301" w:type="pct"/>
            <w:shd w:val="clear" w:color="auto" w:fill="auto"/>
            <w:vAlign w:val="center"/>
          </w:tcPr>
          <w:p>
            <w:pPr>
              <w:pStyle w:val="42"/>
              <w:rPr>
                <w:sz w:val="18"/>
                <w:szCs w:val="18"/>
              </w:rPr>
            </w:pPr>
            <w:r>
              <w:rPr>
                <w:sz w:val="18"/>
                <w:szCs w:val="18"/>
              </w:rPr>
              <w:t>1.036</w:t>
            </w:r>
          </w:p>
        </w:tc>
        <w:tc>
          <w:tcPr>
            <w:tcW w:w="222" w:type="pct"/>
            <w:shd w:val="clear" w:color="auto" w:fill="auto"/>
            <w:vAlign w:val="center"/>
          </w:tcPr>
          <w:p>
            <w:pPr>
              <w:pStyle w:val="42"/>
              <w:rPr>
                <w:sz w:val="18"/>
                <w:szCs w:val="18"/>
              </w:rPr>
            </w:pPr>
            <w:r>
              <w:rPr>
                <w:sz w:val="18"/>
                <w:szCs w:val="18"/>
              </w:rPr>
              <w:t>0.07</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w:t>
            </w:r>
          </w:p>
        </w:tc>
        <w:tc>
          <w:tcPr>
            <w:tcW w:w="947" w:type="pct"/>
            <w:shd w:val="clear" w:color="auto" w:fill="auto"/>
            <w:vAlign w:val="center"/>
          </w:tcPr>
          <w:p>
            <w:pPr>
              <w:pStyle w:val="42"/>
              <w:rPr>
                <w:sz w:val="18"/>
                <w:szCs w:val="18"/>
              </w:rPr>
            </w:pPr>
            <w:r>
              <w:rPr>
                <w:rFonts w:hint="eastAsia"/>
                <w:sz w:val="18"/>
                <w:szCs w:val="18"/>
              </w:rPr>
              <w:t>重庆中科力泰高分子材料股份有限公司</w:t>
            </w:r>
          </w:p>
        </w:tc>
        <w:tc>
          <w:tcPr>
            <w:tcW w:w="339" w:type="pct"/>
            <w:shd w:val="clear" w:color="auto" w:fill="auto"/>
            <w:vAlign w:val="center"/>
          </w:tcPr>
          <w:p>
            <w:pPr>
              <w:pStyle w:val="42"/>
              <w:rPr>
                <w:sz w:val="18"/>
                <w:szCs w:val="18"/>
              </w:rPr>
            </w:pPr>
            <w:r>
              <w:rPr>
                <w:sz w:val="18"/>
                <w:szCs w:val="18"/>
              </w:rPr>
              <w:t>4252</w:t>
            </w:r>
          </w:p>
        </w:tc>
        <w:tc>
          <w:tcPr>
            <w:tcW w:w="301" w:type="pct"/>
            <w:shd w:val="clear" w:color="auto" w:fill="auto"/>
            <w:vAlign w:val="center"/>
          </w:tcPr>
          <w:p>
            <w:pPr>
              <w:pStyle w:val="42"/>
              <w:rPr>
                <w:sz w:val="18"/>
                <w:szCs w:val="18"/>
              </w:rPr>
            </w:pPr>
            <w:r>
              <w:rPr>
                <w:sz w:val="18"/>
                <w:szCs w:val="18"/>
              </w:rPr>
              <w:t>5.959</w:t>
            </w:r>
          </w:p>
        </w:tc>
        <w:tc>
          <w:tcPr>
            <w:tcW w:w="262" w:type="pct"/>
            <w:shd w:val="clear" w:color="auto" w:fill="auto"/>
            <w:vAlign w:val="center"/>
          </w:tcPr>
          <w:p>
            <w:pPr>
              <w:pStyle w:val="42"/>
              <w:rPr>
                <w:sz w:val="18"/>
                <w:szCs w:val="18"/>
              </w:rPr>
            </w:pPr>
            <w:r>
              <w:rPr>
                <w:sz w:val="18"/>
                <w:szCs w:val="18"/>
              </w:rPr>
              <w:t>2.252</w:t>
            </w:r>
          </w:p>
        </w:tc>
        <w:tc>
          <w:tcPr>
            <w:tcW w:w="301" w:type="pct"/>
            <w:shd w:val="clear" w:color="auto" w:fill="auto"/>
            <w:vAlign w:val="center"/>
          </w:tcPr>
          <w:p>
            <w:pPr>
              <w:pStyle w:val="42"/>
              <w:rPr>
                <w:sz w:val="18"/>
                <w:szCs w:val="18"/>
              </w:rPr>
            </w:pPr>
            <w:r>
              <w:rPr>
                <w:sz w:val="18"/>
                <w:szCs w:val="18"/>
              </w:rPr>
              <w:t>0.206</w:t>
            </w:r>
          </w:p>
        </w:tc>
        <w:tc>
          <w:tcPr>
            <w:tcW w:w="301" w:type="pct"/>
            <w:shd w:val="clear" w:color="auto" w:fill="auto"/>
            <w:vAlign w:val="center"/>
          </w:tcPr>
          <w:p>
            <w:pPr>
              <w:pStyle w:val="42"/>
              <w:rPr>
                <w:sz w:val="18"/>
                <w:szCs w:val="18"/>
              </w:rPr>
            </w:pPr>
            <w:r>
              <w:rPr>
                <w:sz w:val="18"/>
                <w:szCs w:val="18"/>
              </w:rPr>
              <w:t>1.294</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11</w:t>
            </w:r>
          </w:p>
        </w:tc>
        <w:tc>
          <w:tcPr>
            <w:tcW w:w="947" w:type="pct"/>
            <w:shd w:val="clear" w:color="auto" w:fill="auto"/>
            <w:vAlign w:val="center"/>
          </w:tcPr>
          <w:p>
            <w:pPr>
              <w:pStyle w:val="42"/>
              <w:rPr>
                <w:sz w:val="18"/>
                <w:szCs w:val="18"/>
              </w:rPr>
            </w:pPr>
            <w:r>
              <w:rPr>
                <w:rFonts w:hint="eastAsia"/>
                <w:sz w:val="18"/>
                <w:szCs w:val="18"/>
              </w:rPr>
              <w:t>重庆紫光国际化工有限责任公司</w:t>
            </w:r>
          </w:p>
        </w:tc>
        <w:tc>
          <w:tcPr>
            <w:tcW w:w="339" w:type="pct"/>
            <w:shd w:val="clear" w:color="auto" w:fill="auto"/>
            <w:vAlign w:val="center"/>
          </w:tcPr>
          <w:p>
            <w:pPr>
              <w:pStyle w:val="42"/>
              <w:rPr>
                <w:sz w:val="18"/>
                <w:szCs w:val="18"/>
              </w:rPr>
            </w:pPr>
            <w:r>
              <w:rPr>
                <w:sz w:val="18"/>
                <w:szCs w:val="18"/>
              </w:rPr>
              <w:t>385.15</w:t>
            </w:r>
          </w:p>
        </w:tc>
        <w:tc>
          <w:tcPr>
            <w:tcW w:w="301" w:type="pct"/>
            <w:shd w:val="clear" w:color="auto" w:fill="auto"/>
            <w:vAlign w:val="center"/>
          </w:tcPr>
          <w:p>
            <w:pPr>
              <w:pStyle w:val="42"/>
              <w:rPr>
                <w:sz w:val="18"/>
                <w:szCs w:val="18"/>
              </w:rPr>
            </w:pPr>
            <w:r>
              <w:rPr>
                <w:sz w:val="18"/>
                <w:szCs w:val="18"/>
              </w:rPr>
              <w:t>34.89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1.837</w:t>
            </w:r>
          </w:p>
        </w:tc>
        <w:tc>
          <w:tcPr>
            <w:tcW w:w="301" w:type="pct"/>
            <w:shd w:val="clear" w:color="auto" w:fill="auto"/>
            <w:vAlign w:val="center"/>
          </w:tcPr>
          <w:p>
            <w:pPr>
              <w:pStyle w:val="42"/>
              <w:rPr>
                <w:sz w:val="18"/>
                <w:szCs w:val="18"/>
              </w:rPr>
            </w:pPr>
            <w:r>
              <w:rPr>
                <w:sz w:val="18"/>
                <w:szCs w:val="18"/>
              </w:rPr>
              <w:t>8.374</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12</w:t>
            </w:r>
          </w:p>
        </w:tc>
        <w:tc>
          <w:tcPr>
            <w:tcW w:w="947" w:type="pct"/>
            <w:shd w:val="clear" w:color="auto" w:fill="auto"/>
            <w:vAlign w:val="center"/>
          </w:tcPr>
          <w:p>
            <w:pPr>
              <w:pStyle w:val="42"/>
              <w:rPr>
                <w:sz w:val="18"/>
                <w:szCs w:val="18"/>
              </w:rPr>
            </w:pPr>
            <w:r>
              <w:rPr>
                <w:rFonts w:hint="eastAsia"/>
                <w:sz w:val="18"/>
                <w:szCs w:val="18"/>
              </w:rPr>
              <w:t>重庆德馨香料植物开发公司</w:t>
            </w:r>
          </w:p>
        </w:tc>
        <w:tc>
          <w:tcPr>
            <w:tcW w:w="339" w:type="pct"/>
            <w:shd w:val="clear" w:color="auto" w:fill="auto"/>
            <w:vAlign w:val="center"/>
          </w:tcPr>
          <w:p>
            <w:pPr>
              <w:pStyle w:val="42"/>
              <w:rPr>
                <w:sz w:val="18"/>
                <w:szCs w:val="18"/>
              </w:rPr>
            </w:pPr>
            <w:r>
              <w:rPr>
                <w:sz w:val="18"/>
                <w:szCs w:val="18"/>
              </w:rPr>
              <w:t>376.7</w:t>
            </w:r>
          </w:p>
        </w:tc>
        <w:tc>
          <w:tcPr>
            <w:tcW w:w="301" w:type="pct"/>
            <w:shd w:val="clear" w:color="auto" w:fill="auto"/>
            <w:vAlign w:val="center"/>
          </w:tcPr>
          <w:p>
            <w:pPr>
              <w:pStyle w:val="42"/>
              <w:rPr>
                <w:sz w:val="18"/>
                <w:szCs w:val="18"/>
              </w:rPr>
            </w:pPr>
            <w:r>
              <w:rPr>
                <w:sz w:val="18"/>
                <w:szCs w:val="18"/>
              </w:rPr>
              <w:t>6.78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2.71</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1.36</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13</w:t>
            </w:r>
          </w:p>
        </w:tc>
        <w:tc>
          <w:tcPr>
            <w:tcW w:w="947" w:type="pct"/>
            <w:shd w:val="clear" w:color="auto" w:fill="auto"/>
            <w:vAlign w:val="center"/>
          </w:tcPr>
          <w:p>
            <w:pPr>
              <w:pStyle w:val="42"/>
              <w:rPr>
                <w:sz w:val="18"/>
                <w:szCs w:val="18"/>
              </w:rPr>
            </w:pPr>
            <w:r>
              <w:rPr>
                <w:rFonts w:hint="eastAsia"/>
                <w:sz w:val="18"/>
                <w:szCs w:val="18"/>
              </w:rPr>
              <w:t>重庆市映天辉氯碱化工有限公司</w:t>
            </w:r>
          </w:p>
        </w:tc>
        <w:tc>
          <w:tcPr>
            <w:tcW w:w="339" w:type="pct"/>
            <w:shd w:val="clear" w:color="auto" w:fill="auto"/>
            <w:vAlign w:val="center"/>
          </w:tcPr>
          <w:p>
            <w:pPr>
              <w:pStyle w:val="42"/>
              <w:rPr>
                <w:sz w:val="18"/>
                <w:szCs w:val="18"/>
              </w:rPr>
            </w:pPr>
            <w:r>
              <w:rPr>
                <w:sz w:val="18"/>
                <w:szCs w:val="18"/>
              </w:rPr>
              <w:t>357.38</w:t>
            </w:r>
          </w:p>
        </w:tc>
        <w:tc>
          <w:tcPr>
            <w:tcW w:w="301" w:type="pct"/>
            <w:shd w:val="clear" w:color="auto" w:fill="auto"/>
            <w:vAlign w:val="center"/>
          </w:tcPr>
          <w:p>
            <w:pPr>
              <w:pStyle w:val="42"/>
              <w:rPr>
                <w:sz w:val="18"/>
                <w:szCs w:val="18"/>
              </w:rPr>
            </w:pPr>
            <w:r>
              <w:rPr>
                <w:sz w:val="18"/>
                <w:szCs w:val="18"/>
              </w:rPr>
              <w:t>3.86</w:t>
            </w:r>
          </w:p>
        </w:tc>
        <w:tc>
          <w:tcPr>
            <w:tcW w:w="262" w:type="pct"/>
            <w:shd w:val="clear" w:color="auto" w:fill="auto"/>
            <w:vAlign w:val="center"/>
          </w:tcPr>
          <w:p>
            <w:pPr>
              <w:pStyle w:val="42"/>
              <w:rPr>
                <w:sz w:val="18"/>
                <w:szCs w:val="18"/>
              </w:rPr>
            </w:pPr>
            <w:r>
              <w:rPr>
                <w:sz w:val="18"/>
                <w:szCs w:val="18"/>
              </w:rPr>
              <w:t>0.93</w:t>
            </w:r>
          </w:p>
        </w:tc>
        <w:tc>
          <w:tcPr>
            <w:tcW w:w="301" w:type="pct"/>
            <w:shd w:val="clear" w:color="auto" w:fill="auto"/>
            <w:vAlign w:val="center"/>
          </w:tcPr>
          <w:p>
            <w:pPr>
              <w:pStyle w:val="42"/>
              <w:rPr>
                <w:sz w:val="18"/>
                <w:szCs w:val="18"/>
              </w:rPr>
            </w:pPr>
            <w:r>
              <w:rPr>
                <w:sz w:val="18"/>
                <w:szCs w:val="18"/>
              </w:rPr>
              <w:t>0.46</w:t>
            </w:r>
          </w:p>
        </w:tc>
        <w:tc>
          <w:tcPr>
            <w:tcW w:w="301" w:type="pct"/>
            <w:shd w:val="clear" w:color="auto" w:fill="auto"/>
            <w:vAlign w:val="center"/>
          </w:tcPr>
          <w:p>
            <w:pPr>
              <w:pStyle w:val="42"/>
              <w:rPr>
                <w:sz w:val="18"/>
                <w:szCs w:val="18"/>
              </w:rPr>
            </w:pPr>
            <w:r>
              <w:rPr>
                <w:sz w:val="18"/>
                <w:szCs w:val="18"/>
              </w:rPr>
              <w:t>2.32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14</w:t>
            </w:r>
          </w:p>
        </w:tc>
        <w:tc>
          <w:tcPr>
            <w:tcW w:w="947" w:type="pct"/>
            <w:shd w:val="clear" w:color="auto" w:fill="auto"/>
            <w:vAlign w:val="center"/>
          </w:tcPr>
          <w:p>
            <w:pPr>
              <w:pStyle w:val="42"/>
              <w:rPr>
                <w:sz w:val="18"/>
                <w:szCs w:val="18"/>
              </w:rPr>
            </w:pPr>
            <w:r>
              <w:rPr>
                <w:rFonts w:hint="eastAsia"/>
                <w:sz w:val="18"/>
                <w:szCs w:val="18"/>
              </w:rPr>
              <w:t>中荣（重庆）化工分销服务有限公司</w:t>
            </w:r>
          </w:p>
        </w:tc>
        <w:tc>
          <w:tcPr>
            <w:tcW w:w="339" w:type="pct"/>
            <w:shd w:val="clear" w:color="auto" w:fill="auto"/>
            <w:vAlign w:val="center"/>
          </w:tcPr>
          <w:p>
            <w:pPr>
              <w:pStyle w:val="42"/>
              <w:rPr>
                <w:sz w:val="18"/>
                <w:szCs w:val="18"/>
              </w:rPr>
            </w:pPr>
            <w:r>
              <w:rPr>
                <w:sz w:val="18"/>
                <w:szCs w:val="18"/>
              </w:rPr>
              <w:t>13.42</w:t>
            </w:r>
          </w:p>
        </w:tc>
        <w:tc>
          <w:tcPr>
            <w:tcW w:w="301" w:type="pct"/>
            <w:shd w:val="clear" w:color="auto" w:fill="auto"/>
            <w:vAlign w:val="center"/>
          </w:tcPr>
          <w:p>
            <w:pPr>
              <w:pStyle w:val="42"/>
              <w:rPr>
                <w:sz w:val="18"/>
                <w:szCs w:val="18"/>
              </w:rPr>
            </w:pPr>
            <w:r>
              <w:rPr>
                <w:sz w:val="18"/>
                <w:szCs w:val="18"/>
              </w:rPr>
              <w:t>0.24</w:t>
            </w:r>
          </w:p>
        </w:tc>
        <w:tc>
          <w:tcPr>
            <w:tcW w:w="262" w:type="pct"/>
            <w:shd w:val="clear" w:color="auto" w:fill="auto"/>
            <w:vAlign w:val="center"/>
          </w:tcPr>
          <w:p>
            <w:pPr>
              <w:pStyle w:val="42"/>
              <w:rPr>
                <w:sz w:val="18"/>
                <w:szCs w:val="18"/>
              </w:rPr>
            </w:pPr>
            <w:r>
              <w:rPr>
                <w:sz w:val="18"/>
                <w:szCs w:val="18"/>
              </w:rPr>
              <w:t>0.08</w:t>
            </w:r>
          </w:p>
        </w:tc>
        <w:tc>
          <w:tcPr>
            <w:tcW w:w="301"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sz w:val="18"/>
                <w:szCs w:val="18"/>
              </w:rPr>
              <w:t>0.28</w:t>
            </w:r>
          </w:p>
        </w:tc>
        <w:tc>
          <w:tcPr>
            <w:tcW w:w="222" w:type="pct"/>
            <w:shd w:val="clear" w:color="auto" w:fill="auto"/>
            <w:vAlign w:val="center"/>
          </w:tcPr>
          <w:p>
            <w:pPr>
              <w:pStyle w:val="42"/>
              <w:rPr>
                <w:sz w:val="18"/>
                <w:szCs w:val="18"/>
              </w:rPr>
            </w:pPr>
            <w:r>
              <w:rPr>
                <w:sz w:val="18"/>
                <w:szCs w:val="18"/>
              </w:rPr>
              <w:t>0.003</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15</w:t>
            </w:r>
          </w:p>
        </w:tc>
        <w:tc>
          <w:tcPr>
            <w:tcW w:w="947" w:type="pct"/>
            <w:shd w:val="clear" w:color="auto" w:fill="auto"/>
            <w:vAlign w:val="center"/>
          </w:tcPr>
          <w:p>
            <w:pPr>
              <w:pStyle w:val="42"/>
              <w:rPr>
                <w:sz w:val="18"/>
                <w:szCs w:val="18"/>
              </w:rPr>
            </w:pPr>
            <w:r>
              <w:rPr>
                <w:rFonts w:hint="eastAsia"/>
                <w:sz w:val="18"/>
                <w:szCs w:val="18"/>
              </w:rPr>
              <w:t>攀钢集团重庆钛业有限公司</w:t>
            </w:r>
          </w:p>
        </w:tc>
        <w:tc>
          <w:tcPr>
            <w:tcW w:w="339" w:type="pct"/>
            <w:shd w:val="clear" w:color="auto" w:fill="auto"/>
            <w:vAlign w:val="center"/>
          </w:tcPr>
          <w:p>
            <w:pPr>
              <w:pStyle w:val="42"/>
              <w:rPr>
                <w:sz w:val="18"/>
                <w:szCs w:val="18"/>
              </w:rPr>
            </w:pPr>
            <w:r>
              <w:rPr>
                <w:sz w:val="18"/>
                <w:szCs w:val="18"/>
              </w:rPr>
              <w:t>8654.55</w:t>
            </w:r>
          </w:p>
        </w:tc>
        <w:tc>
          <w:tcPr>
            <w:tcW w:w="301" w:type="pct"/>
            <w:shd w:val="clear" w:color="auto" w:fill="auto"/>
            <w:vAlign w:val="center"/>
          </w:tcPr>
          <w:p>
            <w:pPr>
              <w:pStyle w:val="42"/>
              <w:rPr>
                <w:sz w:val="18"/>
                <w:szCs w:val="18"/>
              </w:rPr>
            </w:pPr>
            <w:r>
              <w:rPr>
                <w:sz w:val="18"/>
                <w:szCs w:val="18"/>
              </w:rPr>
              <w:t>142.8</w:t>
            </w:r>
          </w:p>
        </w:tc>
        <w:tc>
          <w:tcPr>
            <w:tcW w:w="262" w:type="pct"/>
            <w:shd w:val="clear" w:color="auto" w:fill="auto"/>
            <w:vAlign w:val="center"/>
          </w:tcPr>
          <w:p>
            <w:pPr>
              <w:pStyle w:val="42"/>
              <w:rPr>
                <w:sz w:val="18"/>
                <w:szCs w:val="18"/>
              </w:rPr>
            </w:pPr>
            <w:r>
              <w:rPr>
                <w:sz w:val="18"/>
                <w:szCs w:val="18"/>
              </w:rPr>
              <w:t>57.1</w:t>
            </w:r>
          </w:p>
        </w:tc>
        <w:tc>
          <w:tcPr>
            <w:tcW w:w="301" w:type="pct"/>
            <w:shd w:val="clear" w:color="auto" w:fill="auto"/>
            <w:vAlign w:val="center"/>
          </w:tcPr>
          <w:p>
            <w:pPr>
              <w:pStyle w:val="42"/>
              <w:rPr>
                <w:sz w:val="18"/>
                <w:szCs w:val="18"/>
              </w:rPr>
            </w:pPr>
            <w:r>
              <w:rPr>
                <w:sz w:val="18"/>
                <w:szCs w:val="18"/>
              </w:rPr>
              <w:t>0.8</w:t>
            </w:r>
          </w:p>
        </w:tc>
        <w:tc>
          <w:tcPr>
            <w:tcW w:w="301" w:type="pct"/>
            <w:shd w:val="clear" w:color="auto" w:fill="auto"/>
            <w:vAlign w:val="center"/>
          </w:tcPr>
          <w:p>
            <w:pPr>
              <w:pStyle w:val="42"/>
              <w:rPr>
                <w:sz w:val="18"/>
                <w:szCs w:val="18"/>
              </w:rPr>
            </w:pPr>
            <w:r>
              <w:rPr>
                <w:sz w:val="18"/>
                <w:szCs w:val="18"/>
              </w:rPr>
              <w:t>142.8</w:t>
            </w:r>
          </w:p>
        </w:tc>
        <w:tc>
          <w:tcPr>
            <w:tcW w:w="222" w:type="pct"/>
            <w:shd w:val="clear" w:color="auto" w:fill="auto"/>
            <w:vAlign w:val="center"/>
          </w:tcPr>
          <w:p>
            <w:pPr>
              <w:pStyle w:val="42"/>
              <w:rPr>
                <w:sz w:val="18"/>
                <w:szCs w:val="18"/>
              </w:rPr>
            </w:pPr>
            <w:r>
              <w:rPr>
                <w:sz w:val="18"/>
                <w:szCs w:val="18"/>
              </w:rPr>
              <w:t>0.41</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856.8</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16</w:t>
            </w:r>
          </w:p>
        </w:tc>
        <w:tc>
          <w:tcPr>
            <w:tcW w:w="947" w:type="pct"/>
            <w:shd w:val="clear" w:color="auto" w:fill="auto"/>
            <w:vAlign w:val="center"/>
          </w:tcPr>
          <w:p>
            <w:pPr>
              <w:pStyle w:val="42"/>
              <w:rPr>
                <w:sz w:val="18"/>
                <w:szCs w:val="18"/>
              </w:rPr>
            </w:pPr>
            <w:r>
              <w:rPr>
                <w:rFonts w:hint="eastAsia"/>
                <w:sz w:val="18"/>
                <w:szCs w:val="18"/>
              </w:rPr>
              <w:t>重庆鑫富化工有限公司</w:t>
            </w:r>
          </w:p>
        </w:tc>
        <w:tc>
          <w:tcPr>
            <w:tcW w:w="339" w:type="pct"/>
            <w:shd w:val="clear" w:color="auto" w:fill="auto"/>
            <w:vAlign w:val="center"/>
          </w:tcPr>
          <w:p>
            <w:pPr>
              <w:pStyle w:val="42"/>
              <w:rPr>
                <w:sz w:val="18"/>
                <w:szCs w:val="18"/>
              </w:rPr>
            </w:pPr>
            <w:r>
              <w:rPr>
                <w:sz w:val="18"/>
                <w:szCs w:val="18"/>
              </w:rPr>
              <w:t>167.57</w:t>
            </w:r>
          </w:p>
        </w:tc>
        <w:tc>
          <w:tcPr>
            <w:tcW w:w="301" w:type="pct"/>
            <w:shd w:val="clear" w:color="auto" w:fill="auto"/>
            <w:vAlign w:val="center"/>
          </w:tcPr>
          <w:p>
            <w:pPr>
              <w:pStyle w:val="42"/>
              <w:rPr>
                <w:sz w:val="18"/>
                <w:szCs w:val="18"/>
              </w:rPr>
            </w:pPr>
            <w:r>
              <w:rPr>
                <w:sz w:val="18"/>
                <w:szCs w:val="18"/>
              </w:rPr>
              <w:t>27.6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2.5</w:t>
            </w:r>
          </w:p>
        </w:tc>
        <w:tc>
          <w:tcPr>
            <w:tcW w:w="301" w:type="pct"/>
            <w:shd w:val="clear" w:color="auto" w:fill="auto"/>
            <w:vAlign w:val="center"/>
          </w:tcPr>
          <w:p>
            <w:pPr>
              <w:pStyle w:val="42"/>
              <w:rPr>
                <w:sz w:val="18"/>
                <w:szCs w:val="18"/>
              </w:rPr>
            </w:pPr>
            <w:r>
              <w:rPr>
                <w:sz w:val="18"/>
                <w:szCs w:val="18"/>
              </w:rPr>
              <w:t>3.1</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0.23</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17</w:t>
            </w:r>
          </w:p>
        </w:tc>
        <w:tc>
          <w:tcPr>
            <w:tcW w:w="947" w:type="pct"/>
            <w:shd w:val="clear" w:color="auto" w:fill="auto"/>
            <w:vAlign w:val="center"/>
          </w:tcPr>
          <w:p>
            <w:pPr>
              <w:pStyle w:val="42"/>
              <w:rPr>
                <w:sz w:val="18"/>
                <w:szCs w:val="18"/>
              </w:rPr>
            </w:pPr>
            <w:r>
              <w:rPr>
                <w:rFonts w:hint="eastAsia"/>
                <w:sz w:val="18"/>
                <w:szCs w:val="18"/>
              </w:rPr>
              <w:t>重庆三峡英力化工有限公司</w:t>
            </w:r>
          </w:p>
        </w:tc>
        <w:tc>
          <w:tcPr>
            <w:tcW w:w="339" w:type="pct"/>
            <w:shd w:val="clear" w:color="auto" w:fill="auto"/>
            <w:vAlign w:val="center"/>
          </w:tcPr>
          <w:p>
            <w:pPr>
              <w:pStyle w:val="42"/>
              <w:rPr>
                <w:sz w:val="18"/>
                <w:szCs w:val="18"/>
              </w:rPr>
            </w:pPr>
            <w:r>
              <w:rPr>
                <w:sz w:val="18"/>
                <w:szCs w:val="18"/>
              </w:rPr>
              <w:t>328.69</w:t>
            </w:r>
          </w:p>
        </w:tc>
        <w:tc>
          <w:tcPr>
            <w:tcW w:w="301" w:type="pct"/>
            <w:shd w:val="clear" w:color="auto" w:fill="auto"/>
            <w:vAlign w:val="center"/>
          </w:tcPr>
          <w:p>
            <w:pPr>
              <w:pStyle w:val="42"/>
              <w:rPr>
                <w:sz w:val="18"/>
                <w:szCs w:val="18"/>
              </w:rPr>
            </w:pPr>
            <w:r>
              <w:rPr>
                <w:sz w:val="18"/>
                <w:szCs w:val="18"/>
              </w:rPr>
              <w:t>5.916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0.004</w:t>
            </w:r>
          </w:p>
        </w:tc>
        <w:tc>
          <w:tcPr>
            <w:tcW w:w="301" w:type="pct"/>
            <w:shd w:val="clear" w:color="auto" w:fill="auto"/>
            <w:vAlign w:val="center"/>
          </w:tcPr>
          <w:p>
            <w:pPr>
              <w:pStyle w:val="42"/>
              <w:rPr>
                <w:sz w:val="18"/>
                <w:szCs w:val="18"/>
              </w:rPr>
            </w:pPr>
            <w:r>
              <w:rPr>
                <w:sz w:val="18"/>
                <w:szCs w:val="18"/>
              </w:rPr>
              <w:t>3.39</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0.168</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18</w:t>
            </w:r>
          </w:p>
        </w:tc>
        <w:tc>
          <w:tcPr>
            <w:tcW w:w="947" w:type="pct"/>
            <w:shd w:val="clear" w:color="auto" w:fill="auto"/>
            <w:vAlign w:val="center"/>
          </w:tcPr>
          <w:p>
            <w:pPr>
              <w:pStyle w:val="42"/>
              <w:rPr>
                <w:sz w:val="18"/>
                <w:szCs w:val="18"/>
              </w:rPr>
            </w:pPr>
            <w:r>
              <w:rPr>
                <w:rFonts w:hint="eastAsia"/>
                <w:sz w:val="18"/>
                <w:szCs w:val="18"/>
              </w:rPr>
              <w:t>重庆润江水泥公司（长寿西南水泥厂）</w:t>
            </w:r>
          </w:p>
        </w:tc>
        <w:tc>
          <w:tcPr>
            <w:tcW w:w="339" w:type="pct"/>
            <w:shd w:val="clear" w:color="auto" w:fill="auto"/>
            <w:vAlign w:val="center"/>
          </w:tcPr>
          <w:p>
            <w:pPr>
              <w:pStyle w:val="42"/>
              <w:rPr>
                <w:sz w:val="18"/>
                <w:szCs w:val="18"/>
              </w:rPr>
            </w:pPr>
            <w:r>
              <w:rPr>
                <w:sz w:val="18"/>
                <w:szCs w:val="18"/>
              </w:rPr>
              <w:t>222.13</w:t>
            </w:r>
          </w:p>
        </w:tc>
        <w:tc>
          <w:tcPr>
            <w:tcW w:w="301" w:type="pct"/>
            <w:shd w:val="clear" w:color="auto" w:fill="auto"/>
            <w:vAlign w:val="center"/>
          </w:tcPr>
          <w:p>
            <w:pPr>
              <w:pStyle w:val="42"/>
              <w:rPr>
                <w:sz w:val="18"/>
                <w:szCs w:val="18"/>
              </w:rPr>
            </w:pPr>
            <w:r>
              <w:rPr>
                <w:sz w:val="18"/>
                <w:szCs w:val="18"/>
              </w:rPr>
              <w:t>1.65</w:t>
            </w:r>
          </w:p>
        </w:tc>
        <w:tc>
          <w:tcPr>
            <w:tcW w:w="262" w:type="pct"/>
            <w:shd w:val="clear" w:color="auto" w:fill="auto"/>
            <w:vAlign w:val="center"/>
          </w:tcPr>
          <w:p>
            <w:pPr>
              <w:pStyle w:val="42"/>
              <w:rPr>
                <w:sz w:val="18"/>
                <w:szCs w:val="18"/>
              </w:rPr>
            </w:pPr>
            <w:r>
              <w:rPr>
                <w:sz w:val="18"/>
                <w:szCs w:val="18"/>
              </w:rPr>
              <w:t>0</w:t>
            </w:r>
          </w:p>
        </w:tc>
        <w:tc>
          <w:tcPr>
            <w:tcW w:w="301" w:type="pct"/>
            <w:shd w:val="clear" w:color="auto" w:fill="auto"/>
            <w:vAlign w:val="center"/>
          </w:tcPr>
          <w:p>
            <w:pPr>
              <w:pStyle w:val="42"/>
              <w:rPr>
                <w:sz w:val="18"/>
                <w:szCs w:val="18"/>
              </w:rPr>
            </w:pPr>
            <w:r>
              <w:rPr>
                <w:sz w:val="18"/>
                <w:szCs w:val="18"/>
              </w:rPr>
              <w:t>0</w:t>
            </w:r>
          </w:p>
        </w:tc>
        <w:tc>
          <w:tcPr>
            <w:tcW w:w="301" w:type="pct"/>
            <w:shd w:val="clear" w:color="auto" w:fill="auto"/>
            <w:vAlign w:val="center"/>
          </w:tcPr>
          <w:p>
            <w:pPr>
              <w:pStyle w:val="42"/>
              <w:rPr>
                <w:sz w:val="18"/>
                <w:szCs w:val="18"/>
              </w:rPr>
            </w:pPr>
            <w:r>
              <w:rPr>
                <w:sz w:val="18"/>
                <w:szCs w:val="18"/>
              </w:rPr>
              <w:t>0.52</w:t>
            </w:r>
          </w:p>
        </w:tc>
        <w:tc>
          <w:tcPr>
            <w:tcW w:w="222" w:type="pct"/>
            <w:shd w:val="clear" w:color="auto" w:fill="auto"/>
            <w:vAlign w:val="center"/>
          </w:tcPr>
          <w:p>
            <w:pPr>
              <w:pStyle w:val="42"/>
              <w:rPr>
                <w:sz w:val="18"/>
                <w:szCs w:val="18"/>
              </w:rPr>
            </w:pPr>
            <w:r>
              <w:rPr>
                <w:sz w:val="18"/>
                <w:szCs w:val="18"/>
              </w:rPr>
              <w:t>0.17</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19</w:t>
            </w:r>
          </w:p>
        </w:tc>
        <w:tc>
          <w:tcPr>
            <w:tcW w:w="947" w:type="pct"/>
            <w:shd w:val="clear" w:color="auto" w:fill="auto"/>
            <w:vAlign w:val="center"/>
          </w:tcPr>
          <w:p>
            <w:pPr>
              <w:pStyle w:val="42"/>
              <w:rPr>
                <w:sz w:val="18"/>
                <w:szCs w:val="18"/>
              </w:rPr>
            </w:pPr>
            <w:r>
              <w:rPr>
                <w:rFonts w:hint="eastAsia"/>
                <w:sz w:val="18"/>
                <w:szCs w:val="18"/>
              </w:rPr>
              <w:t>阿丽斯科</w:t>
            </w:r>
          </w:p>
        </w:tc>
        <w:tc>
          <w:tcPr>
            <w:tcW w:w="339" w:type="pct"/>
            <w:shd w:val="clear" w:color="auto" w:fill="auto"/>
            <w:vAlign w:val="center"/>
          </w:tcPr>
          <w:p>
            <w:pPr>
              <w:pStyle w:val="42"/>
              <w:rPr>
                <w:sz w:val="18"/>
                <w:szCs w:val="18"/>
              </w:rPr>
            </w:pPr>
            <w:r>
              <w:rPr>
                <w:sz w:val="18"/>
                <w:szCs w:val="18"/>
              </w:rPr>
              <w:t>7.7</w:t>
            </w:r>
          </w:p>
        </w:tc>
        <w:tc>
          <w:tcPr>
            <w:tcW w:w="301" w:type="pct"/>
            <w:shd w:val="clear" w:color="auto" w:fill="auto"/>
            <w:vAlign w:val="center"/>
          </w:tcPr>
          <w:p>
            <w:pPr>
              <w:pStyle w:val="42"/>
              <w:rPr>
                <w:sz w:val="18"/>
                <w:szCs w:val="18"/>
              </w:rPr>
            </w:pPr>
            <w:r>
              <w:rPr>
                <w:sz w:val="18"/>
                <w:szCs w:val="18"/>
              </w:rPr>
              <w:t>0.12</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0.13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0.02</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20</w:t>
            </w:r>
          </w:p>
        </w:tc>
        <w:tc>
          <w:tcPr>
            <w:tcW w:w="947" w:type="pct"/>
            <w:shd w:val="clear" w:color="auto" w:fill="auto"/>
            <w:vAlign w:val="center"/>
          </w:tcPr>
          <w:p>
            <w:pPr>
              <w:pStyle w:val="42"/>
              <w:rPr>
                <w:sz w:val="18"/>
                <w:szCs w:val="18"/>
              </w:rPr>
            </w:pPr>
            <w:r>
              <w:rPr>
                <w:rFonts w:hint="eastAsia"/>
                <w:sz w:val="18"/>
                <w:szCs w:val="18"/>
              </w:rPr>
              <w:t>重庆信有达日化有限责任公司</w:t>
            </w:r>
          </w:p>
        </w:tc>
        <w:tc>
          <w:tcPr>
            <w:tcW w:w="339" w:type="pct"/>
            <w:shd w:val="clear" w:color="auto" w:fill="auto"/>
            <w:vAlign w:val="center"/>
          </w:tcPr>
          <w:p>
            <w:pPr>
              <w:pStyle w:val="42"/>
              <w:rPr>
                <w:sz w:val="18"/>
                <w:szCs w:val="18"/>
              </w:rPr>
            </w:pPr>
            <w:r>
              <w:rPr>
                <w:sz w:val="18"/>
                <w:szCs w:val="18"/>
              </w:rPr>
              <w:t>55.34</w:t>
            </w:r>
          </w:p>
        </w:tc>
        <w:tc>
          <w:tcPr>
            <w:tcW w:w="301" w:type="pct"/>
            <w:shd w:val="clear" w:color="auto" w:fill="auto"/>
            <w:vAlign w:val="center"/>
          </w:tcPr>
          <w:p>
            <w:pPr>
              <w:pStyle w:val="42"/>
              <w:rPr>
                <w:sz w:val="18"/>
                <w:szCs w:val="18"/>
              </w:rPr>
            </w:pPr>
            <w:r>
              <w:rPr>
                <w:sz w:val="18"/>
                <w:szCs w:val="18"/>
              </w:rPr>
              <w:t>0.996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0.664</w:t>
            </w:r>
          </w:p>
        </w:tc>
        <w:tc>
          <w:tcPr>
            <w:tcW w:w="222" w:type="pct"/>
            <w:shd w:val="clear" w:color="auto" w:fill="auto"/>
            <w:vAlign w:val="center"/>
          </w:tcPr>
          <w:p>
            <w:pPr>
              <w:pStyle w:val="42"/>
              <w:rPr>
                <w:sz w:val="18"/>
                <w:szCs w:val="18"/>
              </w:rPr>
            </w:pPr>
            <w:r>
              <w:rPr>
                <w:sz w:val="18"/>
                <w:szCs w:val="18"/>
              </w:rPr>
              <w:t>0.022</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21</w:t>
            </w:r>
          </w:p>
        </w:tc>
        <w:tc>
          <w:tcPr>
            <w:tcW w:w="947" w:type="pct"/>
            <w:shd w:val="clear" w:color="auto" w:fill="auto"/>
            <w:vAlign w:val="center"/>
          </w:tcPr>
          <w:p>
            <w:pPr>
              <w:pStyle w:val="42"/>
              <w:rPr>
                <w:sz w:val="18"/>
                <w:szCs w:val="18"/>
              </w:rPr>
            </w:pPr>
            <w:r>
              <w:rPr>
                <w:rFonts w:hint="eastAsia"/>
                <w:sz w:val="18"/>
                <w:szCs w:val="18"/>
              </w:rPr>
              <w:t>重庆海帆生化科技有限公司</w:t>
            </w:r>
          </w:p>
        </w:tc>
        <w:tc>
          <w:tcPr>
            <w:tcW w:w="339" w:type="pct"/>
            <w:shd w:val="clear" w:color="auto" w:fill="auto"/>
            <w:vAlign w:val="center"/>
          </w:tcPr>
          <w:p>
            <w:pPr>
              <w:pStyle w:val="42"/>
              <w:rPr>
                <w:sz w:val="18"/>
                <w:szCs w:val="18"/>
              </w:rPr>
            </w:pPr>
            <w:r>
              <w:rPr>
                <w:sz w:val="18"/>
                <w:szCs w:val="18"/>
              </w:rPr>
              <w:t>17.86</w:t>
            </w:r>
          </w:p>
        </w:tc>
        <w:tc>
          <w:tcPr>
            <w:tcW w:w="301" w:type="pct"/>
            <w:shd w:val="clear" w:color="auto" w:fill="auto"/>
            <w:vAlign w:val="center"/>
          </w:tcPr>
          <w:p>
            <w:pPr>
              <w:pStyle w:val="42"/>
              <w:rPr>
                <w:sz w:val="18"/>
                <w:szCs w:val="18"/>
              </w:rPr>
            </w:pPr>
            <w:r>
              <w:rPr>
                <w:sz w:val="18"/>
                <w:szCs w:val="18"/>
              </w:rPr>
              <w:t>0.244</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0.186</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15.85</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 w:hRule="atLeast"/>
        </w:trPr>
        <w:tc>
          <w:tcPr>
            <w:tcW w:w="132" w:type="pct"/>
            <w:shd w:val="clear" w:color="auto" w:fill="auto"/>
          </w:tcPr>
          <w:p>
            <w:pPr>
              <w:pStyle w:val="42"/>
              <w:rPr>
                <w:sz w:val="18"/>
                <w:szCs w:val="18"/>
              </w:rPr>
            </w:pPr>
            <w:r>
              <w:rPr>
                <w:sz w:val="18"/>
                <w:szCs w:val="18"/>
              </w:rPr>
              <w:t>22</w:t>
            </w:r>
          </w:p>
        </w:tc>
        <w:tc>
          <w:tcPr>
            <w:tcW w:w="947" w:type="pct"/>
            <w:shd w:val="clear" w:color="auto" w:fill="auto"/>
            <w:vAlign w:val="center"/>
          </w:tcPr>
          <w:p>
            <w:pPr>
              <w:pStyle w:val="42"/>
              <w:rPr>
                <w:sz w:val="18"/>
                <w:szCs w:val="18"/>
              </w:rPr>
            </w:pPr>
            <w:r>
              <w:rPr>
                <w:rFonts w:hint="eastAsia"/>
                <w:sz w:val="18"/>
                <w:szCs w:val="18"/>
              </w:rPr>
              <w:t>重钢冷轧厂</w:t>
            </w:r>
          </w:p>
        </w:tc>
        <w:tc>
          <w:tcPr>
            <w:tcW w:w="339" w:type="pct"/>
            <w:shd w:val="clear" w:color="auto" w:fill="auto"/>
            <w:vAlign w:val="center"/>
          </w:tcPr>
          <w:p>
            <w:pPr>
              <w:pStyle w:val="42"/>
              <w:rPr>
                <w:sz w:val="18"/>
                <w:szCs w:val="18"/>
              </w:rPr>
            </w:pPr>
            <w:r>
              <w:rPr>
                <w:sz w:val="18"/>
                <w:szCs w:val="18"/>
              </w:rPr>
              <w:t>1004.52</w:t>
            </w:r>
          </w:p>
        </w:tc>
        <w:tc>
          <w:tcPr>
            <w:tcW w:w="301" w:type="pct"/>
            <w:shd w:val="clear" w:color="auto" w:fill="auto"/>
            <w:vAlign w:val="center"/>
          </w:tcPr>
          <w:p>
            <w:pPr>
              <w:pStyle w:val="42"/>
              <w:rPr>
                <w:sz w:val="18"/>
                <w:szCs w:val="18"/>
              </w:rPr>
            </w:pPr>
            <w:r>
              <w:rPr>
                <w:sz w:val="18"/>
                <w:szCs w:val="18"/>
              </w:rPr>
              <w:t>18.08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14</w:t>
            </w:r>
          </w:p>
        </w:tc>
        <w:tc>
          <w:tcPr>
            <w:tcW w:w="222" w:type="pct"/>
            <w:shd w:val="clear" w:color="auto" w:fill="auto"/>
            <w:vAlign w:val="center"/>
          </w:tcPr>
          <w:p>
            <w:pPr>
              <w:pStyle w:val="42"/>
              <w:rPr>
                <w:sz w:val="18"/>
                <w:szCs w:val="18"/>
              </w:rPr>
            </w:pPr>
            <w:r>
              <w:rPr>
                <w:sz w:val="18"/>
                <w:szCs w:val="18"/>
              </w:rPr>
              <w:t>1.46</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23</w:t>
            </w:r>
          </w:p>
        </w:tc>
        <w:tc>
          <w:tcPr>
            <w:tcW w:w="947" w:type="pct"/>
            <w:shd w:val="clear" w:color="auto" w:fill="auto"/>
            <w:vAlign w:val="center"/>
          </w:tcPr>
          <w:p>
            <w:pPr>
              <w:pStyle w:val="42"/>
              <w:rPr>
                <w:sz w:val="18"/>
                <w:szCs w:val="18"/>
              </w:rPr>
            </w:pPr>
            <w:r>
              <w:rPr>
                <w:rFonts w:hint="eastAsia"/>
                <w:sz w:val="18"/>
                <w:szCs w:val="18"/>
              </w:rPr>
              <w:t>重庆永航金属制品公司</w:t>
            </w:r>
          </w:p>
        </w:tc>
        <w:tc>
          <w:tcPr>
            <w:tcW w:w="339" w:type="pct"/>
            <w:shd w:val="clear" w:color="auto" w:fill="auto"/>
            <w:vAlign w:val="center"/>
          </w:tcPr>
          <w:p>
            <w:pPr>
              <w:pStyle w:val="42"/>
              <w:rPr>
                <w:sz w:val="18"/>
                <w:szCs w:val="18"/>
              </w:rPr>
            </w:pPr>
            <w:r>
              <w:rPr>
                <w:sz w:val="18"/>
                <w:szCs w:val="18"/>
              </w:rPr>
              <w:t>239</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18.61</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24</w:t>
            </w:r>
          </w:p>
        </w:tc>
        <w:tc>
          <w:tcPr>
            <w:tcW w:w="947" w:type="pct"/>
            <w:shd w:val="clear" w:color="auto" w:fill="auto"/>
            <w:vAlign w:val="center"/>
          </w:tcPr>
          <w:p>
            <w:pPr>
              <w:pStyle w:val="42"/>
              <w:rPr>
                <w:sz w:val="18"/>
                <w:szCs w:val="18"/>
              </w:rPr>
            </w:pPr>
            <w:r>
              <w:rPr>
                <w:rFonts w:hint="eastAsia"/>
                <w:sz w:val="18"/>
                <w:szCs w:val="18"/>
              </w:rPr>
              <w:t>重庆晏诚金属制品有限公司</w:t>
            </w:r>
          </w:p>
        </w:tc>
        <w:tc>
          <w:tcPr>
            <w:tcW w:w="339" w:type="pct"/>
            <w:shd w:val="clear" w:color="auto" w:fill="auto"/>
            <w:vAlign w:val="center"/>
          </w:tcPr>
          <w:p>
            <w:pPr>
              <w:pStyle w:val="42"/>
              <w:rPr>
                <w:sz w:val="18"/>
                <w:szCs w:val="18"/>
              </w:rPr>
            </w:pPr>
            <w:r>
              <w:rPr>
                <w:sz w:val="18"/>
                <w:szCs w:val="18"/>
              </w:rPr>
              <w:t>18.19</w:t>
            </w:r>
          </w:p>
        </w:tc>
        <w:tc>
          <w:tcPr>
            <w:tcW w:w="301" w:type="pct"/>
            <w:shd w:val="clear" w:color="auto" w:fill="auto"/>
            <w:vAlign w:val="center"/>
          </w:tcPr>
          <w:p>
            <w:pPr>
              <w:pStyle w:val="42"/>
              <w:rPr>
                <w:sz w:val="18"/>
                <w:szCs w:val="18"/>
              </w:rPr>
            </w:pPr>
            <w:r>
              <w:rPr>
                <w:sz w:val="18"/>
                <w:szCs w:val="18"/>
              </w:rPr>
              <w:t>0.6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sz w:val="18"/>
                <w:szCs w:val="18"/>
              </w:rPr>
              <w:t>0.41</w:t>
            </w:r>
          </w:p>
        </w:tc>
        <w:tc>
          <w:tcPr>
            <w:tcW w:w="222" w:type="pct"/>
            <w:shd w:val="clear" w:color="auto" w:fill="auto"/>
            <w:vAlign w:val="center"/>
          </w:tcPr>
          <w:p>
            <w:pPr>
              <w:pStyle w:val="42"/>
              <w:rPr>
                <w:sz w:val="18"/>
                <w:szCs w:val="18"/>
              </w:rPr>
            </w:pPr>
            <w:r>
              <w:rPr>
                <w:sz w:val="18"/>
                <w:szCs w:val="18"/>
              </w:rPr>
              <w:t>0.01</w:t>
            </w:r>
          </w:p>
        </w:tc>
        <w:tc>
          <w:tcPr>
            <w:tcW w:w="301" w:type="pct"/>
            <w:shd w:val="clear" w:color="auto" w:fill="auto"/>
            <w:vAlign w:val="center"/>
          </w:tcPr>
          <w:p>
            <w:pPr>
              <w:pStyle w:val="42"/>
              <w:rPr>
                <w:sz w:val="18"/>
                <w:szCs w:val="18"/>
              </w:rPr>
            </w:pPr>
            <w:r>
              <w:rPr>
                <w:sz w:val="18"/>
                <w:szCs w:val="18"/>
              </w:rPr>
              <w:t>0.001</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8</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132" w:type="pct"/>
            <w:shd w:val="clear" w:color="auto" w:fill="auto"/>
          </w:tcPr>
          <w:p>
            <w:pPr>
              <w:pStyle w:val="42"/>
              <w:rPr>
                <w:sz w:val="18"/>
                <w:szCs w:val="18"/>
              </w:rPr>
            </w:pPr>
            <w:r>
              <w:rPr>
                <w:sz w:val="18"/>
                <w:szCs w:val="18"/>
              </w:rPr>
              <w:t>25</w:t>
            </w:r>
          </w:p>
        </w:tc>
        <w:tc>
          <w:tcPr>
            <w:tcW w:w="947" w:type="pct"/>
            <w:shd w:val="clear" w:color="auto" w:fill="auto"/>
            <w:vAlign w:val="center"/>
          </w:tcPr>
          <w:p>
            <w:pPr>
              <w:pStyle w:val="42"/>
              <w:rPr>
                <w:sz w:val="18"/>
                <w:szCs w:val="18"/>
              </w:rPr>
            </w:pPr>
            <w:r>
              <w:rPr>
                <w:rFonts w:hint="eastAsia"/>
                <w:sz w:val="18"/>
                <w:szCs w:val="18"/>
              </w:rPr>
              <w:t>重庆欧隆钢绞线公司</w:t>
            </w:r>
          </w:p>
        </w:tc>
        <w:tc>
          <w:tcPr>
            <w:tcW w:w="339" w:type="pct"/>
            <w:shd w:val="clear" w:color="auto" w:fill="auto"/>
            <w:vAlign w:val="center"/>
          </w:tcPr>
          <w:p>
            <w:pPr>
              <w:pStyle w:val="42"/>
              <w:rPr>
                <w:sz w:val="18"/>
                <w:szCs w:val="18"/>
              </w:rPr>
            </w:pPr>
            <w:r>
              <w:rPr>
                <w:sz w:val="18"/>
                <w:szCs w:val="18"/>
              </w:rPr>
              <w:t>3.33</w:t>
            </w:r>
          </w:p>
        </w:tc>
        <w:tc>
          <w:tcPr>
            <w:tcW w:w="301" w:type="pct"/>
            <w:shd w:val="clear" w:color="auto" w:fill="auto"/>
            <w:vAlign w:val="center"/>
          </w:tcPr>
          <w:p>
            <w:pPr>
              <w:pStyle w:val="42"/>
              <w:rPr>
                <w:sz w:val="18"/>
                <w:szCs w:val="18"/>
              </w:rPr>
            </w:pPr>
            <w:r>
              <w:rPr>
                <w:sz w:val="18"/>
                <w:szCs w:val="18"/>
              </w:rPr>
              <w:t>2</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2.04</w:t>
            </w:r>
          </w:p>
        </w:tc>
        <w:tc>
          <w:tcPr>
            <w:tcW w:w="222" w:type="pct"/>
            <w:shd w:val="clear" w:color="auto" w:fill="auto"/>
            <w:vAlign w:val="center"/>
          </w:tcPr>
          <w:p>
            <w:pPr>
              <w:pStyle w:val="42"/>
              <w:rPr>
                <w:sz w:val="18"/>
                <w:szCs w:val="18"/>
              </w:rPr>
            </w:pPr>
            <w:r>
              <w:rPr>
                <w:sz w:val="18"/>
                <w:szCs w:val="18"/>
              </w:rPr>
              <w:t>0.09</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26</w:t>
            </w:r>
          </w:p>
        </w:tc>
        <w:tc>
          <w:tcPr>
            <w:tcW w:w="947" w:type="pct"/>
            <w:shd w:val="clear" w:color="auto" w:fill="auto"/>
            <w:vAlign w:val="center"/>
          </w:tcPr>
          <w:p>
            <w:pPr>
              <w:pStyle w:val="42"/>
              <w:rPr>
                <w:sz w:val="18"/>
                <w:szCs w:val="18"/>
              </w:rPr>
            </w:pPr>
            <w:r>
              <w:rPr>
                <w:rFonts w:hint="eastAsia"/>
                <w:sz w:val="18"/>
                <w:szCs w:val="18"/>
              </w:rPr>
              <w:t>重庆镪镔君骁物资有限公司</w:t>
            </w:r>
          </w:p>
        </w:tc>
        <w:tc>
          <w:tcPr>
            <w:tcW w:w="339" w:type="pct"/>
            <w:shd w:val="clear" w:color="auto" w:fill="auto"/>
            <w:vAlign w:val="center"/>
          </w:tcPr>
          <w:p>
            <w:pPr>
              <w:pStyle w:val="42"/>
              <w:rPr>
                <w:sz w:val="18"/>
                <w:szCs w:val="18"/>
              </w:rPr>
            </w:pPr>
            <w:r>
              <w:rPr>
                <w:sz w:val="18"/>
                <w:szCs w:val="18"/>
              </w:rPr>
              <w:t>0.005</w:t>
            </w:r>
          </w:p>
        </w:tc>
        <w:tc>
          <w:tcPr>
            <w:tcW w:w="301" w:type="pct"/>
            <w:shd w:val="clear" w:color="auto" w:fill="auto"/>
            <w:vAlign w:val="center"/>
          </w:tcPr>
          <w:p>
            <w:pPr>
              <w:pStyle w:val="42"/>
              <w:rPr>
                <w:sz w:val="18"/>
                <w:szCs w:val="18"/>
              </w:rPr>
            </w:pPr>
            <w:r>
              <w:rPr>
                <w:sz w:val="18"/>
                <w:szCs w:val="18"/>
              </w:rPr>
              <w:t>1.18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4.12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27</w:t>
            </w:r>
          </w:p>
        </w:tc>
        <w:tc>
          <w:tcPr>
            <w:tcW w:w="947" w:type="pct"/>
            <w:shd w:val="clear" w:color="auto" w:fill="auto"/>
            <w:vAlign w:val="center"/>
          </w:tcPr>
          <w:p>
            <w:pPr>
              <w:pStyle w:val="42"/>
              <w:rPr>
                <w:sz w:val="18"/>
                <w:szCs w:val="18"/>
              </w:rPr>
            </w:pPr>
            <w:r>
              <w:rPr>
                <w:rFonts w:hint="eastAsia"/>
                <w:sz w:val="18"/>
                <w:szCs w:val="18"/>
              </w:rPr>
              <w:t>重庆犇牛机械有限公司</w:t>
            </w:r>
          </w:p>
        </w:tc>
        <w:tc>
          <w:tcPr>
            <w:tcW w:w="339" w:type="pct"/>
            <w:shd w:val="clear" w:color="auto" w:fill="auto"/>
            <w:vAlign w:val="center"/>
          </w:tcPr>
          <w:p>
            <w:pPr>
              <w:pStyle w:val="42"/>
              <w:rPr>
                <w:sz w:val="18"/>
                <w:szCs w:val="18"/>
              </w:rPr>
            </w:pPr>
            <w:r>
              <w:rPr>
                <w:sz w:val="18"/>
                <w:szCs w:val="18"/>
              </w:rPr>
              <w:t>29.89</w:t>
            </w:r>
          </w:p>
        </w:tc>
        <w:tc>
          <w:tcPr>
            <w:tcW w:w="301" w:type="pct"/>
            <w:shd w:val="clear" w:color="auto" w:fill="auto"/>
            <w:vAlign w:val="center"/>
          </w:tcPr>
          <w:p>
            <w:pPr>
              <w:pStyle w:val="42"/>
              <w:rPr>
                <w:sz w:val="18"/>
                <w:szCs w:val="18"/>
              </w:rPr>
            </w:pPr>
            <w:r>
              <w:rPr>
                <w:sz w:val="18"/>
                <w:szCs w:val="18"/>
              </w:rPr>
              <w:t>0.538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0.081</w:t>
            </w:r>
          </w:p>
        </w:tc>
        <w:tc>
          <w:tcPr>
            <w:tcW w:w="301" w:type="pct"/>
            <w:shd w:val="clear" w:color="auto" w:fill="auto"/>
            <w:vAlign w:val="center"/>
          </w:tcPr>
          <w:p>
            <w:pPr>
              <w:pStyle w:val="42"/>
              <w:rPr>
                <w:sz w:val="18"/>
                <w:szCs w:val="18"/>
              </w:rPr>
            </w:pPr>
            <w:r>
              <w:rPr>
                <w:sz w:val="18"/>
                <w:szCs w:val="18"/>
              </w:rPr>
              <w:t>0.377</w:t>
            </w:r>
          </w:p>
        </w:tc>
        <w:tc>
          <w:tcPr>
            <w:tcW w:w="222" w:type="pct"/>
            <w:shd w:val="clear" w:color="auto" w:fill="auto"/>
            <w:vAlign w:val="center"/>
          </w:tcPr>
          <w:p>
            <w:pPr>
              <w:pStyle w:val="42"/>
              <w:rPr>
                <w:sz w:val="18"/>
                <w:szCs w:val="18"/>
              </w:rPr>
            </w:pPr>
            <w:r>
              <w:rPr>
                <w:sz w:val="18"/>
                <w:szCs w:val="18"/>
              </w:rPr>
              <w:t>0.028</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0.053</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28</w:t>
            </w:r>
          </w:p>
        </w:tc>
        <w:tc>
          <w:tcPr>
            <w:tcW w:w="947" w:type="pct"/>
            <w:shd w:val="clear" w:color="auto" w:fill="auto"/>
            <w:vAlign w:val="center"/>
          </w:tcPr>
          <w:p>
            <w:pPr>
              <w:pStyle w:val="42"/>
              <w:rPr>
                <w:sz w:val="18"/>
                <w:szCs w:val="18"/>
              </w:rPr>
            </w:pPr>
            <w:r>
              <w:rPr>
                <w:rFonts w:hint="eastAsia"/>
                <w:sz w:val="18"/>
                <w:szCs w:val="18"/>
              </w:rPr>
              <w:t>重庆其林机电设备安装厂</w:t>
            </w:r>
          </w:p>
        </w:tc>
        <w:tc>
          <w:tcPr>
            <w:tcW w:w="339" w:type="pct"/>
            <w:shd w:val="clear" w:color="auto" w:fill="auto"/>
            <w:vAlign w:val="center"/>
          </w:tcPr>
          <w:p>
            <w:pPr>
              <w:pStyle w:val="42"/>
              <w:rPr>
                <w:sz w:val="18"/>
                <w:szCs w:val="18"/>
              </w:rPr>
            </w:pPr>
            <w:r>
              <w:rPr>
                <w:sz w:val="18"/>
                <w:szCs w:val="18"/>
              </w:rPr>
              <w:t>6</w:t>
            </w:r>
          </w:p>
        </w:tc>
        <w:tc>
          <w:tcPr>
            <w:tcW w:w="301" w:type="pct"/>
            <w:shd w:val="clear" w:color="auto" w:fill="auto"/>
            <w:vAlign w:val="center"/>
          </w:tcPr>
          <w:p>
            <w:pPr>
              <w:pStyle w:val="42"/>
              <w:rPr>
                <w:sz w:val="18"/>
                <w:szCs w:val="18"/>
              </w:rPr>
            </w:pPr>
            <w:r>
              <w:rPr>
                <w:sz w:val="18"/>
                <w:szCs w:val="18"/>
              </w:rPr>
              <w:t>0.9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 w:hRule="atLeast"/>
        </w:trPr>
        <w:tc>
          <w:tcPr>
            <w:tcW w:w="132" w:type="pct"/>
            <w:shd w:val="clear" w:color="auto" w:fill="auto"/>
          </w:tcPr>
          <w:p>
            <w:pPr>
              <w:pStyle w:val="42"/>
              <w:rPr>
                <w:sz w:val="18"/>
                <w:szCs w:val="18"/>
              </w:rPr>
            </w:pPr>
            <w:r>
              <w:rPr>
                <w:sz w:val="18"/>
                <w:szCs w:val="18"/>
              </w:rPr>
              <w:t>29</w:t>
            </w:r>
          </w:p>
        </w:tc>
        <w:tc>
          <w:tcPr>
            <w:tcW w:w="947" w:type="pct"/>
            <w:shd w:val="clear" w:color="auto" w:fill="auto"/>
            <w:vAlign w:val="center"/>
          </w:tcPr>
          <w:p>
            <w:pPr>
              <w:pStyle w:val="42"/>
              <w:rPr>
                <w:sz w:val="18"/>
                <w:szCs w:val="18"/>
              </w:rPr>
            </w:pPr>
            <w:r>
              <w:rPr>
                <w:rFonts w:hint="eastAsia"/>
                <w:sz w:val="18"/>
                <w:szCs w:val="18"/>
              </w:rPr>
              <w:t>重庆联正机电设备公司</w:t>
            </w:r>
          </w:p>
        </w:tc>
        <w:tc>
          <w:tcPr>
            <w:tcW w:w="339" w:type="pct"/>
            <w:shd w:val="clear" w:color="auto" w:fill="auto"/>
            <w:vAlign w:val="center"/>
          </w:tcPr>
          <w:p>
            <w:pPr>
              <w:pStyle w:val="42"/>
              <w:rPr>
                <w:sz w:val="18"/>
                <w:szCs w:val="18"/>
              </w:rPr>
            </w:pPr>
            <w:r>
              <w:rPr>
                <w:sz w:val="18"/>
                <w:szCs w:val="18"/>
              </w:rPr>
              <w:t>6.67</w:t>
            </w:r>
          </w:p>
        </w:tc>
        <w:tc>
          <w:tcPr>
            <w:tcW w:w="301" w:type="pct"/>
            <w:shd w:val="clear" w:color="auto" w:fill="auto"/>
            <w:vAlign w:val="center"/>
          </w:tcPr>
          <w:p>
            <w:pPr>
              <w:pStyle w:val="42"/>
              <w:rPr>
                <w:sz w:val="18"/>
                <w:szCs w:val="18"/>
              </w:rPr>
            </w:pPr>
            <w:r>
              <w:rPr>
                <w:sz w:val="18"/>
                <w:szCs w:val="18"/>
              </w:rPr>
              <w:t>2.39</w:t>
            </w:r>
          </w:p>
        </w:tc>
        <w:tc>
          <w:tcPr>
            <w:tcW w:w="262" w:type="pct"/>
            <w:shd w:val="clear" w:color="auto" w:fill="auto"/>
            <w:vAlign w:val="center"/>
          </w:tcPr>
          <w:p>
            <w:pPr>
              <w:pStyle w:val="42"/>
              <w:rPr>
                <w:sz w:val="18"/>
                <w:szCs w:val="18"/>
              </w:rPr>
            </w:pPr>
            <w:r>
              <w:rPr>
                <w:sz w:val="18"/>
                <w:szCs w:val="18"/>
              </w:rPr>
              <w:t>1.19</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1.19</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30</w:t>
            </w:r>
          </w:p>
        </w:tc>
        <w:tc>
          <w:tcPr>
            <w:tcW w:w="947" w:type="pct"/>
            <w:shd w:val="clear" w:color="auto" w:fill="auto"/>
            <w:vAlign w:val="center"/>
          </w:tcPr>
          <w:p>
            <w:pPr>
              <w:pStyle w:val="42"/>
              <w:rPr>
                <w:sz w:val="18"/>
                <w:szCs w:val="18"/>
              </w:rPr>
            </w:pPr>
            <w:r>
              <w:rPr>
                <w:rFonts w:hint="eastAsia"/>
                <w:sz w:val="18"/>
                <w:szCs w:val="18"/>
              </w:rPr>
              <w:t>重庆同力重型机械公司</w:t>
            </w:r>
          </w:p>
        </w:tc>
        <w:tc>
          <w:tcPr>
            <w:tcW w:w="339" w:type="pct"/>
            <w:shd w:val="clear" w:color="auto" w:fill="auto"/>
            <w:vAlign w:val="center"/>
          </w:tcPr>
          <w:p>
            <w:pPr>
              <w:pStyle w:val="42"/>
              <w:rPr>
                <w:sz w:val="18"/>
                <w:szCs w:val="18"/>
              </w:rPr>
            </w:pPr>
            <w:r>
              <w:rPr>
                <w:sz w:val="18"/>
                <w:szCs w:val="18"/>
              </w:rPr>
              <w:t>15.15</w:t>
            </w:r>
          </w:p>
        </w:tc>
        <w:tc>
          <w:tcPr>
            <w:tcW w:w="301" w:type="pct"/>
            <w:shd w:val="clear" w:color="auto" w:fill="auto"/>
            <w:vAlign w:val="center"/>
          </w:tcPr>
          <w:p>
            <w:pPr>
              <w:pStyle w:val="42"/>
              <w:rPr>
                <w:sz w:val="18"/>
                <w:szCs w:val="18"/>
              </w:rPr>
            </w:pPr>
            <w:r>
              <w:rPr>
                <w:sz w:val="18"/>
                <w:szCs w:val="18"/>
              </w:rPr>
              <w:t>2.5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6" w:hRule="atLeast"/>
        </w:trPr>
        <w:tc>
          <w:tcPr>
            <w:tcW w:w="132" w:type="pct"/>
            <w:shd w:val="clear" w:color="auto" w:fill="auto"/>
          </w:tcPr>
          <w:p>
            <w:pPr>
              <w:pStyle w:val="42"/>
              <w:rPr>
                <w:sz w:val="18"/>
                <w:szCs w:val="18"/>
              </w:rPr>
            </w:pPr>
            <w:r>
              <w:rPr>
                <w:sz w:val="18"/>
                <w:szCs w:val="18"/>
              </w:rPr>
              <w:t>31</w:t>
            </w:r>
          </w:p>
        </w:tc>
        <w:tc>
          <w:tcPr>
            <w:tcW w:w="947" w:type="pct"/>
            <w:shd w:val="clear" w:color="auto" w:fill="auto"/>
            <w:vAlign w:val="center"/>
          </w:tcPr>
          <w:p>
            <w:pPr>
              <w:pStyle w:val="42"/>
              <w:rPr>
                <w:sz w:val="18"/>
                <w:szCs w:val="18"/>
              </w:rPr>
            </w:pPr>
            <w:r>
              <w:rPr>
                <w:rFonts w:hint="eastAsia"/>
                <w:sz w:val="18"/>
                <w:szCs w:val="18"/>
              </w:rPr>
              <w:t>重庆市腾龙砂轮厂</w:t>
            </w:r>
          </w:p>
        </w:tc>
        <w:tc>
          <w:tcPr>
            <w:tcW w:w="339" w:type="pct"/>
            <w:shd w:val="clear" w:color="auto" w:fill="auto"/>
            <w:vAlign w:val="center"/>
          </w:tcPr>
          <w:p>
            <w:pPr>
              <w:pStyle w:val="42"/>
              <w:rPr>
                <w:sz w:val="18"/>
                <w:szCs w:val="18"/>
              </w:rPr>
            </w:pPr>
            <w:r>
              <w:rPr>
                <w:sz w:val="18"/>
                <w:szCs w:val="18"/>
              </w:rPr>
              <w:t>6</w:t>
            </w:r>
          </w:p>
        </w:tc>
        <w:tc>
          <w:tcPr>
            <w:tcW w:w="301" w:type="pct"/>
            <w:shd w:val="clear" w:color="auto" w:fill="auto"/>
            <w:vAlign w:val="center"/>
          </w:tcPr>
          <w:p>
            <w:pPr>
              <w:pStyle w:val="42"/>
              <w:rPr>
                <w:sz w:val="18"/>
                <w:szCs w:val="18"/>
              </w:rPr>
            </w:pPr>
            <w:r>
              <w:rPr>
                <w:sz w:val="18"/>
                <w:szCs w:val="18"/>
              </w:rPr>
              <w:t>0.9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32</w:t>
            </w:r>
          </w:p>
        </w:tc>
        <w:tc>
          <w:tcPr>
            <w:tcW w:w="947" w:type="pct"/>
            <w:shd w:val="clear" w:color="auto" w:fill="auto"/>
            <w:vAlign w:val="center"/>
          </w:tcPr>
          <w:p>
            <w:pPr>
              <w:pStyle w:val="42"/>
              <w:rPr>
                <w:sz w:val="18"/>
                <w:szCs w:val="18"/>
              </w:rPr>
            </w:pPr>
            <w:r>
              <w:rPr>
                <w:rFonts w:hint="eastAsia"/>
                <w:sz w:val="18"/>
                <w:szCs w:val="18"/>
              </w:rPr>
              <w:t>重庆鸽牌公司</w:t>
            </w:r>
          </w:p>
        </w:tc>
        <w:tc>
          <w:tcPr>
            <w:tcW w:w="339" w:type="pct"/>
            <w:shd w:val="clear" w:color="auto" w:fill="auto"/>
            <w:vAlign w:val="center"/>
          </w:tcPr>
          <w:p>
            <w:pPr>
              <w:pStyle w:val="42"/>
              <w:rPr>
                <w:sz w:val="18"/>
                <w:szCs w:val="18"/>
              </w:rPr>
            </w:pPr>
            <w:r>
              <w:rPr>
                <w:sz w:val="18"/>
                <w:szCs w:val="18"/>
              </w:rPr>
              <w:t>20</w:t>
            </w:r>
          </w:p>
        </w:tc>
        <w:tc>
          <w:tcPr>
            <w:tcW w:w="301" w:type="pct"/>
            <w:shd w:val="clear" w:color="auto" w:fill="auto"/>
            <w:vAlign w:val="center"/>
          </w:tcPr>
          <w:p>
            <w:pPr>
              <w:pStyle w:val="42"/>
              <w:rPr>
                <w:sz w:val="18"/>
                <w:szCs w:val="18"/>
              </w:rPr>
            </w:pPr>
            <w:r>
              <w:rPr>
                <w:sz w:val="18"/>
                <w:szCs w:val="18"/>
              </w:rPr>
              <w:t>1.8</w:t>
            </w:r>
          </w:p>
        </w:tc>
        <w:tc>
          <w:tcPr>
            <w:tcW w:w="262" w:type="pct"/>
            <w:shd w:val="clear" w:color="auto" w:fill="auto"/>
            <w:vAlign w:val="center"/>
          </w:tcPr>
          <w:p>
            <w:pPr>
              <w:pStyle w:val="42"/>
              <w:rPr>
                <w:sz w:val="18"/>
                <w:szCs w:val="18"/>
              </w:rPr>
            </w:pPr>
            <w:r>
              <w:rPr>
                <w:sz w:val="18"/>
                <w:szCs w:val="18"/>
              </w:rPr>
              <w:t>1.8</w:t>
            </w:r>
          </w:p>
        </w:tc>
        <w:tc>
          <w:tcPr>
            <w:tcW w:w="301"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1.2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 w:hRule="atLeast"/>
        </w:trPr>
        <w:tc>
          <w:tcPr>
            <w:tcW w:w="132" w:type="pct"/>
            <w:shd w:val="clear" w:color="auto" w:fill="auto"/>
          </w:tcPr>
          <w:p>
            <w:pPr>
              <w:pStyle w:val="42"/>
              <w:rPr>
                <w:sz w:val="18"/>
                <w:szCs w:val="18"/>
              </w:rPr>
            </w:pPr>
            <w:r>
              <w:rPr>
                <w:sz w:val="18"/>
                <w:szCs w:val="18"/>
              </w:rPr>
              <w:t>33</w:t>
            </w:r>
          </w:p>
        </w:tc>
        <w:tc>
          <w:tcPr>
            <w:tcW w:w="947" w:type="pct"/>
            <w:shd w:val="clear" w:color="auto" w:fill="auto"/>
            <w:vAlign w:val="center"/>
          </w:tcPr>
          <w:p>
            <w:pPr>
              <w:pStyle w:val="42"/>
              <w:rPr>
                <w:sz w:val="18"/>
                <w:szCs w:val="18"/>
              </w:rPr>
            </w:pPr>
            <w:r>
              <w:rPr>
                <w:rFonts w:hint="eastAsia"/>
                <w:sz w:val="18"/>
                <w:szCs w:val="18"/>
              </w:rPr>
              <w:t>重庆山能仪表有限公司</w:t>
            </w:r>
          </w:p>
        </w:tc>
        <w:tc>
          <w:tcPr>
            <w:tcW w:w="339" w:type="pct"/>
            <w:shd w:val="clear" w:color="auto" w:fill="auto"/>
            <w:vAlign w:val="center"/>
          </w:tcPr>
          <w:p>
            <w:pPr>
              <w:pStyle w:val="42"/>
              <w:rPr>
                <w:sz w:val="18"/>
                <w:szCs w:val="18"/>
              </w:rPr>
            </w:pPr>
            <w:r>
              <w:rPr>
                <w:sz w:val="18"/>
                <w:szCs w:val="18"/>
              </w:rPr>
              <w:t>28.34</w:t>
            </w:r>
          </w:p>
        </w:tc>
        <w:tc>
          <w:tcPr>
            <w:tcW w:w="301" w:type="pct"/>
            <w:shd w:val="clear" w:color="auto" w:fill="auto"/>
            <w:vAlign w:val="center"/>
          </w:tcPr>
          <w:p>
            <w:pPr>
              <w:pStyle w:val="42"/>
              <w:rPr>
                <w:sz w:val="18"/>
                <w:szCs w:val="18"/>
              </w:rPr>
            </w:pPr>
            <w:r>
              <w:rPr>
                <w:sz w:val="18"/>
                <w:szCs w:val="18"/>
              </w:rPr>
              <w:t>0.51</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0.21</w:t>
            </w:r>
          </w:p>
        </w:tc>
        <w:tc>
          <w:tcPr>
            <w:tcW w:w="301" w:type="pct"/>
            <w:shd w:val="clear" w:color="auto" w:fill="auto"/>
            <w:vAlign w:val="center"/>
          </w:tcPr>
          <w:p>
            <w:pPr>
              <w:pStyle w:val="42"/>
              <w:rPr>
                <w:sz w:val="18"/>
                <w:szCs w:val="18"/>
              </w:rPr>
            </w:pPr>
            <w:r>
              <w:rPr>
                <w:sz w:val="18"/>
                <w:szCs w:val="18"/>
              </w:rPr>
              <w:t>0.5</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 w:hRule="atLeast"/>
        </w:trPr>
        <w:tc>
          <w:tcPr>
            <w:tcW w:w="132" w:type="pct"/>
            <w:shd w:val="clear" w:color="auto" w:fill="auto"/>
          </w:tcPr>
          <w:p>
            <w:pPr>
              <w:pStyle w:val="42"/>
              <w:rPr>
                <w:sz w:val="18"/>
                <w:szCs w:val="18"/>
              </w:rPr>
            </w:pPr>
            <w:r>
              <w:rPr>
                <w:sz w:val="18"/>
                <w:szCs w:val="18"/>
              </w:rPr>
              <w:t>34</w:t>
            </w:r>
          </w:p>
        </w:tc>
        <w:tc>
          <w:tcPr>
            <w:tcW w:w="947" w:type="pct"/>
            <w:shd w:val="clear" w:color="auto" w:fill="auto"/>
            <w:vAlign w:val="center"/>
          </w:tcPr>
          <w:p>
            <w:pPr>
              <w:pStyle w:val="42"/>
              <w:rPr>
                <w:sz w:val="18"/>
                <w:szCs w:val="18"/>
              </w:rPr>
            </w:pPr>
            <w:r>
              <w:rPr>
                <w:rFonts w:hint="eastAsia"/>
                <w:sz w:val="18"/>
                <w:szCs w:val="18"/>
              </w:rPr>
              <w:t>重庆鑫锭教学设备有限公司</w:t>
            </w:r>
          </w:p>
        </w:tc>
        <w:tc>
          <w:tcPr>
            <w:tcW w:w="339" w:type="pct"/>
            <w:shd w:val="clear" w:color="auto" w:fill="auto"/>
            <w:vAlign w:val="center"/>
          </w:tcPr>
          <w:p>
            <w:pPr>
              <w:pStyle w:val="42"/>
              <w:rPr>
                <w:sz w:val="18"/>
                <w:szCs w:val="18"/>
              </w:rPr>
            </w:pPr>
            <w:r>
              <w:rPr>
                <w:sz w:val="18"/>
                <w:szCs w:val="18"/>
              </w:rPr>
              <w:t>5</w:t>
            </w:r>
          </w:p>
        </w:tc>
        <w:tc>
          <w:tcPr>
            <w:tcW w:w="301" w:type="pct"/>
            <w:shd w:val="clear" w:color="auto" w:fill="auto"/>
            <w:vAlign w:val="center"/>
          </w:tcPr>
          <w:p>
            <w:pPr>
              <w:pStyle w:val="42"/>
              <w:rPr>
                <w:sz w:val="18"/>
                <w:szCs w:val="18"/>
              </w:rPr>
            </w:pPr>
            <w:r>
              <w:rPr>
                <w:sz w:val="18"/>
                <w:szCs w:val="18"/>
              </w:rPr>
              <w:t>0.135</w:t>
            </w:r>
          </w:p>
        </w:tc>
        <w:tc>
          <w:tcPr>
            <w:tcW w:w="262"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0.09</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35</w:t>
            </w:r>
          </w:p>
        </w:tc>
        <w:tc>
          <w:tcPr>
            <w:tcW w:w="947" w:type="pct"/>
            <w:shd w:val="clear" w:color="auto" w:fill="auto"/>
            <w:vAlign w:val="center"/>
          </w:tcPr>
          <w:p>
            <w:pPr>
              <w:pStyle w:val="42"/>
              <w:rPr>
                <w:sz w:val="18"/>
                <w:szCs w:val="18"/>
              </w:rPr>
            </w:pPr>
            <w:r>
              <w:rPr>
                <w:rFonts w:hint="eastAsia"/>
                <w:sz w:val="18"/>
                <w:szCs w:val="18"/>
              </w:rPr>
              <w:t>重庆一洋化工设备制造有限公司</w:t>
            </w:r>
          </w:p>
        </w:tc>
        <w:tc>
          <w:tcPr>
            <w:tcW w:w="339" w:type="pct"/>
            <w:shd w:val="clear" w:color="auto" w:fill="auto"/>
            <w:vAlign w:val="center"/>
          </w:tcPr>
          <w:p>
            <w:pPr>
              <w:pStyle w:val="42"/>
              <w:rPr>
                <w:sz w:val="18"/>
                <w:szCs w:val="18"/>
              </w:rPr>
            </w:pPr>
            <w:r>
              <w:rPr>
                <w:sz w:val="18"/>
                <w:szCs w:val="18"/>
              </w:rPr>
              <w:t>36.11</w:t>
            </w:r>
          </w:p>
        </w:tc>
        <w:tc>
          <w:tcPr>
            <w:tcW w:w="301" w:type="pct"/>
            <w:shd w:val="clear" w:color="auto" w:fill="auto"/>
            <w:vAlign w:val="center"/>
          </w:tcPr>
          <w:p>
            <w:pPr>
              <w:pStyle w:val="42"/>
              <w:rPr>
                <w:sz w:val="18"/>
                <w:szCs w:val="18"/>
              </w:rPr>
            </w:pPr>
            <w:r>
              <w:rPr>
                <w:sz w:val="18"/>
                <w:szCs w:val="18"/>
              </w:rPr>
              <w:t>0.65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36</w:t>
            </w:r>
          </w:p>
        </w:tc>
        <w:tc>
          <w:tcPr>
            <w:tcW w:w="947" w:type="pct"/>
            <w:shd w:val="clear" w:color="auto" w:fill="auto"/>
            <w:vAlign w:val="center"/>
          </w:tcPr>
          <w:p>
            <w:pPr>
              <w:pStyle w:val="42"/>
              <w:rPr>
                <w:sz w:val="18"/>
                <w:szCs w:val="18"/>
              </w:rPr>
            </w:pPr>
            <w:r>
              <w:rPr>
                <w:rFonts w:hint="eastAsia"/>
                <w:sz w:val="18"/>
                <w:szCs w:val="18"/>
              </w:rPr>
              <w:t>重庆航铸钢结构有限公司</w:t>
            </w:r>
          </w:p>
        </w:tc>
        <w:tc>
          <w:tcPr>
            <w:tcW w:w="339" w:type="pct"/>
            <w:shd w:val="clear" w:color="auto" w:fill="auto"/>
            <w:vAlign w:val="center"/>
          </w:tcPr>
          <w:p>
            <w:pPr>
              <w:pStyle w:val="42"/>
              <w:rPr>
                <w:sz w:val="18"/>
                <w:szCs w:val="18"/>
              </w:rPr>
            </w:pPr>
            <w:r>
              <w:rPr>
                <w:sz w:val="18"/>
                <w:szCs w:val="18"/>
              </w:rPr>
              <w:t>5.4</w:t>
            </w:r>
          </w:p>
        </w:tc>
        <w:tc>
          <w:tcPr>
            <w:tcW w:w="301" w:type="pct"/>
            <w:shd w:val="clear" w:color="auto" w:fill="auto"/>
            <w:vAlign w:val="center"/>
          </w:tcPr>
          <w:p>
            <w:pPr>
              <w:pStyle w:val="42"/>
              <w:rPr>
                <w:sz w:val="18"/>
                <w:szCs w:val="18"/>
              </w:rPr>
            </w:pPr>
            <w:r>
              <w:rPr>
                <w:sz w:val="18"/>
                <w:szCs w:val="18"/>
              </w:rPr>
              <w:t>0.41</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0.24</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37</w:t>
            </w:r>
          </w:p>
        </w:tc>
        <w:tc>
          <w:tcPr>
            <w:tcW w:w="947" w:type="pct"/>
            <w:shd w:val="clear" w:color="auto" w:fill="auto"/>
            <w:vAlign w:val="center"/>
          </w:tcPr>
          <w:p>
            <w:pPr>
              <w:pStyle w:val="42"/>
              <w:rPr>
                <w:sz w:val="18"/>
                <w:szCs w:val="18"/>
              </w:rPr>
            </w:pPr>
            <w:r>
              <w:rPr>
                <w:rFonts w:hint="eastAsia"/>
                <w:sz w:val="18"/>
                <w:szCs w:val="18"/>
              </w:rPr>
              <w:t>重庆钢铁集团</w:t>
            </w:r>
          </w:p>
        </w:tc>
        <w:tc>
          <w:tcPr>
            <w:tcW w:w="339" w:type="pct"/>
            <w:shd w:val="clear" w:color="auto" w:fill="auto"/>
            <w:vAlign w:val="center"/>
          </w:tcPr>
          <w:p>
            <w:pPr>
              <w:pStyle w:val="42"/>
              <w:rPr>
                <w:sz w:val="18"/>
                <w:szCs w:val="18"/>
              </w:rPr>
            </w:pPr>
            <w:r>
              <w:rPr>
                <w:sz w:val="18"/>
                <w:szCs w:val="18"/>
              </w:rPr>
              <w:t>420.12</w:t>
            </w:r>
          </w:p>
        </w:tc>
        <w:tc>
          <w:tcPr>
            <w:tcW w:w="301" w:type="pct"/>
            <w:shd w:val="clear" w:color="auto" w:fill="auto"/>
            <w:vAlign w:val="center"/>
          </w:tcPr>
          <w:p>
            <w:pPr>
              <w:pStyle w:val="42"/>
              <w:rPr>
                <w:sz w:val="18"/>
                <w:szCs w:val="18"/>
              </w:rPr>
            </w:pPr>
            <w:r>
              <w:rPr>
                <w:sz w:val="18"/>
                <w:szCs w:val="18"/>
              </w:rPr>
              <w:t>32.24</w:t>
            </w:r>
          </w:p>
        </w:tc>
        <w:tc>
          <w:tcPr>
            <w:tcW w:w="262" w:type="pct"/>
            <w:shd w:val="clear" w:color="auto" w:fill="auto"/>
            <w:vAlign w:val="center"/>
          </w:tcPr>
          <w:p>
            <w:pPr>
              <w:pStyle w:val="42"/>
              <w:rPr>
                <w:sz w:val="18"/>
                <w:szCs w:val="18"/>
              </w:rPr>
            </w:pPr>
            <w:r>
              <w:rPr>
                <w:sz w:val="18"/>
                <w:szCs w:val="18"/>
              </w:rPr>
              <w:t>4.85</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21.81</w:t>
            </w:r>
          </w:p>
        </w:tc>
        <w:tc>
          <w:tcPr>
            <w:tcW w:w="222" w:type="pct"/>
            <w:shd w:val="clear" w:color="auto" w:fill="auto"/>
            <w:vAlign w:val="center"/>
          </w:tcPr>
          <w:p>
            <w:pPr>
              <w:pStyle w:val="42"/>
              <w:rPr>
                <w:sz w:val="18"/>
                <w:szCs w:val="18"/>
              </w:rPr>
            </w:pPr>
            <w:r>
              <w:rPr>
                <w:sz w:val="18"/>
                <w:szCs w:val="18"/>
              </w:rPr>
              <w:t>1.46</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132" w:type="pct"/>
            <w:shd w:val="clear" w:color="auto" w:fill="auto"/>
          </w:tcPr>
          <w:p>
            <w:pPr>
              <w:pStyle w:val="42"/>
              <w:rPr>
                <w:sz w:val="18"/>
                <w:szCs w:val="18"/>
              </w:rPr>
            </w:pPr>
            <w:r>
              <w:rPr>
                <w:sz w:val="18"/>
                <w:szCs w:val="18"/>
              </w:rPr>
              <w:t>38</w:t>
            </w:r>
          </w:p>
        </w:tc>
        <w:tc>
          <w:tcPr>
            <w:tcW w:w="947" w:type="pct"/>
            <w:shd w:val="clear" w:color="auto" w:fill="auto"/>
            <w:vAlign w:val="center"/>
          </w:tcPr>
          <w:p>
            <w:pPr>
              <w:pStyle w:val="42"/>
              <w:rPr>
                <w:sz w:val="18"/>
                <w:szCs w:val="18"/>
              </w:rPr>
            </w:pPr>
            <w:r>
              <w:rPr>
                <w:rFonts w:hint="eastAsia"/>
                <w:sz w:val="18"/>
                <w:szCs w:val="18"/>
              </w:rPr>
              <w:t>重庆市明鑫泵业有限公司</w:t>
            </w:r>
          </w:p>
        </w:tc>
        <w:tc>
          <w:tcPr>
            <w:tcW w:w="339" w:type="pct"/>
            <w:shd w:val="clear" w:color="auto" w:fill="auto"/>
            <w:vAlign w:val="center"/>
          </w:tcPr>
          <w:p>
            <w:pPr>
              <w:pStyle w:val="42"/>
              <w:rPr>
                <w:sz w:val="18"/>
                <w:szCs w:val="18"/>
              </w:rPr>
            </w:pPr>
            <w:r>
              <w:rPr>
                <w:sz w:val="18"/>
                <w:szCs w:val="18"/>
              </w:rPr>
              <w:t>6.67</w:t>
            </w:r>
          </w:p>
        </w:tc>
        <w:tc>
          <w:tcPr>
            <w:tcW w:w="301" w:type="pct"/>
            <w:shd w:val="clear" w:color="auto" w:fill="auto"/>
            <w:vAlign w:val="center"/>
          </w:tcPr>
          <w:p>
            <w:pPr>
              <w:pStyle w:val="42"/>
              <w:rPr>
                <w:sz w:val="18"/>
                <w:szCs w:val="18"/>
              </w:rPr>
            </w:pPr>
            <w:r>
              <w:rPr>
                <w:sz w:val="18"/>
                <w:szCs w:val="18"/>
              </w:rPr>
              <w:t>1</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39</w:t>
            </w:r>
          </w:p>
        </w:tc>
        <w:tc>
          <w:tcPr>
            <w:tcW w:w="947" w:type="pct"/>
            <w:shd w:val="clear" w:color="auto" w:fill="auto"/>
            <w:vAlign w:val="center"/>
          </w:tcPr>
          <w:p>
            <w:pPr>
              <w:pStyle w:val="42"/>
              <w:rPr>
                <w:sz w:val="18"/>
                <w:szCs w:val="18"/>
              </w:rPr>
            </w:pPr>
            <w:r>
              <w:rPr>
                <w:rFonts w:hint="eastAsia"/>
                <w:sz w:val="18"/>
                <w:szCs w:val="18"/>
              </w:rPr>
              <w:t>重庆煜琨珑冶金材料有限公司</w:t>
            </w:r>
          </w:p>
        </w:tc>
        <w:tc>
          <w:tcPr>
            <w:tcW w:w="339" w:type="pct"/>
            <w:shd w:val="clear" w:color="auto" w:fill="auto"/>
            <w:vAlign w:val="center"/>
          </w:tcPr>
          <w:p>
            <w:pPr>
              <w:pStyle w:val="42"/>
              <w:rPr>
                <w:sz w:val="18"/>
                <w:szCs w:val="18"/>
              </w:rPr>
            </w:pPr>
            <w:r>
              <w:rPr>
                <w:sz w:val="18"/>
                <w:szCs w:val="18"/>
              </w:rPr>
              <w:t>0.9</w:t>
            </w:r>
          </w:p>
        </w:tc>
        <w:tc>
          <w:tcPr>
            <w:tcW w:w="301" w:type="pct"/>
            <w:shd w:val="clear" w:color="auto" w:fill="auto"/>
            <w:vAlign w:val="center"/>
          </w:tcPr>
          <w:p>
            <w:pPr>
              <w:pStyle w:val="42"/>
              <w:rPr>
                <w:sz w:val="18"/>
                <w:szCs w:val="18"/>
              </w:rPr>
            </w:pPr>
            <w:r>
              <w:rPr>
                <w:sz w:val="18"/>
                <w:szCs w:val="18"/>
              </w:rPr>
              <w:t>0.016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0.002</w:t>
            </w:r>
          </w:p>
        </w:tc>
        <w:tc>
          <w:tcPr>
            <w:tcW w:w="301" w:type="pct"/>
            <w:shd w:val="clear" w:color="auto" w:fill="auto"/>
            <w:vAlign w:val="center"/>
          </w:tcPr>
          <w:p>
            <w:pPr>
              <w:pStyle w:val="42"/>
              <w:rPr>
                <w:sz w:val="18"/>
                <w:szCs w:val="18"/>
              </w:rPr>
            </w:pPr>
            <w:r>
              <w:rPr>
                <w:sz w:val="18"/>
                <w:szCs w:val="18"/>
              </w:rPr>
              <w:t>0.005</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40</w:t>
            </w:r>
          </w:p>
        </w:tc>
        <w:tc>
          <w:tcPr>
            <w:tcW w:w="947" w:type="pct"/>
            <w:shd w:val="clear" w:color="auto" w:fill="auto"/>
            <w:vAlign w:val="center"/>
          </w:tcPr>
          <w:p>
            <w:pPr>
              <w:pStyle w:val="42"/>
              <w:rPr>
                <w:sz w:val="18"/>
                <w:szCs w:val="18"/>
              </w:rPr>
            </w:pPr>
            <w:r>
              <w:rPr>
                <w:rFonts w:hint="eastAsia"/>
                <w:sz w:val="18"/>
                <w:szCs w:val="18"/>
              </w:rPr>
              <w:t>重庆永宏石油化工设备有限公司</w:t>
            </w:r>
          </w:p>
        </w:tc>
        <w:tc>
          <w:tcPr>
            <w:tcW w:w="339" w:type="pct"/>
            <w:shd w:val="clear" w:color="auto" w:fill="auto"/>
            <w:vAlign w:val="center"/>
          </w:tcPr>
          <w:p>
            <w:pPr>
              <w:pStyle w:val="42"/>
              <w:rPr>
                <w:sz w:val="18"/>
                <w:szCs w:val="18"/>
              </w:rPr>
            </w:pPr>
            <w:r>
              <w:rPr>
                <w:sz w:val="18"/>
                <w:szCs w:val="18"/>
              </w:rPr>
              <w:t>15</w:t>
            </w:r>
          </w:p>
        </w:tc>
        <w:tc>
          <w:tcPr>
            <w:tcW w:w="301" w:type="pct"/>
            <w:shd w:val="clear" w:color="auto" w:fill="auto"/>
            <w:vAlign w:val="center"/>
          </w:tcPr>
          <w:p>
            <w:pPr>
              <w:pStyle w:val="42"/>
              <w:rPr>
                <w:sz w:val="18"/>
                <w:szCs w:val="18"/>
              </w:rPr>
            </w:pPr>
            <w:r>
              <w:rPr>
                <w:sz w:val="18"/>
                <w:szCs w:val="18"/>
              </w:rPr>
              <w:t>2.25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1.8</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41</w:t>
            </w:r>
          </w:p>
        </w:tc>
        <w:tc>
          <w:tcPr>
            <w:tcW w:w="947" w:type="pct"/>
            <w:shd w:val="clear" w:color="auto" w:fill="auto"/>
            <w:vAlign w:val="center"/>
          </w:tcPr>
          <w:p>
            <w:pPr>
              <w:pStyle w:val="42"/>
              <w:rPr>
                <w:sz w:val="18"/>
                <w:szCs w:val="18"/>
              </w:rPr>
            </w:pPr>
            <w:r>
              <w:rPr>
                <w:rFonts w:hint="eastAsia"/>
                <w:sz w:val="18"/>
                <w:szCs w:val="18"/>
              </w:rPr>
              <w:t>重庆环松科技工业公司</w:t>
            </w:r>
          </w:p>
        </w:tc>
        <w:tc>
          <w:tcPr>
            <w:tcW w:w="339" w:type="pct"/>
            <w:shd w:val="clear" w:color="auto" w:fill="auto"/>
            <w:vAlign w:val="center"/>
          </w:tcPr>
          <w:p>
            <w:pPr>
              <w:pStyle w:val="42"/>
              <w:rPr>
                <w:sz w:val="18"/>
                <w:szCs w:val="18"/>
              </w:rPr>
            </w:pPr>
            <w:r>
              <w:rPr>
                <w:sz w:val="18"/>
                <w:szCs w:val="18"/>
              </w:rPr>
              <w:t>887.88</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0.0002</w:t>
            </w:r>
          </w:p>
        </w:tc>
        <w:tc>
          <w:tcPr>
            <w:tcW w:w="226" w:type="pct"/>
            <w:shd w:val="clear" w:color="auto" w:fill="auto"/>
            <w:vAlign w:val="center"/>
          </w:tcPr>
          <w:p>
            <w:pPr>
              <w:pStyle w:val="42"/>
              <w:rPr>
                <w:sz w:val="18"/>
                <w:szCs w:val="18"/>
              </w:rPr>
            </w:pPr>
            <w:r>
              <w:rPr>
                <w:sz w:val="18"/>
                <w:szCs w:val="18"/>
              </w:rPr>
              <w:t>0.0004</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42</w:t>
            </w:r>
          </w:p>
        </w:tc>
        <w:tc>
          <w:tcPr>
            <w:tcW w:w="947" w:type="pct"/>
            <w:shd w:val="clear" w:color="auto" w:fill="auto"/>
            <w:vAlign w:val="center"/>
          </w:tcPr>
          <w:p>
            <w:pPr>
              <w:pStyle w:val="42"/>
              <w:rPr>
                <w:sz w:val="18"/>
                <w:szCs w:val="18"/>
              </w:rPr>
            </w:pPr>
            <w:r>
              <w:rPr>
                <w:rFonts w:hint="eastAsia"/>
                <w:sz w:val="18"/>
                <w:szCs w:val="18"/>
              </w:rPr>
              <w:t>重庆渝达动力机械厂、重庆六星动力机械有限公司</w:t>
            </w:r>
          </w:p>
        </w:tc>
        <w:tc>
          <w:tcPr>
            <w:tcW w:w="339" w:type="pct"/>
            <w:shd w:val="clear" w:color="auto" w:fill="auto"/>
            <w:vAlign w:val="center"/>
          </w:tcPr>
          <w:p>
            <w:pPr>
              <w:pStyle w:val="42"/>
              <w:rPr>
                <w:sz w:val="18"/>
                <w:szCs w:val="18"/>
              </w:rPr>
            </w:pPr>
            <w:r>
              <w:rPr>
                <w:sz w:val="18"/>
                <w:szCs w:val="18"/>
              </w:rPr>
              <w:t>20</w:t>
            </w:r>
          </w:p>
        </w:tc>
        <w:tc>
          <w:tcPr>
            <w:tcW w:w="301" w:type="pct"/>
            <w:shd w:val="clear" w:color="auto" w:fill="auto"/>
            <w:vAlign w:val="center"/>
          </w:tcPr>
          <w:p>
            <w:pPr>
              <w:pStyle w:val="42"/>
              <w:rPr>
                <w:sz w:val="18"/>
                <w:szCs w:val="18"/>
              </w:rPr>
            </w:pPr>
            <w:r>
              <w:rPr>
                <w:sz w:val="18"/>
                <w:szCs w:val="18"/>
              </w:rPr>
              <w:t>4.11</w:t>
            </w:r>
          </w:p>
        </w:tc>
        <w:tc>
          <w:tcPr>
            <w:tcW w:w="262" w:type="pct"/>
            <w:shd w:val="clear" w:color="auto" w:fill="auto"/>
            <w:vAlign w:val="center"/>
          </w:tcPr>
          <w:p>
            <w:pPr>
              <w:pStyle w:val="42"/>
              <w:rPr>
                <w:sz w:val="18"/>
                <w:szCs w:val="18"/>
              </w:rPr>
            </w:pPr>
            <w:r>
              <w:rPr>
                <w:sz w:val="18"/>
                <w:szCs w:val="18"/>
              </w:rPr>
              <w:t>0.19</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2.87</w:t>
            </w:r>
          </w:p>
        </w:tc>
        <w:tc>
          <w:tcPr>
            <w:tcW w:w="222" w:type="pct"/>
            <w:shd w:val="clear" w:color="auto" w:fill="auto"/>
            <w:vAlign w:val="center"/>
          </w:tcPr>
          <w:p>
            <w:pPr>
              <w:pStyle w:val="42"/>
              <w:rPr>
                <w:sz w:val="18"/>
                <w:szCs w:val="18"/>
              </w:rPr>
            </w:pPr>
            <w:r>
              <w:rPr>
                <w:sz w:val="18"/>
                <w:szCs w:val="18"/>
              </w:rPr>
              <w:t>1.55</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 w:hRule="atLeast"/>
        </w:trPr>
        <w:tc>
          <w:tcPr>
            <w:tcW w:w="132" w:type="pct"/>
            <w:shd w:val="clear" w:color="auto" w:fill="auto"/>
          </w:tcPr>
          <w:p>
            <w:pPr>
              <w:pStyle w:val="42"/>
              <w:rPr>
                <w:sz w:val="18"/>
                <w:szCs w:val="18"/>
              </w:rPr>
            </w:pPr>
            <w:r>
              <w:rPr>
                <w:sz w:val="18"/>
                <w:szCs w:val="18"/>
              </w:rPr>
              <w:t>43</w:t>
            </w:r>
          </w:p>
        </w:tc>
        <w:tc>
          <w:tcPr>
            <w:tcW w:w="947" w:type="pct"/>
            <w:shd w:val="clear" w:color="auto" w:fill="auto"/>
            <w:vAlign w:val="center"/>
          </w:tcPr>
          <w:p>
            <w:pPr>
              <w:pStyle w:val="42"/>
              <w:rPr>
                <w:sz w:val="18"/>
                <w:szCs w:val="18"/>
              </w:rPr>
            </w:pPr>
            <w:r>
              <w:rPr>
                <w:rFonts w:hint="eastAsia"/>
                <w:sz w:val="18"/>
                <w:szCs w:val="18"/>
              </w:rPr>
              <w:t>重庆钢铁（集团）三峰公司</w:t>
            </w:r>
          </w:p>
        </w:tc>
        <w:tc>
          <w:tcPr>
            <w:tcW w:w="339" w:type="pct"/>
            <w:shd w:val="clear" w:color="auto" w:fill="auto"/>
            <w:vAlign w:val="center"/>
          </w:tcPr>
          <w:p>
            <w:pPr>
              <w:pStyle w:val="42"/>
              <w:rPr>
                <w:sz w:val="18"/>
                <w:szCs w:val="18"/>
              </w:rPr>
            </w:pPr>
            <w:r>
              <w:rPr>
                <w:sz w:val="18"/>
                <w:szCs w:val="18"/>
              </w:rPr>
              <w:t>52.56</w:t>
            </w:r>
          </w:p>
        </w:tc>
        <w:tc>
          <w:tcPr>
            <w:tcW w:w="301" w:type="pct"/>
            <w:shd w:val="clear" w:color="auto" w:fill="auto"/>
            <w:vAlign w:val="center"/>
          </w:tcPr>
          <w:p>
            <w:pPr>
              <w:pStyle w:val="42"/>
              <w:rPr>
                <w:sz w:val="18"/>
                <w:szCs w:val="18"/>
              </w:rPr>
            </w:pPr>
            <w:r>
              <w:rPr>
                <w:sz w:val="18"/>
                <w:szCs w:val="18"/>
              </w:rPr>
              <w:t>1.15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0.86</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44</w:t>
            </w:r>
          </w:p>
        </w:tc>
        <w:tc>
          <w:tcPr>
            <w:tcW w:w="947" w:type="pct"/>
            <w:shd w:val="clear" w:color="auto" w:fill="auto"/>
            <w:vAlign w:val="center"/>
          </w:tcPr>
          <w:p>
            <w:pPr>
              <w:pStyle w:val="42"/>
              <w:rPr>
                <w:sz w:val="18"/>
                <w:szCs w:val="18"/>
              </w:rPr>
            </w:pPr>
            <w:r>
              <w:rPr>
                <w:rFonts w:hint="eastAsia"/>
                <w:sz w:val="18"/>
                <w:szCs w:val="18"/>
              </w:rPr>
              <w:t>重庆市九龙橡胶制品制造有限公司</w:t>
            </w:r>
          </w:p>
        </w:tc>
        <w:tc>
          <w:tcPr>
            <w:tcW w:w="339" w:type="pct"/>
            <w:shd w:val="clear" w:color="auto" w:fill="auto"/>
            <w:vAlign w:val="center"/>
          </w:tcPr>
          <w:p>
            <w:pPr>
              <w:pStyle w:val="42"/>
              <w:rPr>
                <w:sz w:val="18"/>
                <w:szCs w:val="18"/>
              </w:rPr>
            </w:pPr>
            <w:r>
              <w:rPr>
                <w:sz w:val="18"/>
                <w:szCs w:val="18"/>
              </w:rPr>
              <w:t>595.78</w:t>
            </w:r>
          </w:p>
        </w:tc>
        <w:tc>
          <w:tcPr>
            <w:tcW w:w="301" w:type="pct"/>
            <w:shd w:val="clear" w:color="auto" w:fill="auto"/>
            <w:vAlign w:val="center"/>
          </w:tcPr>
          <w:p>
            <w:pPr>
              <w:pStyle w:val="42"/>
              <w:rPr>
                <w:sz w:val="18"/>
                <w:szCs w:val="18"/>
              </w:rPr>
            </w:pPr>
            <w:r>
              <w:rPr>
                <w:sz w:val="18"/>
                <w:szCs w:val="18"/>
              </w:rPr>
              <w:t>4.13</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45</w:t>
            </w:r>
          </w:p>
        </w:tc>
        <w:tc>
          <w:tcPr>
            <w:tcW w:w="947" w:type="pct"/>
            <w:shd w:val="clear" w:color="auto" w:fill="auto"/>
            <w:vAlign w:val="center"/>
          </w:tcPr>
          <w:p>
            <w:pPr>
              <w:pStyle w:val="42"/>
              <w:rPr>
                <w:sz w:val="18"/>
                <w:szCs w:val="18"/>
              </w:rPr>
            </w:pPr>
            <w:r>
              <w:rPr>
                <w:rFonts w:hint="eastAsia"/>
                <w:sz w:val="18"/>
                <w:szCs w:val="18"/>
              </w:rPr>
              <w:t>正新橡胶（重庆）有限公司</w:t>
            </w:r>
          </w:p>
        </w:tc>
        <w:tc>
          <w:tcPr>
            <w:tcW w:w="339" w:type="pct"/>
            <w:shd w:val="clear" w:color="auto" w:fill="auto"/>
            <w:vAlign w:val="center"/>
          </w:tcPr>
          <w:p>
            <w:pPr>
              <w:pStyle w:val="42"/>
              <w:rPr>
                <w:sz w:val="18"/>
                <w:szCs w:val="18"/>
              </w:rPr>
            </w:pPr>
            <w:r>
              <w:rPr>
                <w:sz w:val="18"/>
                <w:szCs w:val="18"/>
              </w:rPr>
              <w:t>154.2</w:t>
            </w:r>
          </w:p>
        </w:tc>
        <w:tc>
          <w:tcPr>
            <w:tcW w:w="301" w:type="pct"/>
            <w:shd w:val="clear" w:color="auto" w:fill="auto"/>
            <w:vAlign w:val="center"/>
          </w:tcPr>
          <w:p>
            <w:pPr>
              <w:pStyle w:val="42"/>
              <w:rPr>
                <w:sz w:val="18"/>
                <w:szCs w:val="18"/>
              </w:rPr>
            </w:pPr>
            <w:r>
              <w:rPr>
                <w:sz w:val="18"/>
                <w:szCs w:val="18"/>
              </w:rPr>
              <w:t>3.38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0.85</w:t>
            </w:r>
          </w:p>
        </w:tc>
        <w:tc>
          <w:tcPr>
            <w:tcW w:w="301" w:type="pct"/>
            <w:shd w:val="clear" w:color="auto" w:fill="auto"/>
            <w:vAlign w:val="center"/>
          </w:tcPr>
          <w:p>
            <w:pPr>
              <w:pStyle w:val="42"/>
              <w:rPr>
                <w:sz w:val="18"/>
                <w:szCs w:val="18"/>
              </w:rPr>
            </w:pPr>
            <w:r>
              <w:rPr>
                <w:sz w:val="18"/>
                <w:szCs w:val="18"/>
              </w:rPr>
              <w:t>3.95</w:t>
            </w:r>
          </w:p>
        </w:tc>
        <w:tc>
          <w:tcPr>
            <w:tcW w:w="222" w:type="pct"/>
            <w:shd w:val="clear" w:color="auto" w:fill="auto"/>
            <w:vAlign w:val="center"/>
          </w:tcPr>
          <w:p>
            <w:pPr>
              <w:pStyle w:val="42"/>
              <w:rPr>
                <w:sz w:val="18"/>
                <w:szCs w:val="18"/>
              </w:rPr>
            </w:pPr>
            <w:r>
              <w:rPr>
                <w:sz w:val="18"/>
                <w:szCs w:val="18"/>
              </w:rPr>
              <w:t>0.065</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46</w:t>
            </w:r>
          </w:p>
        </w:tc>
        <w:tc>
          <w:tcPr>
            <w:tcW w:w="947" w:type="pct"/>
            <w:shd w:val="clear" w:color="auto" w:fill="auto"/>
            <w:vAlign w:val="center"/>
          </w:tcPr>
          <w:p>
            <w:pPr>
              <w:pStyle w:val="42"/>
              <w:rPr>
                <w:sz w:val="18"/>
                <w:szCs w:val="18"/>
              </w:rPr>
            </w:pPr>
            <w:r>
              <w:rPr>
                <w:rFonts w:hint="eastAsia"/>
                <w:sz w:val="18"/>
                <w:szCs w:val="18"/>
              </w:rPr>
              <w:t>重庆万斯金属特种成形有限公司</w:t>
            </w:r>
          </w:p>
        </w:tc>
        <w:tc>
          <w:tcPr>
            <w:tcW w:w="339" w:type="pct"/>
            <w:shd w:val="clear" w:color="auto" w:fill="auto"/>
            <w:vAlign w:val="center"/>
          </w:tcPr>
          <w:p>
            <w:pPr>
              <w:pStyle w:val="42"/>
              <w:rPr>
                <w:sz w:val="18"/>
                <w:szCs w:val="18"/>
              </w:rPr>
            </w:pPr>
            <w:r>
              <w:rPr>
                <w:sz w:val="18"/>
                <w:szCs w:val="18"/>
              </w:rPr>
              <w:t>57</w:t>
            </w:r>
          </w:p>
        </w:tc>
        <w:tc>
          <w:tcPr>
            <w:tcW w:w="301" w:type="pct"/>
            <w:shd w:val="clear" w:color="auto" w:fill="auto"/>
            <w:vAlign w:val="center"/>
          </w:tcPr>
          <w:p>
            <w:pPr>
              <w:pStyle w:val="42"/>
              <w:rPr>
                <w:sz w:val="18"/>
                <w:szCs w:val="18"/>
              </w:rPr>
            </w:pPr>
            <w:r>
              <w:rPr>
                <w:sz w:val="18"/>
                <w:szCs w:val="18"/>
              </w:rPr>
              <w:t>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4.3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132" w:type="pct"/>
            <w:shd w:val="clear" w:color="auto" w:fill="auto"/>
          </w:tcPr>
          <w:p>
            <w:pPr>
              <w:pStyle w:val="42"/>
              <w:rPr>
                <w:sz w:val="18"/>
                <w:szCs w:val="18"/>
              </w:rPr>
            </w:pPr>
            <w:r>
              <w:rPr>
                <w:sz w:val="18"/>
                <w:szCs w:val="18"/>
              </w:rPr>
              <w:t>47</w:t>
            </w:r>
          </w:p>
        </w:tc>
        <w:tc>
          <w:tcPr>
            <w:tcW w:w="947" w:type="pct"/>
            <w:shd w:val="clear" w:color="auto" w:fill="auto"/>
            <w:vAlign w:val="center"/>
          </w:tcPr>
          <w:p>
            <w:pPr>
              <w:pStyle w:val="42"/>
              <w:rPr>
                <w:sz w:val="18"/>
                <w:szCs w:val="18"/>
              </w:rPr>
            </w:pPr>
            <w:r>
              <w:rPr>
                <w:rFonts w:hint="eastAsia"/>
                <w:sz w:val="18"/>
                <w:szCs w:val="18"/>
              </w:rPr>
              <w:t>重庆基源环保科技有限公司</w:t>
            </w:r>
          </w:p>
        </w:tc>
        <w:tc>
          <w:tcPr>
            <w:tcW w:w="339" w:type="pct"/>
            <w:shd w:val="clear" w:color="auto" w:fill="auto"/>
            <w:vAlign w:val="center"/>
          </w:tcPr>
          <w:p>
            <w:pPr>
              <w:pStyle w:val="42"/>
              <w:rPr>
                <w:sz w:val="18"/>
                <w:szCs w:val="18"/>
              </w:rPr>
            </w:pPr>
            <w:r>
              <w:rPr>
                <w:sz w:val="18"/>
                <w:szCs w:val="18"/>
              </w:rPr>
              <w:t>24.55</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48</w:t>
            </w:r>
          </w:p>
        </w:tc>
        <w:tc>
          <w:tcPr>
            <w:tcW w:w="947" w:type="pct"/>
            <w:shd w:val="clear" w:color="auto" w:fill="auto"/>
            <w:vAlign w:val="center"/>
          </w:tcPr>
          <w:p>
            <w:pPr>
              <w:pStyle w:val="42"/>
              <w:rPr>
                <w:sz w:val="18"/>
                <w:szCs w:val="18"/>
              </w:rPr>
            </w:pPr>
            <w:r>
              <w:rPr>
                <w:rFonts w:hint="eastAsia"/>
                <w:sz w:val="18"/>
                <w:szCs w:val="18"/>
              </w:rPr>
              <w:t>重庆望江变压器有限公司</w:t>
            </w:r>
          </w:p>
        </w:tc>
        <w:tc>
          <w:tcPr>
            <w:tcW w:w="339" w:type="pct"/>
            <w:shd w:val="clear" w:color="auto" w:fill="auto"/>
            <w:vAlign w:val="center"/>
          </w:tcPr>
          <w:p>
            <w:pPr>
              <w:pStyle w:val="42"/>
              <w:rPr>
                <w:sz w:val="18"/>
                <w:szCs w:val="18"/>
              </w:rPr>
            </w:pPr>
            <w:r>
              <w:rPr>
                <w:sz w:val="18"/>
                <w:szCs w:val="18"/>
              </w:rPr>
              <w:t>42.88</w:t>
            </w:r>
          </w:p>
        </w:tc>
        <w:tc>
          <w:tcPr>
            <w:tcW w:w="301" w:type="pct"/>
            <w:shd w:val="clear" w:color="auto" w:fill="auto"/>
            <w:vAlign w:val="center"/>
          </w:tcPr>
          <w:p>
            <w:pPr>
              <w:pStyle w:val="42"/>
              <w:rPr>
                <w:sz w:val="18"/>
                <w:szCs w:val="18"/>
              </w:rPr>
            </w:pPr>
            <w:r>
              <w:rPr>
                <w:sz w:val="18"/>
                <w:szCs w:val="18"/>
              </w:rPr>
              <w:t>3.184</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0.23</w:t>
            </w:r>
          </w:p>
        </w:tc>
        <w:tc>
          <w:tcPr>
            <w:tcW w:w="301" w:type="pct"/>
            <w:shd w:val="clear" w:color="auto" w:fill="auto"/>
            <w:vAlign w:val="center"/>
          </w:tcPr>
          <w:p>
            <w:pPr>
              <w:pStyle w:val="42"/>
              <w:rPr>
                <w:sz w:val="18"/>
                <w:szCs w:val="18"/>
              </w:rPr>
            </w:pPr>
            <w:r>
              <w:rPr>
                <w:sz w:val="18"/>
                <w:szCs w:val="18"/>
              </w:rPr>
              <w:t>2.461</w:t>
            </w:r>
          </w:p>
        </w:tc>
        <w:tc>
          <w:tcPr>
            <w:tcW w:w="222" w:type="pct"/>
            <w:shd w:val="clear" w:color="auto" w:fill="auto"/>
            <w:vAlign w:val="center"/>
          </w:tcPr>
          <w:p>
            <w:pPr>
              <w:pStyle w:val="42"/>
              <w:rPr>
                <w:sz w:val="18"/>
                <w:szCs w:val="18"/>
              </w:rPr>
            </w:pPr>
            <w:r>
              <w:rPr>
                <w:sz w:val="18"/>
                <w:szCs w:val="18"/>
              </w:rPr>
              <w:t>0.018</w:t>
            </w:r>
          </w:p>
        </w:tc>
        <w:tc>
          <w:tcPr>
            <w:tcW w:w="301" w:type="pct"/>
            <w:shd w:val="clear" w:color="auto" w:fill="auto"/>
            <w:vAlign w:val="center"/>
          </w:tcPr>
          <w:p>
            <w:pPr>
              <w:pStyle w:val="42"/>
              <w:rPr>
                <w:sz w:val="18"/>
                <w:szCs w:val="18"/>
              </w:rPr>
            </w:pPr>
            <w:r>
              <w:rPr>
                <w:sz w:val="18"/>
                <w:szCs w:val="18"/>
              </w:rPr>
              <w:t>0.0001</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49</w:t>
            </w:r>
          </w:p>
        </w:tc>
        <w:tc>
          <w:tcPr>
            <w:tcW w:w="947" w:type="pct"/>
            <w:shd w:val="clear" w:color="auto" w:fill="auto"/>
            <w:vAlign w:val="center"/>
          </w:tcPr>
          <w:p>
            <w:pPr>
              <w:pStyle w:val="42"/>
              <w:rPr>
                <w:sz w:val="18"/>
                <w:szCs w:val="18"/>
              </w:rPr>
            </w:pPr>
            <w:r>
              <w:rPr>
                <w:rFonts w:hint="eastAsia"/>
                <w:sz w:val="18"/>
                <w:szCs w:val="18"/>
              </w:rPr>
              <w:t>永益</w:t>
            </w:r>
          </w:p>
        </w:tc>
        <w:tc>
          <w:tcPr>
            <w:tcW w:w="339" w:type="pct"/>
            <w:shd w:val="clear" w:color="auto" w:fill="auto"/>
            <w:vAlign w:val="center"/>
          </w:tcPr>
          <w:p>
            <w:pPr>
              <w:pStyle w:val="42"/>
              <w:rPr>
                <w:sz w:val="18"/>
                <w:szCs w:val="18"/>
              </w:rPr>
            </w:pPr>
            <w:r>
              <w:rPr>
                <w:sz w:val="18"/>
                <w:szCs w:val="18"/>
              </w:rPr>
              <w:t>22.27</w:t>
            </w:r>
          </w:p>
        </w:tc>
        <w:tc>
          <w:tcPr>
            <w:tcW w:w="301" w:type="pct"/>
            <w:shd w:val="clear" w:color="auto" w:fill="auto"/>
            <w:vAlign w:val="center"/>
          </w:tcPr>
          <w:p>
            <w:pPr>
              <w:pStyle w:val="42"/>
              <w:rPr>
                <w:sz w:val="18"/>
                <w:szCs w:val="18"/>
              </w:rPr>
            </w:pPr>
            <w:r>
              <w:rPr>
                <w:sz w:val="18"/>
                <w:szCs w:val="18"/>
              </w:rPr>
              <w:t>3.34</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2.67</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50</w:t>
            </w:r>
          </w:p>
        </w:tc>
        <w:tc>
          <w:tcPr>
            <w:tcW w:w="947" w:type="pct"/>
            <w:shd w:val="clear" w:color="auto" w:fill="auto"/>
            <w:vAlign w:val="center"/>
          </w:tcPr>
          <w:p>
            <w:pPr>
              <w:pStyle w:val="42"/>
              <w:rPr>
                <w:sz w:val="18"/>
                <w:szCs w:val="18"/>
              </w:rPr>
            </w:pPr>
            <w:r>
              <w:rPr>
                <w:rFonts w:hint="eastAsia"/>
                <w:sz w:val="18"/>
                <w:szCs w:val="18"/>
              </w:rPr>
              <w:t>重庆蓝渝汽车配件有限公司</w:t>
            </w:r>
          </w:p>
        </w:tc>
        <w:tc>
          <w:tcPr>
            <w:tcW w:w="339" w:type="pct"/>
            <w:shd w:val="clear" w:color="auto" w:fill="auto"/>
            <w:vAlign w:val="center"/>
          </w:tcPr>
          <w:p>
            <w:pPr>
              <w:pStyle w:val="42"/>
              <w:rPr>
                <w:sz w:val="18"/>
                <w:szCs w:val="18"/>
              </w:rPr>
            </w:pPr>
            <w:r>
              <w:rPr>
                <w:sz w:val="18"/>
                <w:szCs w:val="18"/>
              </w:rPr>
              <w:t>79.85</w:t>
            </w:r>
          </w:p>
        </w:tc>
        <w:tc>
          <w:tcPr>
            <w:tcW w:w="301" w:type="pct"/>
            <w:shd w:val="clear" w:color="auto" w:fill="auto"/>
            <w:vAlign w:val="center"/>
          </w:tcPr>
          <w:p>
            <w:pPr>
              <w:pStyle w:val="42"/>
              <w:rPr>
                <w:sz w:val="18"/>
                <w:szCs w:val="18"/>
              </w:rPr>
            </w:pPr>
            <w:r>
              <w:rPr>
                <w:sz w:val="18"/>
                <w:szCs w:val="18"/>
              </w:rPr>
              <w:t>10.38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0.52</w:t>
            </w:r>
          </w:p>
        </w:tc>
        <w:tc>
          <w:tcPr>
            <w:tcW w:w="301" w:type="pct"/>
            <w:shd w:val="clear" w:color="auto" w:fill="auto"/>
            <w:vAlign w:val="center"/>
          </w:tcPr>
          <w:p>
            <w:pPr>
              <w:pStyle w:val="42"/>
              <w:rPr>
                <w:sz w:val="18"/>
                <w:szCs w:val="18"/>
              </w:rPr>
            </w:pPr>
            <w:r>
              <w:rPr>
                <w:sz w:val="18"/>
                <w:szCs w:val="18"/>
              </w:rPr>
              <w:t>8.3</w:t>
            </w:r>
          </w:p>
        </w:tc>
        <w:tc>
          <w:tcPr>
            <w:tcW w:w="222" w:type="pct"/>
            <w:shd w:val="clear" w:color="auto" w:fill="auto"/>
            <w:vAlign w:val="center"/>
          </w:tcPr>
          <w:p>
            <w:pPr>
              <w:pStyle w:val="42"/>
              <w:rPr>
                <w:sz w:val="18"/>
                <w:szCs w:val="18"/>
              </w:rPr>
            </w:pPr>
            <w:r>
              <w:rPr>
                <w:sz w:val="18"/>
                <w:szCs w:val="18"/>
              </w:rPr>
              <w:t>0.14</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0.52</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51</w:t>
            </w:r>
          </w:p>
        </w:tc>
        <w:tc>
          <w:tcPr>
            <w:tcW w:w="947" w:type="pct"/>
            <w:shd w:val="clear" w:color="auto" w:fill="auto"/>
            <w:vAlign w:val="center"/>
          </w:tcPr>
          <w:p>
            <w:pPr>
              <w:pStyle w:val="42"/>
              <w:rPr>
                <w:sz w:val="18"/>
                <w:szCs w:val="18"/>
              </w:rPr>
            </w:pPr>
            <w:r>
              <w:rPr>
                <w:rFonts w:hint="eastAsia"/>
                <w:sz w:val="18"/>
                <w:szCs w:val="18"/>
              </w:rPr>
              <w:t>深圳日发机电制造有限公司重庆分公司</w:t>
            </w:r>
          </w:p>
        </w:tc>
        <w:tc>
          <w:tcPr>
            <w:tcW w:w="339" w:type="pct"/>
            <w:shd w:val="clear" w:color="auto" w:fill="auto"/>
            <w:vAlign w:val="center"/>
          </w:tcPr>
          <w:p>
            <w:pPr>
              <w:pStyle w:val="42"/>
              <w:rPr>
                <w:sz w:val="18"/>
                <w:szCs w:val="18"/>
              </w:rPr>
            </w:pPr>
            <w:r>
              <w:rPr>
                <w:sz w:val="18"/>
                <w:szCs w:val="18"/>
              </w:rPr>
              <w:t>27</w:t>
            </w:r>
          </w:p>
        </w:tc>
        <w:tc>
          <w:tcPr>
            <w:tcW w:w="301" w:type="pct"/>
            <w:shd w:val="clear" w:color="auto" w:fill="auto"/>
            <w:vAlign w:val="center"/>
          </w:tcPr>
          <w:p>
            <w:pPr>
              <w:pStyle w:val="42"/>
              <w:rPr>
                <w:sz w:val="18"/>
                <w:szCs w:val="18"/>
              </w:rPr>
            </w:pPr>
            <w:r>
              <w:rPr>
                <w:sz w:val="18"/>
                <w:szCs w:val="18"/>
              </w:rPr>
              <w:t>1.78</w:t>
            </w:r>
          </w:p>
        </w:tc>
        <w:tc>
          <w:tcPr>
            <w:tcW w:w="262" w:type="pct"/>
            <w:vAlign w:val="center"/>
          </w:tcPr>
          <w:p>
            <w:pPr>
              <w:pStyle w:val="42"/>
              <w:rPr>
                <w:sz w:val="18"/>
                <w:szCs w:val="18"/>
              </w:rPr>
            </w:pPr>
          </w:p>
        </w:tc>
        <w:tc>
          <w:tcPr>
            <w:tcW w:w="301" w:type="pct"/>
            <w:shd w:val="clear" w:color="auto" w:fill="auto"/>
            <w:vAlign w:val="center"/>
          </w:tcPr>
          <w:p>
            <w:pPr>
              <w:pStyle w:val="42"/>
              <w:rPr>
                <w:sz w:val="18"/>
                <w:szCs w:val="18"/>
              </w:rPr>
            </w:pPr>
            <w:r>
              <w:rPr>
                <w:sz w:val="18"/>
                <w:szCs w:val="18"/>
              </w:rPr>
              <w:t>0.2</w:t>
            </w:r>
          </w:p>
        </w:tc>
        <w:tc>
          <w:tcPr>
            <w:tcW w:w="301" w:type="pct"/>
            <w:shd w:val="clear" w:color="auto" w:fill="auto"/>
            <w:vAlign w:val="center"/>
          </w:tcPr>
          <w:p>
            <w:pPr>
              <w:pStyle w:val="42"/>
              <w:rPr>
                <w:sz w:val="18"/>
                <w:szCs w:val="18"/>
              </w:rPr>
            </w:pPr>
            <w:r>
              <w:rPr>
                <w:sz w:val="18"/>
                <w:szCs w:val="18"/>
              </w:rPr>
              <w:t>0.49</w:t>
            </w:r>
          </w:p>
        </w:tc>
        <w:tc>
          <w:tcPr>
            <w:tcW w:w="222" w:type="pct"/>
            <w:vAlign w:val="center"/>
          </w:tcPr>
          <w:p>
            <w:pPr>
              <w:pStyle w:val="42"/>
              <w:rPr>
                <w:sz w:val="18"/>
                <w:szCs w:val="18"/>
              </w:rPr>
            </w:pPr>
          </w:p>
        </w:tc>
        <w:tc>
          <w:tcPr>
            <w:tcW w:w="301" w:type="pct"/>
            <w:vAlign w:val="center"/>
          </w:tcPr>
          <w:p>
            <w:pPr>
              <w:pStyle w:val="42"/>
              <w:rPr>
                <w:sz w:val="18"/>
                <w:szCs w:val="18"/>
              </w:rPr>
            </w:pPr>
          </w:p>
        </w:tc>
        <w:tc>
          <w:tcPr>
            <w:tcW w:w="226" w:type="pct"/>
            <w:vAlign w:val="center"/>
          </w:tcPr>
          <w:p>
            <w:pPr>
              <w:pStyle w:val="42"/>
              <w:rPr>
                <w:sz w:val="18"/>
                <w:szCs w:val="18"/>
              </w:rPr>
            </w:pPr>
          </w:p>
        </w:tc>
        <w:tc>
          <w:tcPr>
            <w:tcW w:w="181" w:type="pct"/>
            <w:vAlign w:val="center"/>
          </w:tcPr>
          <w:p>
            <w:pPr>
              <w:pStyle w:val="42"/>
              <w:rPr>
                <w:sz w:val="18"/>
                <w:szCs w:val="18"/>
              </w:rPr>
            </w:pPr>
          </w:p>
        </w:tc>
        <w:tc>
          <w:tcPr>
            <w:tcW w:w="264" w:type="pct"/>
            <w:vAlign w:val="center"/>
          </w:tcPr>
          <w:p>
            <w:pPr>
              <w:pStyle w:val="42"/>
              <w:rPr>
                <w:sz w:val="18"/>
                <w:szCs w:val="18"/>
              </w:rPr>
            </w:pPr>
          </w:p>
        </w:tc>
        <w:tc>
          <w:tcPr>
            <w:tcW w:w="280" w:type="pct"/>
            <w:vAlign w:val="center"/>
          </w:tcPr>
          <w:p>
            <w:pPr>
              <w:pStyle w:val="42"/>
              <w:rPr>
                <w:sz w:val="18"/>
                <w:szCs w:val="18"/>
              </w:rPr>
            </w:pPr>
          </w:p>
        </w:tc>
        <w:tc>
          <w:tcPr>
            <w:tcW w:w="302" w:type="pct"/>
            <w:vAlign w:val="center"/>
          </w:tcPr>
          <w:p>
            <w:pPr>
              <w:pStyle w:val="42"/>
              <w:rPr>
                <w:sz w:val="18"/>
                <w:szCs w:val="18"/>
              </w:rPr>
            </w:pP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52</w:t>
            </w:r>
          </w:p>
        </w:tc>
        <w:tc>
          <w:tcPr>
            <w:tcW w:w="947" w:type="pct"/>
            <w:shd w:val="clear" w:color="auto" w:fill="auto"/>
            <w:vAlign w:val="center"/>
          </w:tcPr>
          <w:p>
            <w:pPr>
              <w:pStyle w:val="42"/>
              <w:rPr>
                <w:sz w:val="18"/>
                <w:szCs w:val="18"/>
              </w:rPr>
            </w:pPr>
            <w:r>
              <w:rPr>
                <w:rFonts w:hint="eastAsia"/>
                <w:sz w:val="18"/>
                <w:szCs w:val="18"/>
              </w:rPr>
              <w:t>重庆萱海塑胶制品有限公司</w:t>
            </w:r>
          </w:p>
        </w:tc>
        <w:tc>
          <w:tcPr>
            <w:tcW w:w="339" w:type="pct"/>
            <w:shd w:val="clear" w:color="auto" w:fill="auto"/>
            <w:vAlign w:val="center"/>
          </w:tcPr>
          <w:p>
            <w:pPr>
              <w:pStyle w:val="42"/>
              <w:rPr>
                <w:sz w:val="18"/>
                <w:szCs w:val="18"/>
              </w:rPr>
            </w:pPr>
            <w:r>
              <w:rPr>
                <w:sz w:val="18"/>
                <w:szCs w:val="18"/>
              </w:rPr>
              <w:t>4.79</w:t>
            </w:r>
          </w:p>
        </w:tc>
        <w:tc>
          <w:tcPr>
            <w:tcW w:w="301" w:type="pct"/>
            <w:shd w:val="clear" w:color="auto" w:fill="auto"/>
            <w:vAlign w:val="center"/>
          </w:tcPr>
          <w:p>
            <w:pPr>
              <w:pStyle w:val="42"/>
              <w:rPr>
                <w:sz w:val="18"/>
                <w:szCs w:val="18"/>
              </w:rPr>
            </w:pPr>
            <w:r>
              <w:rPr>
                <w:sz w:val="18"/>
                <w:szCs w:val="18"/>
              </w:rPr>
              <w:t>0.09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0.01</w:t>
            </w:r>
          </w:p>
        </w:tc>
        <w:tc>
          <w:tcPr>
            <w:tcW w:w="301" w:type="pct"/>
            <w:shd w:val="clear" w:color="auto" w:fill="auto"/>
            <w:vAlign w:val="center"/>
          </w:tcPr>
          <w:p>
            <w:pPr>
              <w:pStyle w:val="42"/>
              <w:rPr>
                <w:sz w:val="18"/>
                <w:szCs w:val="18"/>
              </w:rPr>
            </w:pPr>
            <w:r>
              <w:rPr>
                <w:sz w:val="18"/>
                <w:szCs w:val="18"/>
              </w:rPr>
              <w:t>0.03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53</w:t>
            </w:r>
          </w:p>
        </w:tc>
        <w:tc>
          <w:tcPr>
            <w:tcW w:w="947" w:type="pct"/>
            <w:shd w:val="clear" w:color="auto" w:fill="auto"/>
            <w:vAlign w:val="center"/>
          </w:tcPr>
          <w:p>
            <w:pPr>
              <w:pStyle w:val="42"/>
              <w:rPr>
                <w:sz w:val="18"/>
                <w:szCs w:val="18"/>
              </w:rPr>
            </w:pPr>
            <w:r>
              <w:rPr>
                <w:rFonts w:hint="eastAsia"/>
                <w:sz w:val="18"/>
                <w:szCs w:val="18"/>
              </w:rPr>
              <w:t>重庆瀚海机械制造有限公司</w:t>
            </w:r>
          </w:p>
        </w:tc>
        <w:tc>
          <w:tcPr>
            <w:tcW w:w="339"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0.086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0.097</w:t>
            </w:r>
          </w:p>
        </w:tc>
        <w:tc>
          <w:tcPr>
            <w:tcW w:w="301" w:type="pct"/>
            <w:shd w:val="clear" w:color="auto" w:fill="auto"/>
            <w:vAlign w:val="center"/>
          </w:tcPr>
          <w:p>
            <w:pPr>
              <w:pStyle w:val="42"/>
              <w:rPr>
                <w:sz w:val="18"/>
                <w:szCs w:val="18"/>
              </w:rPr>
            </w:pPr>
            <w:r>
              <w:rPr>
                <w:sz w:val="18"/>
                <w:szCs w:val="18"/>
              </w:rPr>
              <w:t>0.011</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 w:hRule="atLeast"/>
        </w:trPr>
        <w:tc>
          <w:tcPr>
            <w:tcW w:w="132" w:type="pct"/>
            <w:shd w:val="clear" w:color="auto" w:fill="auto"/>
          </w:tcPr>
          <w:p>
            <w:pPr>
              <w:pStyle w:val="42"/>
              <w:rPr>
                <w:sz w:val="18"/>
                <w:szCs w:val="18"/>
              </w:rPr>
            </w:pPr>
            <w:r>
              <w:rPr>
                <w:sz w:val="18"/>
                <w:szCs w:val="18"/>
              </w:rPr>
              <w:t>54</w:t>
            </w:r>
          </w:p>
        </w:tc>
        <w:tc>
          <w:tcPr>
            <w:tcW w:w="947" w:type="pct"/>
            <w:shd w:val="clear" w:color="auto" w:fill="auto"/>
            <w:vAlign w:val="center"/>
          </w:tcPr>
          <w:p>
            <w:pPr>
              <w:pStyle w:val="42"/>
              <w:rPr>
                <w:sz w:val="18"/>
                <w:szCs w:val="18"/>
              </w:rPr>
            </w:pPr>
            <w:r>
              <w:rPr>
                <w:rFonts w:hint="eastAsia"/>
                <w:sz w:val="18"/>
                <w:szCs w:val="18"/>
              </w:rPr>
              <w:t>重庆启蓝塑料有限公司</w:t>
            </w:r>
          </w:p>
        </w:tc>
        <w:tc>
          <w:tcPr>
            <w:tcW w:w="339"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0.176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0.015</w:t>
            </w:r>
          </w:p>
        </w:tc>
        <w:tc>
          <w:tcPr>
            <w:tcW w:w="301" w:type="pct"/>
            <w:shd w:val="clear" w:color="auto" w:fill="auto"/>
            <w:vAlign w:val="center"/>
          </w:tcPr>
          <w:p>
            <w:pPr>
              <w:pStyle w:val="42"/>
              <w:rPr>
                <w:sz w:val="18"/>
                <w:szCs w:val="18"/>
              </w:rPr>
            </w:pPr>
            <w:r>
              <w:rPr>
                <w:sz w:val="18"/>
                <w:szCs w:val="18"/>
              </w:rPr>
              <w:t>0.105</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55</w:t>
            </w:r>
          </w:p>
        </w:tc>
        <w:tc>
          <w:tcPr>
            <w:tcW w:w="947" w:type="pct"/>
            <w:shd w:val="clear" w:color="auto" w:fill="auto"/>
            <w:vAlign w:val="center"/>
          </w:tcPr>
          <w:p>
            <w:pPr>
              <w:pStyle w:val="42"/>
              <w:rPr>
                <w:sz w:val="18"/>
                <w:szCs w:val="18"/>
              </w:rPr>
            </w:pPr>
            <w:r>
              <w:rPr>
                <w:rFonts w:hint="eastAsia"/>
                <w:sz w:val="18"/>
                <w:szCs w:val="18"/>
              </w:rPr>
              <w:t>重庆华申皮革制品有限公司</w:t>
            </w:r>
          </w:p>
        </w:tc>
        <w:tc>
          <w:tcPr>
            <w:tcW w:w="339" w:type="pct"/>
            <w:shd w:val="clear" w:color="auto" w:fill="auto"/>
            <w:vAlign w:val="center"/>
          </w:tcPr>
          <w:p>
            <w:pPr>
              <w:pStyle w:val="42"/>
              <w:rPr>
                <w:sz w:val="18"/>
                <w:szCs w:val="18"/>
              </w:rPr>
            </w:pPr>
            <w:r>
              <w:rPr>
                <w:sz w:val="18"/>
                <w:szCs w:val="18"/>
              </w:rPr>
              <w:t>8.1</w:t>
            </w:r>
          </w:p>
        </w:tc>
        <w:tc>
          <w:tcPr>
            <w:tcW w:w="301" w:type="pct"/>
            <w:shd w:val="clear" w:color="auto" w:fill="auto"/>
            <w:vAlign w:val="center"/>
          </w:tcPr>
          <w:p>
            <w:pPr>
              <w:pStyle w:val="42"/>
              <w:rPr>
                <w:sz w:val="18"/>
                <w:szCs w:val="18"/>
              </w:rPr>
            </w:pPr>
            <w:r>
              <w:rPr>
                <w:sz w:val="18"/>
                <w:szCs w:val="18"/>
              </w:rPr>
              <w:t>0.19</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0.02</w:t>
            </w:r>
          </w:p>
        </w:tc>
        <w:tc>
          <w:tcPr>
            <w:tcW w:w="301" w:type="pct"/>
            <w:shd w:val="clear" w:color="auto" w:fill="auto"/>
            <w:vAlign w:val="center"/>
          </w:tcPr>
          <w:p>
            <w:pPr>
              <w:pStyle w:val="42"/>
              <w:rPr>
                <w:sz w:val="18"/>
                <w:szCs w:val="18"/>
              </w:rPr>
            </w:pPr>
            <w:r>
              <w:rPr>
                <w:sz w:val="18"/>
                <w:szCs w:val="18"/>
              </w:rPr>
              <w:t>0.05</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56</w:t>
            </w:r>
          </w:p>
        </w:tc>
        <w:tc>
          <w:tcPr>
            <w:tcW w:w="947" w:type="pct"/>
            <w:shd w:val="clear" w:color="auto" w:fill="auto"/>
            <w:vAlign w:val="center"/>
          </w:tcPr>
          <w:p>
            <w:pPr>
              <w:pStyle w:val="42"/>
              <w:rPr>
                <w:sz w:val="18"/>
                <w:szCs w:val="18"/>
              </w:rPr>
            </w:pPr>
            <w:r>
              <w:rPr>
                <w:rFonts w:hint="eastAsia"/>
                <w:sz w:val="18"/>
                <w:szCs w:val="18"/>
              </w:rPr>
              <w:t>重庆国际复合材料有限公司</w:t>
            </w:r>
          </w:p>
        </w:tc>
        <w:tc>
          <w:tcPr>
            <w:tcW w:w="339" w:type="pct"/>
            <w:shd w:val="clear" w:color="auto" w:fill="auto"/>
            <w:vAlign w:val="center"/>
          </w:tcPr>
          <w:p>
            <w:pPr>
              <w:pStyle w:val="42"/>
              <w:rPr>
                <w:sz w:val="18"/>
                <w:szCs w:val="18"/>
              </w:rPr>
            </w:pPr>
            <w:r>
              <w:rPr>
                <w:sz w:val="18"/>
                <w:szCs w:val="18"/>
              </w:rPr>
              <w:t>6761.79</w:t>
            </w:r>
          </w:p>
        </w:tc>
        <w:tc>
          <w:tcPr>
            <w:tcW w:w="301" w:type="pct"/>
            <w:shd w:val="clear" w:color="auto" w:fill="auto"/>
            <w:vAlign w:val="center"/>
          </w:tcPr>
          <w:p>
            <w:pPr>
              <w:pStyle w:val="42"/>
              <w:rPr>
                <w:sz w:val="18"/>
                <w:szCs w:val="18"/>
              </w:rPr>
            </w:pPr>
            <w:r>
              <w:rPr>
                <w:sz w:val="18"/>
                <w:szCs w:val="18"/>
              </w:rPr>
              <w:t>197.94</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15.59</w:t>
            </w:r>
          </w:p>
        </w:tc>
        <w:tc>
          <w:tcPr>
            <w:tcW w:w="301" w:type="pct"/>
            <w:shd w:val="clear" w:color="auto" w:fill="auto"/>
            <w:vAlign w:val="center"/>
          </w:tcPr>
          <w:p>
            <w:pPr>
              <w:pStyle w:val="42"/>
              <w:rPr>
                <w:sz w:val="18"/>
                <w:szCs w:val="18"/>
              </w:rPr>
            </w:pPr>
            <w:r>
              <w:rPr>
                <w:sz w:val="18"/>
                <w:szCs w:val="18"/>
              </w:rPr>
              <w:t>72.74</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57</w:t>
            </w:r>
          </w:p>
        </w:tc>
        <w:tc>
          <w:tcPr>
            <w:tcW w:w="947" w:type="pct"/>
            <w:shd w:val="clear" w:color="auto" w:fill="auto"/>
            <w:vAlign w:val="center"/>
          </w:tcPr>
          <w:p>
            <w:pPr>
              <w:pStyle w:val="42"/>
              <w:rPr>
                <w:sz w:val="18"/>
                <w:szCs w:val="18"/>
              </w:rPr>
            </w:pPr>
            <w:r>
              <w:rPr>
                <w:rFonts w:hint="eastAsia"/>
                <w:sz w:val="18"/>
                <w:szCs w:val="18"/>
              </w:rPr>
              <w:t>重庆百年水晶玻璃公司</w:t>
            </w:r>
          </w:p>
        </w:tc>
        <w:tc>
          <w:tcPr>
            <w:tcW w:w="339" w:type="pct"/>
            <w:shd w:val="clear" w:color="auto" w:fill="auto"/>
            <w:vAlign w:val="center"/>
          </w:tcPr>
          <w:p>
            <w:pPr>
              <w:pStyle w:val="42"/>
              <w:rPr>
                <w:sz w:val="18"/>
                <w:szCs w:val="18"/>
              </w:rPr>
            </w:pPr>
            <w:r>
              <w:rPr>
                <w:sz w:val="18"/>
                <w:szCs w:val="18"/>
              </w:rPr>
              <w:t>11</w:t>
            </w:r>
          </w:p>
        </w:tc>
        <w:tc>
          <w:tcPr>
            <w:tcW w:w="301" w:type="pct"/>
            <w:shd w:val="clear" w:color="auto" w:fill="auto"/>
            <w:vAlign w:val="center"/>
          </w:tcPr>
          <w:p>
            <w:pPr>
              <w:pStyle w:val="42"/>
              <w:rPr>
                <w:sz w:val="18"/>
                <w:szCs w:val="18"/>
              </w:rPr>
            </w:pPr>
            <w:r>
              <w:rPr>
                <w:sz w:val="18"/>
                <w:szCs w:val="18"/>
              </w:rPr>
              <w:t>0.825</w:t>
            </w:r>
          </w:p>
        </w:tc>
        <w:tc>
          <w:tcPr>
            <w:tcW w:w="262" w:type="pct"/>
            <w:shd w:val="clear" w:color="auto" w:fill="auto"/>
            <w:vAlign w:val="center"/>
          </w:tcPr>
          <w:p>
            <w:pPr>
              <w:pStyle w:val="42"/>
              <w:rPr>
                <w:sz w:val="18"/>
                <w:szCs w:val="18"/>
              </w:rPr>
            </w:pPr>
            <w:r>
              <w:rPr>
                <w:sz w:val="18"/>
                <w:szCs w:val="18"/>
              </w:rPr>
              <w:t>0.7</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0.627</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 w:hRule="atLeast"/>
        </w:trPr>
        <w:tc>
          <w:tcPr>
            <w:tcW w:w="132" w:type="pct"/>
            <w:shd w:val="clear" w:color="auto" w:fill="auto"/>
          </w:tcPr>
          <w:p>
            <w:pPr>
              <w:pStyle w:val="42"/>
              <w:rPr>
                <w:sz w:val="18"/>
                <w:szCs w:val="18"/>
              </w:rPr>
            </w:pPr>
            <w:r>
              <w:rPr>
                <w:sz w:val="18"/>
                <w:szCs w:val="18"/>
              </w:rPr>
              <w:t>58</w:t>
            </w:r>
          </w:p>
        </w:tc>
        <w:tc>
          <w:tcPr>
            <w:tcW w:w="947" w:type="pct"/>
            <w:shd w:val="clear" w:color="auto" w:fill="auto"/>
            <w:vAlign w:val="center"/>
          </w:tcPr>
          <w:p>
            <w:pPr>
              <w:pStyle w:val="42"/>
              <w:rPr>
                <w:sz w:val="18"/>
                <w:szCs w:val="18"/>
              </w:rPr>
            </w:pPr>
            <w:r>
              <w:rPr>
                <w:rFonts w:hint="eastAsia"/>
                <w:sz w:val="18"/>
                <w:szCs w:val="18"/>
              </w:rPr>
              <w:t>重庆重华玻璃纤维有限公司</w:t>
            </w:r>
          </w:p>
        </w:tc>
        <w:tc>
          <w:tcPr>
            <w:tcW w:w="339" w:type="pct"/>
            <w:shd w:val="clear" w:color="auto" w:fill="auto"/>
            <w:vAlign w:val="center"/>
          </w:tcPr>
          <w:p>
            <w:pPr>
              <w:pStyle w:val="42"/>
              <w:rPr>
                <w:sz w:val="18"/>
                <w:szCs w:val="18"/>
              </w:rPr>
            </w:pPr>
            <w:r>
              <w:rPr>
                <w:sz w:val="18"/>
                <w:szCs w:val="18"/>
              </w:rPr>
              <w:t>12</w:t>
            </w:r>
          </w:p>
        </w:tc>
        <w:tc>
          <w:tcPr>
            <w:tcW w:w="301" w:type="pct"/>
            <w:shd w:val="clear" w:color="auto" w:fill="auto"/>
            <w:vAlign w:val="center"/>
          </w:tcPr>
          <w:p>
            <w:pPr>
              <w:pStyle w:val="42"/>
              <w:rPr>
                <w:sz w:val="18"/>
                <w:szCs w:val="18"/>
              </w:rPr>
            </w:pPr>
            <w:r>
              <w:rPr>
                <w:sz w:val="18"/>
                <w:szCs w:val="18"/>
              </w:rPr>
              <w:t>2.4</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0.12</w:t>
            </w:r>
          </w:p>
        </w:tc>
        <w:tc>
          <w:tcPr>
            <w:tcW w:w="301" w:type="pct"/>
            <w:shd w:val="clear" w:color="auto" w:fill="auto"/>
            <w:vAlign w:val="center"/>
          </w:tcPr>
          <w:p>
            <w:pPr>
              <w:pStyle w:val="42"/>
              <w:rPr>
                <w:sz w:val="18"/>
                <w:szCs w:val="18"/>
              </w:rPr>
            </w:pPr>
            <w:r>
              <w:rPr>
                <w:sz w:val="18"/>
                <w:szCs w:val="18"/>
              </w:rPr>
              <w:t>1.92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132" w:type="pct"/>
            <w:shd w:val="clear" w:color="auto" w:fill="auto"/>
          </w:tcPr>
          <w:p>
            <w:pPr>
              <w:pStyle w:val="42"/>
              <w:rPr>
                <w:sz w:val="18"/>
                <w:szCs w:val="18"/>
              </w:rPr>
            </w:pPr>
            <w:r>
              <w:rPr>
                <w:sz w:val="18"/>
                <w:szCs w:val="18"/>
              </w:rPr>
              <w:t>59</w:t>
            </w:r>
          </w:p>
        </w:tc>
        <w:tc>
          <w:tcPr>
            <w:tcW w:w="947" w:type="pct"/>
            <w:shd w:val="clear" w:color="auto" w:fill="auto"/>
            <w:vAlign w:val="center"/>
          </w:tcPr>
          <w:p>
            <w:pPr>
              <w:pStyle w:val="42"/>
              <w:rPr>
                <w:sz w:val="18"/>
                <w:szCs w:val="18"/>
              </w:rPr>
            </w:pPr>
            <w:r>
              <w:rPr>
                <w:rFonts w:hint="eastAsia"/>
                <w:sz w:val="18"/>
                <w:szCs w:val="18"/>
              </w:rPr>
              <w:t>重庆升亿玻璃纤维有限公司</w:t>
            </w:r>
          </w:p>
        </w:tc>
        <w:tc>
          <w:tcPr>
            <w:tcW w:w="339" w:type="pct"/>
            <w:shd w:val="clear" w:color="auto" w:fill="auto"/>
            <w:vAlign w:val="center"/>
          </w:tcPr>
          <w:p>
            <w:pPr>
              <w:pStyle w:val="42"/>
              <w:rPr>
                <w:sz w:val="18"/>
                <w:szCs w:val="18"/>
              </w:rPr>
            </w:pPr>
            <w:r>
              <w:rPr>
                <w:sz w:val="18"/>
                <w:szCs w:val="18"/>
              </w:rPr>
              <w:t>2.5</w:t>
            </w:r>
          </w:p>
        </w:tc>
        <w:tc>
          <w:tcPr>
            <w:tcW w:w="301" w:type="pct"/>
            <w:shd w:val="clear" w:color="auto" w:fill="auto"/>
            <w:vAlign w:val="center"/>
          </w:tcPr>
          <w:p>
            <w:pPr>
              <w:pStyle w:val="42"/>
              <w:rPr>
                <w:sz w:val="18"/>
                <w:szCs w:val="18"/>
              </w:rPr>
            </w:pPr>
            <w:r>
              <w:rPr>
                <w:sz w:val="18"/>
                <w:szCs w:val="18"/>
              </w:rPr>
              <w:t>0.045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60</w:t>
            </w:r>
          </w:p>
        </w:tc>
        <w:tc>
          <w:tcPr>
            <w:tcW w:w="947" w:type="pct"/>
            <w:shd w:val="clear" w:color="auto" w:fill="auto"/>
            <w:vAlign w:val="center"/>
          </w:tcPr>
          <w:p>
            <w:pPr>
              <w:pStyle w:val="42"/>
              <w:rPr>
                <w:sz w:val="18"/>
                <w:szCs w:val="18"/>
              </w:rPr>
            </w:pPr>
            <w:r>
              <w:rPr>
                <w:rFonts w:hint="eastAsia"/>
                <w:sz w:val="18"/>
                <w:szCs w:val="18"/>
              </w:rPr>
              <w:t>重庆安朗玻璃有限公司</w:t>
            </w:r>
          </w:p>
        </w:tc>
        <w:tc>
          <w:tcPr>
            <w:tcW w:w="339" w:type="pct"/>
            <w:shd w:val="clear" w:color="auto" w:fill="auto"/>
            <w:vAlign w:val="center"/>
          </w:tcPr>
          <w:p>
            <w:pPr>
              <w:pStyle w:val="42"/>
              <w:rPr>
                <w:sz w:val="18"/>
                <w:szCs w:val="18"/>
              </w:rPr>
            </w:pPr>
            <w:r>
              <w:rPr>
                <w:sz w:val="18"/>
                <w:szCs w:val="18"/>
              </w:rPr>
              <w:t>1.125</w:t>
            </w:r>
          </w:p>
        </w:tc>
        <w:tc>
          <w:tcPr>
            <w:tcW w:w="301" w:type="pct"/>
            <w:shd w:val="clear" w:color="auto" w:fill="auto"/>
            <w:vAlign w:val="center"/>
          </w:tcPr>
          <w:p>
            <w:pPr>
              <w:pStyle w:val="42"/>
              <w:rPr>
                <w:sz w:val="18"/>
                <w:szCs w:val="18"/>
              </w:rPr>
            </w:pPr>
            <w:r>
              <w:rPr>
                <w:sz w:val="18"/>
                <w:szCs w:val="18"/>
              </w:rPr>
              <w:t>0.11</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0.011</w:t>
            </w:r>
          </w:p>
        </w:tc>
        <w:tc>
          <w:tcPr>
            <w:tcW w:w="301" w:type="pct"/>
            <w:shd w:val="clear" w:color="auto" w:fill="auto"/>
            <w:vAlign w:val="center"/>
          </w:tcPr>
          <w:p>
            <w:pPr>
              <w:pStyle w:val="42"/>
              <w:rPr>
                <w:sz w:val="18"/>
                <w:szCs w:val="18"/>
              </w:rPr>
            </w:pPr>
            <w:r>
              <w:rPr>
                <w:sz w:val="18"/>
                <w:szCs w:val="18"/>
              </w:rPr>
              <w:t>0.079</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32" w:type="pct"/>
            <w:shd w:val="clear" w:color="auto" w:fill="auto"/>
          </w:tcPr>
          <w:p>
            <w:pPr>
              <w:pStyle w:val="42"/>
              <w:rPr>
                <w:sz w:val="18"/>
                <w:szCs w:val="18"/>
              </w:rPr>
            </w:pPr>
            <w:r>
              <w:rPr>
                <w:sz w:val="18"/>
                <w:szCs w:val="18"/>
              </w:rPr>
              <w:t>61</w:t>
            </w:r>
          </w:p>
        </w:tc>
        <w:tc>
          <w:tcPr>
            <w:tcW w:w="947" w:type="pct"/>
            <w:shd w:val="clear" w:color="auto" w:fill="auto"/>
            <w:vAlign w:val="center"/>
          </w:tcPr>
          <w:p>
            <w:pPr>
              <w:pStyle w:val="42"/>
              <w:rPr>
                <w:sz w:val="18"/>
                <w:szCs w:val="18"/>
              </w:rPr>
            </w:pPr>
            <w:r>
              <w:rPr>
                <w:rFonts w:hint="eastAsia"/>
                <w:sz w:val="18"/>
                <w:szCs w:val="18"/>
              </w:rPr>
              <w:t>重庆鸽牌电瓷有限公司</w:t>
            </w:r>
          </w:p>
        </w:tc>
        <w:tc>
          <w:tcPr>
            <w:tcW w:w="339" w:type="pct"/>
            <w:shd w:val="clear" w:color="auto" w:fill="auto"/>
            <w:vAlign w:val="center"/>
          </w:tcPr>
          <w:p>
            <w:pPr>
              <w:pStyle w:val="42"/>
              <w:rPr>
                <w:sz w:val="18"/>
                <w:szCs w:val="18"/>
              </w:rPr>
            </w:pPr>
            <w:r>
              <w:rPr>
                <w:sz w:val="18"/>
                <w:szCs w:val="18"/>
              </w:rPr>
              <w:t>64.24</w:t>
            </w:r>
          </w:p>
        </w:tc>
        <w:tc>
          <w:tcPr>
            <w:tcW w:w="301" w:type="pct"/>
            <w:shd w:val="clear" w:color="auto" w:fill="auto"/>
            <w:vAlign w:val="center"/>
          </w:tcPr>
          <w:p>
            <w:pPr>
              <w:pStyle w:val="42"/>
              <w:rPr>
                <w:sz w:val="18"/>
                <w:szCs w:val="18"/>
              </w:rPr>
            </w:pPr>
            <w:r>
              <w:rPr>
                <w:sz w:val="18"/>
                <w:szCs w:val="18"/>
              </w:rPr>
              <w:t>6.78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4.38</w:t>
            </w:r>
          </w:p>
        </w:tc>
        <w:tc>
          <w:tcPr>
            <w:tcW w:w="222" w:type="pct"/>
            <w:shd w:val="clear" w:color="auto" w:fill="auto"/>
            <w:vAlign w:val="center"/>
          </w:tcPr>
          <w:p>
            <w:pPr>
              <w:pStyle w:val="42"/>
              <w:rPr>
                <w:sz w:val="18"/>
                <w:szCs w:val="18"/>
              </w:rPr>
            </w:pPr>
            <w:r>
              <w:rPr>
                <w:sz w:val="18"/>
                <w:szCs w:val="18"/>
              </w:rPr>
              <w:t>0.029</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62</w:t>
            </w:r>
          </w:p>
        </w:tc>
        <w:tc>
          <w:tcPr>
            <w:tcW w:w="947" w:type="pct"/>
            <w:shd w:val="clear" w:color="auto" w:fill="auto"/>
            <w:vAlign w:val="center"/>
          </w:tcPr>
          <w:p>
            <w:pPr>
              <w:pStyle w:val="42"/>
              <w:rPr>
                <w:sz w:val="18"/>
                <w:szCs w:val="18"/>
              </w:rPr>
            </w:pPr>
            <w:r>
              <w:rPr>
                <w:rFonts w:hint="eastAsia"/>
                <w:sz w:val="18"/>
                <w:szCs w:val="18"/>
              </w:rPr>
              <w:t>重庆纽米新材料科技责任有限公司</w:t>
            </w:r>
          </w:p>
        </w:tc>
        <w:tc>
          <w:tcPr>
            <w:tcW w:w="339" w:type="pct"/>
            <w:shd w:val="clear" w:color="auto" w:fill="auto"/>
            <w:vAlign w:val="center"/>
          </w:tcPr>
          <w:p>
            <w:pPr>
              <w:pStyle w:val="42"/>
              <w:rPr>
                <w:sz w:val="18"/>
                <w:szCs w:val="18"/>
              </w:rPr>
            </w:pPr>
            <w:r>
              <w:rPr>
                <w:sz w:val="18"/>
                <w:szCs w:val="18"/>
              </w:rPr>
              <w:t>498.93</w:t>
            </w:r>
          </w:p>
        </w:tc>
        <w:tc>
          <w:tcPr>
            <w:tcW w:w="301" w:type="pct"/>
            <w:shd w:val="clear" w:color="auto" w:fill="auto"/>
            <w:vAlign w:val="center"/>
          </w:tcPr>
          <w:p>
            <w:pPr>
              <w:pStyle w:val="42"/>
              <w:rPr>
                <w:sz w:val="18"/>
                <w:szCs w:val="18"/>
              </w:rPr>
            </w:pPr>
            <w:r>
              <w:rPr>
                <w:sz w:val="18"/>
                <w:szCs w:val="18"/>
              </w:rPr>
              <w:t>8.98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0.16</w:t>
            </w:r>
          </w:p>
        </w:tc>
        <w:tc>
          <w:tcPr>
            <w:tcW w:w="301" w:type="pct"/>
            <w:shd w:val="clear" w:color="auto" w:fill="auto"/>
            <w:vAlign w:val="center"/>
          </w:tcPr>
          <w:p>
            <w:pPr>
              <w:pStyle w:val="42"/>
              <w:rPr>
                <w:sz w:val="18"/>
                <w:szCs w:val="18"/>
              </w:rPr>
            </w:pPr>
            <w:r>
              <w:rPr>
                <w:sz w:val="18"/>
                <w:szCs w:val="18"/>
              </w:rPr>
              <w:t>1.24</w:t>
            </w:r>
          </w:p>
        </w:tc>
        <w:tc>
          <w:tcPr>
            <w:tcW w:w="222" w:type="pct"/>
            <w:shd w:val="clear" w:color="auto" w:fill="auto"/>
            <w:vAlign w:val="center"/>
          </w:tcPr>
          <w:p>
            <w:pPr>
              <w:pStyle w:val="42"/>
              <w:rPr>
                <w:sz w:val="18"/>
                <w:szCs w:val="18"/>
              </w:rPr>
            </w:pPr>
            <w:r>
              <w:rPr>
                <w:sz w:val="18"/>
                <w:szCs w:val="18"/>
              </w:rPr>
              <w:t>0.007</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132" w:type="pct"/>
            <w:shd w:val="clear" w:color="auto" w:fill="auto"/>
          </w:tcPr>
          <w:p>
            <w:pPr>
              <w:pStyle w:val="42"/>
              <w:rPr>
                <w:sz w:val="18"/>
                <w:szCs w:val="18"/>
              </w:rPr>
            </w:pPr>
            <w:r>
              <w:rPr>
                <w:sz w:val="18"/>
                <w:szCs w:val="18"/>
              </w:rPr>
              <w:t>63</w:t>
            </w:r>
          </w:p>
        </w:tc>
        <w:tc>
          <w:tcPr>
            <w:tcW w:w="947" w:type="pct"/>
            <w:shd w:val="clear" w:color="auto" w:fill="auto"/>
            <w:vAlign w:val="center"/>
          </w:tcPr>
          <w:p>
            <w:pPr>
              <w:pStyle w:val="42"/>
              <w:rPr>
                <w:sz w:val="18"/>
                <w:szCs w:val="18"/>
              </w:rPr>
            </w:pPr>
            <w:r>
              <w:rPr>
                <w:rFonts w:hint="eastAsia"/>
                <w:sz w:val="18"/>
                <w:szCs w:val="18"/>
              </w:rPr>
              <w:t>重庆沈通变压器有限公司</w:t>
            </w:r>
          </w:p>
        </w:tc>
        <w:tc>
          <w:tcPr>
            <w:tcW w:w="339" w:type="pct"/>
            <w:shd w:val="clear" w:color="auto" w:fill="auto"/>
            <w:vAlign w:val="center"/>
          </w:tcPr>
          <w:p>
            <w:pPr>
              <w:pStyle w:val="42"/>
              <w:rPr>
                <w:sz w:val="18"/>
                <w:szCs w:val="18"/>
              </w:rPr>
            </w:pPr>
            <w:r>
              <w:rPr>
                <w:sz w:val="18"/>
                <w:szCs w:val="18"/>
              </w:rPr>
              <w:t>30</w:t>
            </w:r>
          </w:p>
        </w:tc>
        <w:tc>
          <w:tcPr>
            <w:tcW w:w="301" w:type="pct"/>
            <w:shd w:val="clear" w:color="auto" w:fill="auto"/>
            <w:vAlign w:val="center"/>
          </w:tcPr>
          <w:p>
            <w:pPr>
              <w:pStyle w:val="42"/>
              <w:rPr>
                <w:sz w:val="18"/>
                <w:szCs w:val="18"/>
              </w:rPr>
            </w:pPr>
            <w:r>
              <w:rPr>
                <w:sz w:val="18"/>
                <w:szCs w:val="18"/>
              </w:rPr>
              <w:t>3.92</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0.018</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 w:hRule="atLeast"/>
        </w:trPr>
        <w:tc>
          <w:tcPr>
            <w:tcW w:w="132" w:type="pct"/>
            <w:shd w:val="clear" w:color="auto" w:fill="auto"/>
          </w:tcPr>
          <w:p>
            <w:pPr>
              <w:pStyle w:val="42"/>
              <w:rPr>
                <w:sz w:val="18"/>
                <w:szCs w:val="18"/>
              </w:rPr>
            </w:pPr>
            <w:r>
              <w:rPr>
                <w:sz w:val="18"/>
                <w:szCs w:val="18"/>
              </w:rPr>
              <w:t>64</w:t>
            </w:r>
          </w:p>
        </w:tc>
        <w:tc>
          <w:tcPr>
            <w:tcW w:w="947" w:type="pct"/>
            <w:shd w:val="clear" w:color="auto" w:fill="auto"/>
            <w:vAlign w:val="center"/>
          </w:tcPr>
          <w:p>
            <w:pPr>
              <w:pStyle w:val="42"/>
              <w:rPr>
                <w:sz w:val="18"/>
                <w:szCs w:val="18"/>
              </w:rPr>
            </w:pPr>
            <w:r>
              <w:rPr>
                <w:rFonts w:hint="eastAsia"/>
                <w:sz w:val="18"/>
                <w:szCs w:val="18"/>
              </w:rPr>
              <w:t>巍智包装制品（重庆）有限公司</w:t>
            </w:r>
          </w:p>
        </w:tc>
        <w:tc>
          <w:tcPr>
            <w:tcW w:w="339" w:type="pct"/>
            <w:shd w:val="clear" w:color="auto" w:fill="auto"/>
            <w:vAlign w:val="center"/>
          </w:tcPr>
          <w:p>
            <w:pPr>
              <w:pStyle w:val="42"/>
              <w:rPr>
                <w:sz w:val="18"/>
                <w:szCs w:val="18"/>
              </w:rPr>
            </w:pPr>
            <w:r>
              <w:rPr>
                <w:sz w:val="18"/>
                <w:szCs w:val="18"/>
              </w:rPr>
              <w:t>49.5</w:t>
            </w:r>
          </w:p>
        </w:tc>
        <w:tc>
          <w:tcPr>
            <w:tcW w:w="301" w:type="pct"/>
            <w:shd w:val="clear" w:color="auto" w:fill="auto"/>
            <w:vAlign w:val="center"/>
          </w:tcPr>
          <w:p>
            <w:pPr>
              <w:pStyle w:val="42"/>
              <w:rPr>
                <w:sz w:val="18"/>
                <w:szCs w:val="18"/>
              </w:rPr>
            </w:pPr>
            <w:r>
              <w:rPr>
                <w:sz w:val="18"/>
                <w:szCs w:val="18"/>
              </w:rPr>
              <w:t>4.46</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2.97</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65</w:t>
            </w:r>
          </w:p>
        </w:tc>
        <w:tc>
          <w:tcPr>
            <w:tcW w:w="947" w:type="pct"/>
            <w:shd w:val="clear" w:color="auto" w:fill="auto"/>
            <w:vAlign w:val="center"/>
          </w:tcPr>
          <w:p>
            <w:pPr>
              <w:pStyle w:val="42"/>
              <w:rPr>
                <w:sz w:val="18"/>
                <w:szCs w:val="18"/>
              </w:rPr>
            </w:pPr>
            <w:r>
              <w:rPr>
                <w:rFonts w:hint="eastAsia"/>
                <w:sz w:val="18"/>
                <w:szCs w:val="18"/>
              </w:rPr>
              <w:t>重庆天信线缆有限公司</w:t>
            </w:r>
          </w:p>
        </w:tc>
        <w:tc>
          <w:tcPr>
            <w:tcW w:w="339" w:type="pct"/>
            <w:shd w:val="clear" w:color="auto" w:fill="auto"/>
            <w:vAlign w:val="center"/>
          </w:tcPr>
          <w:p>
            <w:pPr>
              <w:pStyle w:val="42"/>
              <w:rPr>
                <w:sz w:val="18"/>
                <w:szCs w:val="18"/>
              </w:rPr>
            </w:pPr>
            <w:r>
              <w:rPr>
                <w:sz w:val="18"/>
                <w:szCs w:val="18"/>
              </w:rPr>
              <w:t>4.8</w:t>
            </w:r>
          </w:p>
        </w:tc>
        <w:tc>
          <w:tcPr>
            <w:tcW w:w="301" w:type="pct"/>
            <w:shd w:val="clear" w:color="auto" w:fill="auto"/>
            <w:vAlign w:val="center"/>
          </w:tcPr>
          <w:p>
            <w:pPr>
              <w:pStyle w:val="42"/>
              <w:rPr>
                <w:sz w:val="18"/>
                <w:szCs w:val="18"/>
              </w:rPr>
            </w:pPr>
            <w:r>
              <w:rPr>
                <w:sz w:val="18"/>
                <w:szCs w:val="18"/>
              </w:rPr>
              <w:t>2.48</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1.9</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66</w:t>
            </w:r>
          </w:p>
        </w:tc>
        <w:tc>
          <w:tcPr>
            <w:tcW w:w="947" w:type="pct"/>
            <w:shd w:val="clear" w:color="auto" w:fill="auto"/>
            <w:vAlign w:val="center"/>
          </w:tcPr>
          <w:p>
            <w:pPr>
              <w:pStyle w:val="42"/>
              <w:rPr>
                <w:sz w:val="18"/>
                <w:szCs w:val="18"/>
              </w:rPr>
            </w:pPr>
            <w:r>
              <w:rPr>
                <w:rFonts w:hint="eastAsia"/>
                <w:sz w:val="18"/>
                <w:szCs w:val="18"/>
              </w:rPr>
              <w:t>重庆昌德成电子公司</w:t>
            </w:r>
          </w:p>
        </w:tc>
        <w:tc>
          <w:tcPr>
            <w:tcW w:w="339" w:type="pct"/>
            <w:shd w:val="clear" w:color="auto" w:fill="auto"/>
            <w:vAlign w:val="center"/>
          </w:tcPr>
          <w:p>
            <w:pPr>
              <w:pStyle w:val="42"/>
              <w:rPr>
                <w:sz w:val="18"/>
                <w:szCs w:val="18"/>
              </w:rPr>
            </w:pPr>
            <w:r>
              <w:rPr>
                <w:sz w:val="18"/>
                <w:szCs w:val="18"/>
              </w:rPr>
              <w:t>7.92</w:t>
            </w:r>
          </w:p>
        </w:tc>
        <w:tc>
          <w:tcPr>
            <w:tcW w:w="301" w:type="pct"/>
            <w:shd w:val="clear" w:color="auto" w:fill="auto"/>
            <w:vAlign w:val="center"/>
          </w:tcPr>
          <w:p>
            <w:pPr>
              <w:pStyle w:val="42"/>
              <w:rPr>
                <w:sz w:val="18"/>
                <w:szCs w:val="18"/>
              </w:rPr>
            </w:pPr>
            <w:r>
              <w:rPr>
                <w:sz w:val="18"/>
                <w:szCs w:val="18"/>
              </w:rPr>
              <w:t>0.702</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0.065</w:t>
            </w:r>
          </w:p>
        </w:tc>
        <w:tc>
          <w:tcPr>
            <w:tcW w:w="301" w:type="pct"/>
            <w:shd w:val="clear" w:color="auto" w:fill="auto"/>
            <w:vAlign w:val="center"/>
          </w:tcPr>
          <w:p>
            <w:pPr>
              <w:pStyle w:val="42"/>
              <w:rPr>
                <w:sz w:val="18"/>
                <w:szCs w:val="18"/>
              </w:rPr>
            </w:pPr>
            <w:r>
              <w:rPr>
                <w:sz w:val="18"/>
                <w:szCs w:val="18"/>
              </w:rPr>
              <w:t>0.33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0.016</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67</w:t>
            </w:r>
          </w:p>
        </w:tc>
        <w:tc>
          <w:tcPr>
            <w:tcW w:w="947" w:type="pct"/>
            <w:shd w:val="clear" w:color="auto" w:fill="auto"/>
            <w:vAlign w:val="center"/>
          </w:tcPr>
          <w:p>
            <w:pPr>
              <w:pStyle w:val="42"/>
              <w:rPr>
                <w:sz w:val="18"/>
                <w:szCs w:val="18"/>
              </w:rPr>
            </w:pPr>
            <w:r>
              <w:rPr>
                <w:rFonts w:hint="eastAsia"/>
                <w:sz w:val="18"/>
                <w:szCs w:val="18"/>
              </w:rPr>
              <w:t>晏家湘湖电器有限公司</w:t>
            </w:r>
          </w:p>
        </w:tc>
        <w:tc>
          <w:tcPr>
            <w:tcW w:w="339" w:type="pct"/>
            <w:shd w:val="clear" w:color="auto" w:fill="auto"/>
            <w:vAlign w:val="center"/>
          </w:tcPr>
          <w:p>
            <w:pPr>
              <w:pStyle w:val="42"/>
              <w:rPr>
                <w:sz w:val="18"/>
                <w:szCs w:val="18"/>
              </w:rPr>
            </w:pPr>
            <w:r>
              <w:rPr>
                <w:sz w:val="18"/>
                <w:szCs w:val="18"/>
              </w:rPr>
              <w:t>10.4</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68</w:t>
            </w:r>
          </w:p>
        </w:tc>
        <w:tc>
          <w:tcPr>
            <w:tcW w:w="947" w:type="pct"/>
            <w:shd w:val="clear" w:color="auto" w:fill="auto"/>
            <w:vAlign w:val="center"/>
          </w:tcPr>
          <w:p>
            <w:pPr>
              <w:pStyle w:val="42"/>
              <w:rPr>
                <w:sz w:val="18"/>
                <w:szCs w:val="18"/>
              </w:rPr>
            </w:pPr>
            <w:r>
              <w:rPr>
                <w:rFonts w:hint="eastAsia"/>
                <w:sz w:val="18"/>
                <w:szCs w:val="18"/>
              </w:rPr>
              <w:t>重庆昊翔纸制品有限公司</w:t>
            </w:r>
          </w:p>
        </w:tc>
        <w:tc>
          <w:tcPr>
            <w:tcW w:w="339" w:type="pct"/>
            <w:shd w:val="clear" w:color="auto" w:fill="auto"/>
            <w:vAlign w:val="center"/>
          </w:tcPr>
          <w:p>
            <w:pPr>
              <w:pStyle w:val="42"/>
              <w:rPr>
                <w:sz w:val="18"/>
                <w:szCs w:val="18"/>
              </w:rPr>
            </w:pPr>
            <w:r>
              <w:rPr>
                <w:sz w:val="18"/>
                <w:szCs w:val="18"/>
              </w:rPr>
              <w:t>24</w:t>
            </w:r>
          </w:p>
        </w:tc>
        <w:tc>
          <w:tcPr>
            <w:tcW w:w="301" w:type="pct"/>
            <w:shd w:val="clear" w:color="auto" w:fill="auto"/>
            <w:vAlign w:val="center"/>
          </w:tcPr>
          <w:p>
            <w:pPr>
              <w:pStyle w:val="42"/>
              <w:rPr>
                <w:sz w:val="18"/>
                <w:szCs w:val="18"/>
              </w:rPr>
            </w:pPr>
            <w:r>
              <w:rPr>
                <w:sz w:val="18"/>
                <w:szCs w:val="18"/>
              </w:rPr>
              <w:t>1.85</w:t>
            </w:r>
          </w:p>
        </w:tc>
        <w:tc>
          <w:tcPr>
            <w:tcW w:w="262" w:type="pct"/>
            <w:shd w:val="clear" w:color="auto" w:fill="auto"/>
            <w:vAlign w:val="center"/>
          </w:tcPr>
          <w:p>
            <w:pPr>
              <w:pStyle w:val="42"/>
              <w:rPr>
                <w:sz w:val="18"/>
                <w:szCs w:val="18"/>
              </w:rPr>
            </w:pPr>
            <w:r>
              <w:rPr>
                <w:sz w:val="18"/>
                <w:szCs w:val="18"/>
              </w:rPr>
              <w:t>0.74</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1.36</w:t>
            </w:r>
          </w:p>
        </w:tc>
        <w:tc>
          <w:tcPr>
            <w:tcW w:w="222" w:type="pct"/>
            <w:shd w:val="clear" w:color="auto" w:fill="auto"/>
            <w:vAlign w:val="center"/>
          </w:tcPr>
          <w:p>
            <w:pPr>
              <w:pStyle w:val="42"/>
              <w:rPr>
                <w:sz w:val="18"/>
                <w:szCs w:val="18"/>
              </w:rPr>
            </w:pPr>
            <w:r>
              <w:rPr>
                <w:sz w:val="18"/>
                <w:szCs w:val="18"/>
              </w:rPr>
              <w:t>0.155</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69</w:t>
            </w:r>
          </w:p>
        </w:tc>
        <w:tc>
          <w:tcPr>
            <w:tcW w:w="947" w:type="pct"/>
            <w:shd w:val="clear" w:color="auto" w:fill="auto"/>
            <w:vAlign w:val="center"/>
          </w:tcPr>
          <w:p>
            <w:pPr>
              <w:pStyle w:val="42"/>
              <w:rPr>
                <w:sz w:val="18"/>
                <w:szCs w:val="18"/>
              </w:rPr>
            </w:pPr>
            <w:r>
              <w:rPr>
                <w:rFonts w:hint="eastAsia"/>
                <w:sz w:val="18"/>
                <w:szCs w:val="18"/>
              </w:rPr>
              <w:t>重庆景兴包装有限公司</w:t>
            </w:r>
          </w:p>
        </w:tc>
        <w:tc>
          <w:tcPr>
            <w:tcW w:w="339" w:type="pct"/>
            <w:shd w:val="clear" w:color="auto" w:fill="auto"/>
            <w:vAlign w:val="center"/>
          </w:tcPr>
          <w:p>
            <w:pPr>
              <w:pStyle w:val="42"/>
              <w:rPr>
                <w:sz w:val="18"/>
                <w:szCs w:val="18"/>
              </w:rPr>
            </w:pPr>
            <w:r>
              <w:rPr>
                <w:sz w:val="18"/>
                <w:szCs w:val="18"/>
              </w:rPr>
              <w:t>10.39</w:t>
            </w:r>
          </w:p>
        </w:tc>
        <w:tc>
          <w:tcPr>
            <w:tcW w:w="301" w:type="pct"/>
            <w:shd w:val="clear" w:color="auto" w:fill="auto"/>
            <w:vAlign w:val="center"/>
          </w:tcPr>
          <w:p>
            <w:pPr>
              <w:pStyle w:val="42"/>
              <w:rPr>
                <w:sz w:val="18"/>
                <w:szCs w:val="18"/>
              </w:rPr>
            </w:pPr>
            <w:r>
              <w:rPr>
                <w:sz w:val="18"/>
                <w:szCs w:val="18"/>
              </w:rPr>
              <w:t>1.926</w:t>
            </w:r>
          </w:p>
        </w:tc>
        <w:tc>
          <w:tcPr>
            <w:tcW w:w="262" w:type="pct"/>
            <w:shd w:val="clear" w:color="auto" w:fill="auto"/>
            <w:vAlign w:val="center"/>
          </w:tcPr>
          <w:p>
            <w:pPr>
              <w:pStyle w:val="42"/>
              <w:rPr>
                <w:sz w:val="18"/>
                <w:szCs w:val="18"/>
              </w:rPr>
            </w:pPr>
            <w:r>
              <w:rPr>
                <w:sz w:val="18"/>
                <w:szCs w:val="18"/>
              </w:rPr>
              <w:t>0.857</w:t>
            </w:r>
          </w:p>
        </w:tc>
        <w:tc>
          <w:tcPr>
            <w:tcW w:w="301" w:type="pct"/>
            <w:shd w:val="clear" w:color="auto" w:fill="auto"/>
            <w:vAlign w:val="center"/>
          </w:tcPr>
          <w:p>
            <w:pPr>
              <w:pStyle w:val="42"/>
              <w:rPr>
                <w:sz w:val="18"/>
                <w:szCs w:val="18"/>
              </w:rPr>
            </w:pPr>
            <w:r>
              <w:rPr>
                <w:sz w:val="18"/>
                <w:szCs w:val="18"/>
              </w:rPr>
              <w:t>0.086</w:t>
            </w:r>
          </w:p>
        </w:tc>
        <w:tc>
          <w:tcPr>
            <w:tcW w:w="301" w:type="pct"/>
            <w:shd w:val="clear" w:color="auto" w:fill="auto"/>
            <w:vAlign w:val="center"/>
          </w:tcPr>
          <w:p>
            <w:pPr>
              <w:pStyle w:val="42"/>
              <w:rPr>
                <w:sz w:val="18"/>
                <w:szCs w:val="18"/>
              </w:rPr>
            </w:pPr>
            <w:r>
              <w:rPr>
                <w:sz w:val="18"/>
                <w:szCs w:val="18"/>
              </w:rPr>
              <w:t>1.162</w:t>
            </w:r>
          </w:p>
        </w:tc>
        <w:tc>
          <w:tcPr>
            <w:tcW w:w="222" w:type="pct"/>
            <w:shd w:val="clear" w:color="auto" w:fill="auto"/>
            <w:vAlign w:val="center"/>
          </w:tcPr>
          <w:p>
            <w:pPr>
              <w:pStyle w:val="42"/>
              <w:rPr>
                <w:sz w:val="18"/>
                <w:szCs w:val="18"/>
              </w:rPr>
            </w:pPr>
            <w:r>
              <w:rPr>
                <w:sz w:val="18"/>
                <w:szCs w:val="18"/>
              </w:rPr>
              <w:t>0.016</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70</w:t>
            </w:r>
          </w:p>
        </w:tc>
        <w:tc>
          <w:tcPr>
            <w:tcW w:w="947" w:type="pct"/>
            <w:shd w:val="clear" w:color="auto" w:fill="auto"/>
            <w:vAlign w:val="center"/>
          </w:tcPr>
          <w:p>
            <w:pPr>
              <w:pStyle w:val="42"/>
              <w:rPr>
                <w:sz w:val="18"/>
                <w:szCs w:val="18"/>
              </w:rPr>
            </w:pPr>
            <w:r>
              <w:rPr>
                <w:rFonts w:hint="eastAsia"/>
                <w:sz w:val="18"/>
                <w:szCs w:val="18"/>
              </w:rPr>
              <w:t>重庆市鸿海印务有限公司</w:t>
            </w:r>
          </w:p>
        </w:tc>
        <w:tc>
          <w:tcPr>
            <w:tcW w:w="339" w:type="pct"/>
            <w:shd w:val="clear" w:color="auto" w:fill="auto"/>
            <w:vAlign w:val="center"/>
          </w:tcPr>
          <w:p>
            <w:pPr>
              <w:pStyle w:val="42"/>
              <w:rPr>
                <w:sz w:val="18"/>
                <w:szCs w:val="18"/>
              </w:rPr>
            </w:pPr>
            <w:r>
              <w:rPr>
                <w:sz w:val="18"/>
                <w:szCs w:val="18"/>
              </w:rPr>
              <w:t>58.93</w:t>
            </w:r>
          </w:p>
        </w:tc>
        <w:tc>
          <w:tcPr>
            <w:tcW w:w="301" w:type="pct"/>
            <w:shd w:val="clear" w:color="auto" w:fill="auto"/>
            <w:vAlign w:val="center"/>
          </w:tcPr>
          <w:p>
            <w:pPr>
              <w:pStyle w:val="42"/>
              <w:rPr>
                <w:sz w:val="18"/>
                <w:szCs w:val="18"/>
              </w:rPr>
            </w:pPr>
            <w:r>
              <w:rPr>
                <w:sz w:val="18"/>
                <w:szCs w:val="18"/>
              </w:rPr>
              <w:t>7.96</w:t>
            </w:r>
          </w:p>
        </w:tc>
        <w:tc>
          <w:tcPr>
            <w:tcW w:w="262" w:type="pct"/>
            <w:shd w:val="clear" w:color="auto" w:fill="auto"/>
            <w:vAlign w:val="center"/>
          </w:tcPr>
          <w:p>
            <w:pPr>
              <w:pStyle w:val="42"/>
              <w:rPr>
                <w:sz w:val="18"/>
                <w:szCs w:val="18"/>
              </w:rPr>
            </w:pPr>
            <w:r>
              <w:rPr>
                <w:sz w:val="18"/>
                <w:szCs w:val="18"/>
              </w:rPr>
              <w:t>0.46</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4.42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71</w:t>
            </w:r>
          </w:p>
        </w:tc>
        <w:tc>
          <w:tcPr>
            <w:tcW w:w="947" w:type="pct"/>
            <w:shd w:val="clear" w:color="auto" w:fill="auto"/>
            <w:vAlign w:val="center"/>
          </w:tcPr>
          <w:p>
            <w:pPr>
              <w:pStyle w:val="42"/>
              <w:rPr>
                <w:sz w:val="18"/>
                <w:szCs w:val="18"/>
              </w:rPr>
            </w:pPr>
            <w:r>
              <w:rPr>
                <w:rFonts w:hint="eastAsia"/>
                <w:sz w:val="18"/>
                <w:szCs w:val="18"/>
              </w:rPr>
              <w:t>重庆建工新型建材有限公司长寿分公司</w:t>
            </w:r>
          </w:p>
        </w:tc>
        <w:tc>
          <w:tcPr>
            <w:tcW w:w="339" w:type="pct"/>
            <w:shd w:val="clear" w:color="auto" w:fill="auto"/>
            <w:vAlign w:val="center"/>
          </w:tcPr>
          <w:p>
            <w:pPr>
              <w:pStyle w:val="42"/>
              <w:rPr>
                <w:sz w:val="18"/>
                <w:szCs w:val="18"/>
              </w:rPr>
            </w:pPr>
            <w:r>
              <w:rPr>
                <w:sz w:val="18"/>
                <w:szCs w:val="18"/>
              </w:rPr>
              <w:t>90.3</w:t>
            </w:r>
          </w:p>
        </w:tc>
        <w:tc>
          <w:tcPr>
            <w:tcW w:w="301" w:type="pct"/>
            <w:shd w:val="clear" w:color="auto" w:fill="auto"/>
            <w:vAlign w:val="center"/>
          </w:tcPr>
          <w:p>
            <w:pPr>
              <w:pStyle w:val="42"/>
              <w:rPr>
                <w:sz w:val="18"/>
                <w:szCs w:val="18"/>
              </w:rPr>
            </w:pPr>
            <w:r>
              <w:rPr>
                <w:sz w:val="18"/>
                <w:szCs w:val="18"/>
              </w:rPr>
              <w:t>1.65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0.52</w:t>
            </w:r>
          </w:p>
        </w:tc>
        <w:tc>
          <w:tcPr>
            <w:tcW w:w="222" w:type="pct"/>
            <w:shd w:val="clear" w:color="auto" w:fill="auto"/>
            <w:vAlign w:val="center"/>
          </w:tcPr>
          <w:p>
            <w:pPr>
              <w:pStyle w:val="42"/>
              <w:rPr>
                <w:sz w:val="18"/>
                <w:szCs w:val="18"/>
              </w:rPr>
            </w:pPr>
            <w:r>
              <w:rPr>
                <w:sz w:val="18"/>
                <w:szCs w:val="18"/>
              </w:rPr>
              <w:t>0.17</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72</w:t>
            </w:r>
          </w:p>
        </w:tc>
        <w:tc>
          <w:tcPr>
            <w:tcW w:w="947" w:type="pct"/>
            <w:shd w:val="clear" w:color="auto" w:fill="auto"/>
            <w:vAlign w:val="center"/>
          </w:tcPr>
          <w:p>
            <w:pPr>
              <w:pStyle w:val="42"/>
              <w:rPr>
                <w:sz w:val="18"/>
                <w:szCs w:val="18"/>
              </w:rPr>
            </w:pPr>
            <w:r>
              <w:rPr>
                <w:rFonts w:hint="eastAsia"/>
                <w:sz w:val="18"/>
                <w:szCs w:val="18"/>
              </w:rPr>
              <w:t>重庆凯威混凝土公司</w:t>
            </w:r>
          </w:p>
        </w:tc>
        <w:tc>
          <w:tcPr>
            <w:tcW w:w="339" w:type="pct"/>
            <w:shd w:val="clear" w:color="auto" w:fill="auto"/>
            <w:vAlign w:val="center"/>
          </w:tcPr>
          <w:p>
            <w:pPr>
              <w:pStyle w:val="42"/>
              <w:rPr>
                <w:sz w:val="18"/>
                <w:szCs w:val="18"/>
              </w:rPr>
            </w:pPr>
            <w:r>
              <w:rPr>
                <w:sz w:val="18"/>
                <w:szCs w:val="18"/>
              </w:rPr>
              <w:t>3.03</w:t>
            </w:r>
          </w:p>
        </w:tc>
        <w:tc>
          <w:tcPr>
            <w:tcW w:w="301" w:type="pct"/>
            <w:shd w:val="clear" w:color="auto" w:fill="auto"/>
            <w:vAlign w:val="center"/>
          </w:tcPr>
          <w:p>
            <w:pPr>
              <w:pStyle w:val="42"/>
              <w:rPr>
                <w:sz w:val="18"/>
                <w:szCs w:val="18"/>
              </w:rPr>
            </w:pPr>
            <w:r>
              <w:rPr>
                <w:sz w:val="18"/>
                <w:szCs w:val="18"/>
              </w:rPr>
              <w:t>0.76</w:t>
            </w:r>
          </w:p>
        </w:tc>
        <w:tc>
          <w:tcPr>
            <w:tcW w:w="262" w:type="pct"/>
            <w:shd w:val="clear" w:color="auto" w:fill="auto"/>
            <w:vAlign w:val="center"/>
          </w:tcPr>
          <w:p>
            <w:pPr>
              <w:pStyle w:val="42"/>
              <w:rPr>
                <w:sz w:val="18"/>
                <w:szCs w:val="18"/>
              </w:rPr>
            </w:pPr>
            <w:r>
              <w:rPr>
                <w:sz w:val="18"/>
                <w:szCs w:val="18"/>
              </w:rPr>
              <w:t>0.65</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0.76</w:t>
            </w:r>
          </w:p>
        </w:tc>
        <w:tc>
          <w:tcPr>
            <w:tcW w:w="222" w:type="pct"/>
            <w:shd w:val="clear" w:color="auto" w:fill="auto"/>
            <w:vAlign w:val="center"/>
          </w:tcPr>
          <w:p>
            <w:pPr>
              <w:pStyle w:val="42"/>
              <w:rPr>
                <w:sz w:val="18"/>
                <w:szCs w:val="18"/>
              </w:rPr>
            </w:pPr>
            <w:r>
              <w:rPr>
                <w:sz w:val="18"/>
                <w:szCs w:val="18"/>
              </w:rPr>
              <w:t>0.25</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73</w:t>
            </w:r>
          </w:p>
        </w:tc>
        <w:tc>
          <w:tcPr>
            <w:tcW w:w="947" w:type="pct"/>
            <w:shd w:val="clear" w:color="auto" w:fill="auto"/>
            <w:vAlign w:val="center"/>
          </w:tcPr>
          <w:p>
            <w:pPr>
              <w:pStyle w:val="42"/>
              <w:rPr>
                <w:sz w:val="18"/>
                <w:szCs w:val="18"/>
              </w:rPr>
            </w:pPr>
            <w:r>
              <w:rPr>
                <w:rFonts w:hint="eastAsia"/>
                <w:sz w:val="18"/>
                <w:szCs w:val="18"/>
              </w:rPr>
              <w:t>重庆新川塔实业有限公司</w:t>
            </w:r>
          </w:p>
        </w:tc>
        <w:tc>
          <w:tcPr>
            <w:tcW w:w="339" w:type="pct"/>
            <w:shd w:val="clear" w:color="auto" w:fill="auto"/>
            <w:vAlign w:val="center"/>
          </w:tcPr>
          <w:p>
            <w:pPr>
              <w:pStyle w:val="42"/>
              <w:rPr>
                <w:sz w:val="18"/>
                <w:szCs w:val="18"/>
              </w:rPr>
            </w:pPr>
            <w:r>
              <w:rPr>
                <w:sz w:val="18"/>
                <w:szCs w:val="18"/>
              </w:rPr>
              <w:t>/</w:t>
            </w:r>
          </w:p>
        </w:tc>
        <w:tc>
          <w:tcPr>
            <w:tcW w:w="301" w:type="pct"/>
            <w:shd w:val="clear" w:color="auto" w:fill="auto"/>
            <w:vAlign w:val="center"/>
          </w:tcPr>
          <w:p>
            <w:pPr>
              <w:pStyle w:val="42"/>
              <w:rPr>
                <w:sz w:val="18"/>
                <w:szCs w:val="18"/>
              </w:rPr>
            </w:pPr>
            <w:r>
              <w:rPr>
                <w:sz w:val="18"/>
                <w:szCs w:val="18"/>
              </w:rPr>
              <w:t>　</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74</w:t>
            </w:r>
          </w:p>
        </w:tc>
        <w:tc>
          <w:tcPr>
            <w:tcW w:w="947" w:type="pct"/>
            <w:shd w:val="clear" w:color="auto" w:fill="auto"/>
            <w:vAlign w:val="center"/>
          </w:tcPr>
          <w:p>
            <w:pPr>
              <w:pStyle w:val="42"/>
              <w:rPr>
                <w:sz w:val="18"/>
                <w:szCs w:val="18"/>
              </w:rPr>
            </w:pPr>
            <w:r>
              <w:rPr>
                <w:rFonts w:hint="eastAsia"/>
                <w:sz w:val="18"/>
                <w:szCs w:val="18"/>
              </w:rPr>
              <w:t>重庆协钢金属材料有限责任公司</w:t>
            </w:r>
          </w:p>
        </w:tc>
        <w:tc>
          <w:tcPr>
            <w:tcW w:w="339" w:type="pct"/>
            <w:shd w:val="clear" w:color="auto" w:fill="auto"/>
            <w:vAlign w:val="center"/>
          </w:tcPr>
          <w:p>
            <w:pPr>
              <w:pStyle w:val="42"/>
              <w:rPr>
                <w:sz w:val="18"/>
                <w:szCs w:val="18"/>
              </w:rPr>
            </w:pPr>
            <w:r>
              <w:rPr>
                <w:sz w:val="18"/>
                <w:szCs w:val="18"/>
              </w:rPr>
              <w:t>72.39</w:t>
            </w:r>
          </w:p>
        </w:tc>
        <w:tc>
          <w:tcPr>
            <w:tcW w:w="301" w:type="pct"/>
            <w:shd w:val="clear" w:color="auto" w:fill="auto"/>
            <w:vAlign w:val="center"/>
          </w:tcPr>
          <w:p>
            <w:pPr>
              <w:pStyle w:val="42"/>
              <w:rPr>
                <w:sz w:val="18"/>
                <w:szCs w:val="18"/>
              </w:rPr>
            </w:pPr>
            <w:r>
              <w:rPr>
                <w:sz w:val="18"/>
                <w:szCs w:val="18"/>
              </w:rPr>
              <w:t>2.17</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0.33</w:t>
            </w:r>
          </w:p>
        </w:tc>
        <w:tc>
          <w:tcPr>
            <w:tcW w:w="301" w:type="pct"/>
            <w:shd w:val="clear" w:color="auto" w:fill="auto"/>
            <w:vAlign w:val="center"/>
          </w:tcPr>
          <w:p>
            <w:pPr>
              <w:pStyle w:val="42"/>
              <w:rPr>
                <w:sz w:val="18"/>
                <w:szCs w:val="18"/>
              </w:rPr>
            </w:pPr>
            <w:r>
              <w:rPr>
                <w:sz w:val="18"/>
                <w:szCs w:val="18"/>
              </w:rPr>
              <w:t>1.52</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75</w:t>
            </w:r>
          </w:p>
        </w:tc>
        <w:tc>
          <w:tcPr>
            <w:tcW w:w="947" w:type="pct"/>
            <w:shd w:val="clear" w:color="auto" w:fill="auto"/>
            <w:vAlign w:val="center"/>
          </w:tcPr>
          <w:p>
            <w:pPr>
              <w:pStyle w:val="42"/>
              <w:rPr>
                <w:sz w:val="18"/>
                <w:szCs w:val="18"/>
              </w:rPr>
            </w:pPr>
            <w:r>
              <w:rPr>
                <w:rFonts w:hint="eastAsia"/>
                <w:sz w:val="18"/>
                <w:szCs w:val="18"/>
              </w:rPr>
              <w:t>重庆富尔家动物药业公司</w:t>
            </w:r>
          </w:p>
        </w:tc>
        <w:tc>
          <w:tcPr>
            <w:tcW w:w="339" w:type="pct"/>
            <w:shd w:val="clear" w:color="auto" w:fill="auto"/>
            <w:vAlign w:val="center"/>
          </w:tcPr>
          <w:p>
            <w:pPr>
              <w:pStyle w:val="42"/>
              <w:rPr>
                <w:sz w:val="18"/>
                <w:szCs w:val="18"/>
              </w:rPr>
            </w:pPr>
            <w:r>
              <w:rPr>
                <w:sz w:val="18"/>
                <w:szCs w:val="18"/>
              </w:rPr>
              <w:t>8</w:t>
            </w:r>
          </w:p>
        </w:tc>
        <w:tc>
          <w:tcPr>
            <w:tcW w:w="301" w:type="pct"/>
            <w:shd w:val="clear" w:color="auto" w:fill="auto"/>
            <w:vAlign w:val="center"/>
          </w:tcPr>
          <w:p>
            <w:pPr>
              <w:pStyle w:val="42"/>
              <w:rPr>
                <w:sz w:val="18"/>
                <w:szCs w:val="18"/>
              </w:rPr>
            </w:pPr>
            <w:r>
              <w:rPr>
                <w:sz w:val="18"/>
                <w:szCs w:val="18"/>
              </w:rPr>
              <w:t>0.61</w:t>
            </w:r>
          </w:p>
        </w:tc>
        <w:tc>
          <w:tcPr>
            <w:tcW w:w="262" w:type="pct"/>
            <w:shd w:val="clear" w:color="auto" w:fill="auto"/>
            <w:vAlign w:val="center"/>
          </w:tcPr>
          <w:p>
            <w:pPr>
              <w:pStyle w:val="42"/>
              <w:rPr>
                <w:sz w:val="18"/>
                <w:szCs w:val="18"/>
              </w:rPr>
            </w:pPr>
            <w:r>
              <w:rPr>
                <w:sz w:val="18"/>
                <w:szCs w:val="18"/>
              </w:rPr>
              <w:t>0.12</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0.43</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 w:hRule="atLeast"/>
        </w:trPr>
        <w:tc>
          <w:tcPr>
            <w:tcW w:w="132" w:type="pct"/>
            <w:shd w:val="clear" w:color="auto" w:fill="auto"/>
          </w:tcPr>
          <w:p>
            <w:pPr>
              <w:pStyle w:val="42"/>
              <w:rPr>
                <w:sz w:val="18"/>
                <w:szCs w:val="18"/>
              </w:rPr>
            </w:pPr>
            <w:r>
              <w:rPr>
                <w:sz w:val="18"/>
                <w:szCs w:val="18"/>
              </w:rPr>
              <w:t>76</w:t>
            </w:r>
          </w:p>
        </w:tc>
        <w:tc>
          <w:tcPr>
            <w:tcW w:w="947" w:type="pct"/>
            <w:shd w:val="clear" w:color="auto" w:fill="auto"/>
            <w:vAlign w:val="center"/>
          </w:tcPr>
          <w:p>
            <w:pPr>
              <w:pStyle w:val="42"/>
              <w:rPr>
                <w:sz w:val="18"/>
                <w:szCs w:val="18"/>
              </w:rPr>
            </w:pPr>
            <w:r>
              <w:rPr>
                <w:rFonts w:hint="eastAsia"/>
                <w:sz w:val="18"/>
                <w:szCs w:val="18"/>
              </w:rPr>
              <w:t>重庆吉尼斯丹服饰实业公司</w:t>
            </w:r>
          </w:p>
        </w:tc>
        <w:tc>
          <w:tcPr>
            <w:tcW w:w="339" w:type="pct"/>
            <w:shd w:val="clear" w:color="auto" w:fill="auto"/>
            <w:vAlign w:val="center"/>
          </w:tcPr>
          <w:p>
            <w:pPr>
              <w:pStyle w:val="42"/>
              <w:rPr>
                <w:sz w:val="18"/>
                <w:szCs w:val="18"/>
              </w:rPr>
            </w:pPr>
            <w:r>
              <w:rPr>
                <w:sz w:val="18"/>
                <w:szCs w:val="18"/>
              </w:rPr>
              <w:t>18.18</w:t>
            </w:r>
          </w:p>
        </w:tc>
        <w:tc>
          <w:tcPr>
            <w:tcW w:w="301" w:type="pct"/>
            <w:shd w:val="clear" w:color="auto" w:fill="auto"/>
            <w:vAlign w:val="center"/>
          </w:tcPr>
          <w:p>
            <w:pPr>
              <w:pStyle w:val="42"/>
              <w:rPr>
                <w:sz w:val="18"/>
                <w:szCs w:val="18"/>
              </w:rPr>
            </w:pPr>
            <w:r>
              <w:rPr>
                <w:sz w:val="18"/>
                <w:szCs w:val="18"/>
              </w:rPr>
              <w:t>3</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77</w:t>
            </w:r>
          </w:p>
        </w:tc>
        <w:tc>
          <w:tcPr>
            <w:tcW w:w="947" w:type="pct"/>
            <w:shd w:val="clear" w:color="auto" w:fill="auto"/>
            <w:vAlign w:val="center"/>
          </w:tcPr>
          <w:p>
            <w:pPr>
              <w:pStyle w:val="42"/>
              <w:rPr>
                <w:sz w:val="18"/>
                <w:szCs w:val="18"/>
              </w:rPr>
            </w:pPr>
            <w:r>
              <w:rPr>
                <w:rFonts w:hint="eastAsia"/>
                <w:sz w:val="18"/>
                <w:szCs w:val="18"/>
              </w:rPr>
              <w:t>重庆凯茵橡胶有限公司</w:t>
            </w:r>
          </w:p>
        </w:tc>
        <w:tc>
          <w:tcPr>
            <w:tcW w:w="339" w:type="pct"/>
            <w:shd w:val="clear" w:color="auto" w:fill="auto"/>
            <w:vAlign w:val="center"/>
          </w:tcPr>
          <w:p>
            <w:pPr>
              <w:pStyle w:val="42"/>
              <w:rPr>
                <w:sz w:val="18"/>
                <w:szCs w:val="18"/>
              </w:rPr>
            </w:pPr>
            <w:r>
              <w:rPr>
                <w:sz w:val="18"/>
                <w:szCs w:val="18"/>
              </w:rPr>
              <w:t>9</w:t>
            </w:r>
          </w:p>
        </w:tc>
        <w:tc>
          <w:tcPr>
            <w:tcW w:w="301" w:type="pct"/>
            <w:shd w:val="clear" w:color="auto" w:fill="auto"/>
            <w:vAlign w:val="center"/>
          </w:tcPr>
          <w:p>
            <w:pPr>
              <w:pStyle w:val="42"/>
              <w:rPr>
                <w:sz w:val="18"/>
                <w:szCs w:val="18"/>
              </w:rPr>
            </w:pPr>
            <w:r>
              <w:rPr>
                <w:sz w:val="18"/>
                <w:szCs w:val="18"/>
              </w:rPr>
              <w:t>1.05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78</w:t>
            </w:r>
          </w:p>
        </w:tc>
        <w:tc>
          <w:tcPr>
            <w:tcW w:w="947" w:type="pct"/>
            <w:shd w:val="clear" w:color="auto" w:fill="auto"/>
            <w:vAlign w:val="center"/>
          </w:tcPr>
          <w:p>
            <w:pPr>
              <w:pStyle w:val="42"/>
              <w:rPr>
                <w:sz w:val="18"/>
                <w:szCs w:val="18"/>
              </w:rPr>
            </w:pPr>
            <w:r>
              <w:rPr>
                <w:rFonts w:hint="eastAsia"/>
                <w:sz w:val="18"/>
                <w:szCs w:val="18"/>
              </w:rPr>
              <w:t>重庆吉强标识公司</w:t>
            </w:r>
          </w:p>
        </w:tc>
        <w:tc>
          <w:tcPr>
            <w:tcW w:w="339" w:type="pct"/>
            <w:shd w:val="clear" w:color="auto" w:fill="auto"/>
            <w:vAlign w:val="center"/>
          </w:tcPr>
          <w:p>
            <w:pPr>
              <w:pStyle w:val="42"/>
              <w:rPr>
                <w:sz w:val="18"/>
                <w:szCs w:val="18"/>
              </w:rPr>
            </w:pPr>
            <w:r>
              <w:rPr>
                <w:sz w:val="18"/>
                <w:szCs w:val="18"/>
              </w:rPr>
              <w:t>9</w:t>
            </w:r>
          </w:p>
        </w:tc>
        <w:tc>
          <w:tcPr>
            <w:tcW w:w="301" w:type="pct"/>
            <w:shd w:val="clear" w:color="auto" w:fill="auto"/>
            <w:vAlign w:val="center"/>
          </w:tcPr>
          <w:p>
            <w:pPr>
              <w:pStyle w:val="42"/>
              <w:rPr>
                <w:sz w:val="18"/>
                <w:szCs w:val="18"/>
              </w:rPr>
            </w:pPr>
            <w:r>
              <w:rPr>
                <w:sz w:val="18"/>
                <w:szCs w:val="18"/>
              </w:rPr>
              <w:t>1.35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1.08</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 w:hRule="atLeast"/>
        </w:trPr>
        <w:tc>
          <w:tcPr>
            <w:tcW w:w="132" w:type="pct"/>
            <w:shd w:val="clear" w:color="auto" w:fill="auto"/>
          </w:tcPr>
          <w:p>
            <w:pPr>
              <w:pStyle w:val="42"/>
              <w:rPr>
                <w:sz w:val="18"/>
                <w:szCs w:val="18"/>
              </w:rPr>
            </w:pPr>
            <w:r>
              <w:rPr>
                <w:sz w:val="18"/>
                <w:szCs w:val="18"/>
              </w:rPr>
              <w:t>79</w:t>
            </w:r>
          </w:p>
        </w:tc>
        <w:tc>
          <w:tcPr>
            <w:tcW w:w="947" w:type="pct"/>
            <w:shd w:val="clear" w:color="auto" w:fill="auto"/>
            <w:vAlign w:val="center"/>
          </w:tcPr>
          <w:p>
            <w:pPr>
              <w:pStyle w:val="42"/>
              <w:rPr>
                <w:sz w:val="18"/>
                <w:szCs w:val="18"/>
              </w:rPr>
            </w:pPr>
            <w:r>
              <w:rPr>
                <w:rFonts w:hint="eastAsia"/>
                <w:sz w:val="18"/>
                <w:szCs w:val="18"/>
              </w:rPr>
              <w:t>重庆冬润果蔬饮品有限公司</w:t>
            </w:r>
          </w:p>
        </w:tc>
        <w:tc>
          <w:tcPr>
            <w:tcW w:w="339" w:type="pct"/>
            <w:shd w:val="clear" w:color="auto" w:fill="auto"/>
            <w:vAlign w:val="center"/>
          </w:tcPr>
          <w:p>
            <w:pPr>
              <w:pStyle w:val="42"/>
              <w:rPr>
                <w:sz w:val="18"/>
                <w:szCs w:val="18"/>
              </w:rPr>
            </w:pPr>
            <w:r>
              <w:rPr>
                <w:sz w:val="18"/>
                <w:szCs w:val="18"/>
              </w:rPr>
              <w:t>12.27</w:t>
            </w:r>
          </w:p>
        </w:tc>
        <w:tc>
          <w:tcPr>
            <w:tcW w:w="301" w:type="pct"/>
            <w:shd w:val="clear" w:color="auto" w:fill="auto"/>
            <w:vAlign w:val="center"/>
          </w:tcPr>
          <w:p>
            <w:pPr>
              <w:pStyle w:val="42"/>
              <w:rPr>
                <w:sz w:val="18"/>
                <w:szCs w:val="18"/>
              </w:rPr>
            </w:pPr>
            <w:r>
              <w:rPr>
                <w:sz w:val="18"/>
                <w:szCs w:val="18"/>
              </w:rPr>
              <w:t>0.61</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0.61</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80</w:t>
            </w:r>
          </w:p>
        </w:tc>
        <w:tc>
          <w:tcPr>
            <w:tcW w:w="947" w:type="pct"/>
            <w:shd w:val="clear" w:color="auto" w:fill="auto"/>
            <w:vAlign w:val="center"/>
          </w:tcPr>
          <w:p>
            <w:pPr>
              <w:pStyle w:val="42"/>
              <w:rPr>
                <w:sz w:val="18"/>
                <w:szCs w:val="18"/>
              </w:rPr>
            </w:pPr>
            <w:r>
              <w:rPr>
                <w:rFonts w:hint="eastAsia"/>
                <w:sz w:val="18"/>
                <w:szCs w:val="18"/>
              </w:rPr>
              <w:t>重庆伟龙食品公司</w:t>
            </w:r>
          </w:p>
        </w:tc>
        <w:tc>
          <w:tcPr>
            <w:tcW w:w="339" w:type="pct"/>
            <w:shd w:val="clear" w:color="auto" w:fill="auto"/>
            <w:vAlign w:val="center"/>
          </w:tcPr>
          <w:p>
            <w:pPr>
              <w:pStyle w:val="42"/>
              <w:rPr>
                <w:sz w:val="18"/>
                <w:szCs w:val="18"/>
              </w:rPr>
            </w:pPr>
            <w:r>
              <w:rPr>
                <w:sz w:val="18"/>
                <w:szCs w:val="18"/>
              </w:rPr>
              <w:t>8</w:t>
            </w:r>
          </w:p>
        </w:tc>
        <w:tc>
          <w:tcPr>
            <w:tcW w:w="301" w:type="pct"/>
            <w:shd w:val="clear" w:color="auto" w:fill="auto"/>
            <w:vAlign w:val="center"/>
          </w:tcPr>
          <w:p>
            <w:pPr>
              <w:pStyle w:val="42"/>
              <w:rPr>
                <w:sz w:val="18"/>
                <w:szCs w:val="18"/>
              </w:rPr>
            </w:pPr>
            <w:r>
              <w:rPr>
                <w:sz w:val="18"/>
                <w:szCs w:val="18"/>
              </w:rPr>
              <w:t>3.65</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1.56</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81</w:t>
            </w:r>
          </w:p>
        </w:tc>
        <w:tc>
          <w:tcPr>
            <w:tcW w:w="947" w:type="pct"/>
            <w:shd w:val="clear" w:color="auto" w:fill="auto"/>
            <w:vAlign w:val="center"/>
          </w:tcPr>
          <w:p>
            <w:pPr>
              <w:pStyle w:val="42"/>
              <w:rPr>
                <w:sz w:val="18"/>
                <w:szCs w:val="18"/>
              </w:rPr>
            </w:pPr>
            <w:r>
              <w:rPr>
                <w:rFonts w:hint="eastAsia"/>
                <w:sz w:val="18"/>
                <w:szCs w:val="18"/>
              </w:rPr>
              <w:t>天圣</w:t>
            </w:r>
          </w:p>
        </w:tc>
        <w:tc>
          <w:tcPr>
            <w:tcW w:w="339" w:type="pct"/>
            <w:shd w:val="clear" w:color="auto" w:fill="auto"/>
            <w:vAlign w:val="center"/>
          </w:tcPr>
          <w:p>
            <w:pPr>
              <w:pStyle w:val="42"/>
              <w:rPr>
                <w:sz w:val="18"/>
                <w:szCs w:val="18"/>
              </w:rPr>
            </w:pPr>
            <w:r>
              <w:rPr>
                <w:sz w:val="18"/>
                <w:szCs w:val="18"/>
              </w:rPr>
              <w:t>21.2</w:t>
            </w:r>
          </w:p>
        </w:tc>
        <w:tc>
          <w:tcPr>
            <w:tcW w:w="301" w:type="pct"/>
            <w:shd w:val="clear" w:color="auto" w:fill="auto"/>
            <w:vAlign w:val="center"/>
          </w:tcPr>
          <w:p>
            <w:pPr>
              <w:pStyle w:val="42"/>
              <w:rPr>
                <w:sz w:val="18"/>
                <w:szCs w:val="18"/>
              </w:rPr>
            </w:pPr>
            <w:r>
              <w:rPr>
                <w:sz w:val="18"/>
                <w:szCs w:val="18"/>
              </w:rPr>
              <w:t>0.44</w:t>
            </w:r>
          </w:p>
        </w:tc>
        <w:tc>
          <w:tcPr>
            <w:tcW w:w="262" w:type="pct"/>
            <w:shd w:val="clear" w:color="auto" w:fill="auto"/>
            <w:vAlign w:val="center"/>
          </w:tcPr>
          <w:p>
            <w:pPr>
              <w:pStyle w:val="42"/>
              <w:rPr>
                <w:sz w:val="18"/>
                <w:szCs w:val="18"/>
              </w:rPr>
            </w:pPr>
            <w:r>
              <w:rPr>
                <w:sz w:val="18"/>
                <w:szCs w:val="18"/>
              </w:rPr>
              <w:t>0.15</w:t>
            </w:r>
          </w:p>
        </w:tc>
        <w:tc>
          <w:tcPr>
            <w:tcW w:w="301"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sz w:val="18"/>
                <w:szCs w:val="18"/>
              </w:rPr>
              <w:t>0.15</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0.02</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82</w:t>
            </w:r>
          </w:p>
        </w:tc>
        <w:tc>
          <w:tcPr>
            <w:tcW w:w="947" w:type="pct"/>
            <w:shd w:val="clear" w:color="auto" w:fill="auto"/>
            <w:vAlign w:val="center"/>
          </w:tcPr>
          <w:p>
            <w:pPr>
              <w:pStyle w:val="42"/>
              <w:rPr>
                <w:sz w:val="18"/>
                <w:szCs w:val="18"/>
              </w:rPr>
            </w:pPr>
            <w:r>
              <w:rPr>
                <w:rFonts w:hint="eastAsia"/>
                <w:sz w:val="18"/>
                <w:szCs w:val="18"/>
              </w:rPr>
              <w:t>重庆镁禾环保科技有限公司年产</w:t>
            </w:r>
            <w:r>
              <w:rPr>
                <w:sz w:val="18"/>
                <w:szCs w:val="18"/>
              </w:rPr>
              <w:t>1000</w:t>
            </w:r>
            <w:r>
              <w:rPr>
                <w:rFonts w:hint="eastAsia"/>
                <w:sz w:val="18"/>
                <w:szCs w:val="18"/>
              </w:rPr>
              <w:t>万套镁合金脱漆项目</w:t>
            </w:r>
          </w:p>
        </w:tc>
        <w:tc>
          <w:tcPr>
            <w:tcW w:w="339" w:type="pct"/>
            <w:shd w:val="clear" w:color="auto" w:fill="auto"/>
            <w:vAlign w:val="center"/>
          </w:tcPr>
          <w:p>
            <w:pPr>
              <w:pStyle w:val="42"/>
              <w:rPr>
                <w:sz w:val="18"/>
                <w:szCs w:val="18"/>
              </w:rPr>
            </w:pPr>
            <w:r>
              <w:rPr>
                <w:sz w:val="18"/>
                <w:szCs w:val="18"/>
              </w:rPr>
              <w:t>7.4</w:t>
            </w:r>
          </w:p>
        </w:tc>
        <w:tc>
          <w:tcPr>
            <w:tcW w:w="301" w:type="pct"/>
            <w:shd w:val="clear" w:color="auto" w:fill="auto"/>
            <w:vAlign w:val="center"/>
          </w:tcPr>
          <w:p>
            <w:pPr>
              <w:pStyle w:val="42"/>
              <w:rPr>
                <w:sz w:val="18"/>
                <w:szCs w:val="18"/>
              </w:rPr>
            </w:pPr>
            <w:r>
              <w:rPr>
                <w:sz w:val="18"/>
                <w:szCs w:val="18"/>
              </w:rPr>
              <w:t>0.133</w:t>
            </w:r>
          </w:p>
        </w:tc>
        <w:tc>
          <w:tcPr>
            <w:tcW w:w="26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0.022</w:t>
            </w:r>
          </w:p>
        </w:tc>
        <w:tc>
          <w:tcPr>
            <w:tcW w:w="301" w:type="pct"/>
            <w:shd w:val="clear" w:color="auto" w:fill="auto"/>
            <w:vAlign w:val="center"/>
          </w:tcPr>
          <w:p>
            <w:pPr>
              <w:pStyle w:val="42"/>
              <w:rPr>
                <w:sz w:val="18"/>
                <w:szCs w:val="18"/>
              </w:rPr>
            </w:pPr>
            <w:r>
              <w:rPr>
                <w:sz w:val="18"/>
                <w:szCs w:val="18"/>
              </w:rPr>
              <w:t>　</w:t>
            </w:r>
          </w:p>
        </w:tc>
        <w:tc>
          <w:tcPr>
            <w:tcW w:w="222" w:type="pct"/>
            <w:shd w:val="clear" w:color="auto" w:fill="auto"/>
            <w:vAlign w:val="center"/>
          </w:tcPr>
          <w:p>
            <w:pPr>
              <w:pStyle w:val="42"/>
              <w:rPr>
                <w:sz w:val="18"/>
                <w:szCs w:val="18"/>
              </w:rPr>
            </w:pPr>
            <w:r>
              <w:rPr>
                <w:sz w:val="18"/>
                <w:szCs w:val="18"/>
              </w:rPr>
              <w:t>　</w:t>
            </w:r>
          </w:p>
        </w:tc>
        <w:tc>
          <w:tcPr>
            <w:tcW w:w="301" w:type="pct"/>
            <w:shd w:val="clear" w:color="auto" w:fill="auto"/>
            <w:vAlign w:val="center"/>
          </w:tcPr>
          <w:p>
            <w:pPr>
              <w:pStyle w:val="42"/>
              <w:rPr>
                <w:sz w:val="18"/>
                <w:szCs w:val="18"/>
              </w:rPr>
            </w:pPr>
            <w:r>
              <w:rPr>
                <w:sz w:val="18"/>
                <w:szCs w:val="18"/>
              </w:rPr>
              <w:t>　</w:t>
            </w:r>
          </w:p>
        </w:tc>
        <w:tc>
          <w:tcPr>
            <w:tcW w:w="226" w:type="pct"/>
            <w:shd w:val="clear" w:color="auto" w:fill="auto"/>
            <w:vAlign w:val="center"/>
          </w:tcPr>
          <w:p>
            <w:pPr>
              <w:pStyle w:val="42"/>
              <w:rPr>
                <w:sz w:val="18"/>
                <w:szCs w:val="18"/>
              </w:rPr>
            </w:pPr>
            <w:r>
              <w:rPr>
                <w:sz w:val="18"/>
                <w:szCs w:val="18"/>
              </w:rPr>
              <w:t>　</w:t>
            </w:r>
          </w:p>
        </w:tc>
        <w:tc>
          <w:tcPr>
            <w:tcW w:w="181" w:type="pct"/>
            <w:shd w:val="clear" w:color="auto" w:fill="auto"/>
            <w:vAlign w:val="center"/>
          </w:tcPr>
          <w:p>
            <w:pPr>
              <w:pStyle w:val="42"/>
              <w:rPr>
                <w:sz w:val="18"/>
                <w:szCs w:val="18"/>
              </w:rPr>
            </w:pPr>
            <w:r>
              <w:rPr>
                <w:sz w:val="18"/>
                <w:szCs w:val="18"/>
              </w:rPr>
              <w:t>　</w:t>
            </w:r>
          </w:p>
        </w:tc>
        <w:tc>
          <w:tcPr>
            <w:tcW w:w="264" w:type="pct"/>
            <w:shd w:val="clear" w:color="auto" w:fill="auto"/>
            <w:vAlign w:val="center"/>
          </w:tcPr>
          <w:p>
            <w:pPr>
              <w:pStyle w:val="42"/>
              <w:rPr>
                <w:sz w:val="18"/>
                <w:szCs w:val="18"/>
              </w:rPr>
            </w:pPr>
            <w:r>
              <w:rPr>
                <w:sz w:val="18"/>
                <w:szCs w:val="18"/>
              </w:rPr>
              <w:t>　</w:t>
            </w:r>
          </w:p>
        </w:tc>
        <w:tc>
          <w:tcPr>
            <w:tcW w:w="280" w:type="pct"/>
            <w:shd w:val="clear" w:color="auto" w:fill="auto"/>
            <w:vAlign w:val="center"/>
          </w:tcPr>
          <w:p>
            <w:pPr>
              <w:pStyle w:val="42"/>
              <w:rPr>
                <w:sz w:val="18"/>
                <w:szCs w:val="18"/>
              </w:rPr>
            </w:pPr>
            <w:r>
              <w:rPr>
                <w:sz w:val="18"/>
                <w:szCs w:val="18"/>
              </w:rPr>
              <w:t>　</w:t>
            </w:r>
          </w:p>
        </w:tc>
        <w:tc>
          <w:tcPr>
            <w:tcW w:w="302" w:type="pct"/>
            <w:shd w:val="clear" w:color="auto" w:fill="auto"/>
            <w:vAlign w:val="center"/>
          </w:tcPr>
          <w:p>
            <w:pPr>
              <w:pStyle w:val="42"/>
              <w:rPr>
                <w:sz w:val="18"/>
                <w:szCs w:val="18"/>
              </w:rPr>
            </w:pPr>
            <w:r>
              <w:rPr>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83</w:t>
            </w:r>
          </w:p>
        </w:tc>
        <w:tc>
          <w:tcPr>
            <w:tcW w:w="947" w:type="pct"/>
            <w:shd w:val="clear" w:color="auto" w:fill="auto"/>
            <w:vAlign w:val="center"/>
          </w:tcPr>
          <w:p>
            <w:pPr>
              <w:pStyle w:val="42"/>
              <w:rPr>
                <w:sz w:val="18"/>
                <w:szCs w:val="18"/>
              </w:rPr>
            </w:pPr>
            <w:r>
              <w:rPr>
                <w:rFonts w:hint="eastAsia"/>
                <w:sz w:val="18"/>
                <w:szCs w:val="18"/>
              </w:rPr>
              <w:t>重庆峰圣石化有限公司</w:t>
            </w:r>
          </w:p>
        </w:tc>
        <w:tc>
          <w:tcPr>
            <w:tcW w:w="339" w:type="pct"/>
            <w:shd w:val="clear" w:color="auto" w:fill="auto"/>
            <w:vAlign w:val="center"/>
          </w:tcPr>
          <w:p>
            <w:pPr>
              <w:pStyle w:val="42"/>
              <w:rPr>
                <w:sz w:val="18"/>
                <w:szCs w:val="18"/>
              </w:rPr>
            </w:pPr>
            <w:r>
              <w:rPr>
                <w:sz w:val="18"/>
                <w:szCs w:val="18"/>
              </w:rPr>
              <w:t>13.8</w:t>
            </w:r>
          </w:p>
        </w:tc>
        <w:tc>
          <w:tcPr>
            <w:tcW w:w="301" w:type="pct"/>
            <w:shd w:val="clear" w:color="auto" w:fill="auto"/>
            <w:vAlign w:val="center"/>
          </w:tcPr>
          <w:p>
            <w:pPr>
              <w:pStyle w:val="42"/>
              <w:rPr>
                <w:sz w:val="18"/>
                <w:szCs w:val="18"/>
              </w:rPr>
            </w:pPr>
            <w:r>
              <w:rPr>
                <w:sz w:val="18"/>
                <w:szCs w:val="18"/>
              </w:rPr>
              <w:t>0.276</w:t>
            </w:r>
          </w:p>
        </w:tc>
        <w:tc>
          <w:tcPr>
            <w:tcW w:w="262" w:type="pct"/>
            <w:shd w:val="clear" w:color="auto" w:fill="auto"/>
            <w:vAlign w:val="center"/>
          </w:tcPr>
          <w:p>
            <w:pPr>
              <w:pStyle w:val="42"/>
              <w:rPr>
                <w:sz w:val="18"/>
                <w:szCs w:val="18"/>
              </w:rPr>
            </w:pPr>
            <w:r>
              <w:rPr>
                <w:sz w:val="18"/>
                <w:szCs w:val="18"/>
              </w:rPr>
              <w:t>0.092</w:t>
            </w:r>
          </w:p>
        </w:tc>
        <w:tc>
          <w:tcPr>
            <w:tcW w:w="301" w:type="pct"/>
            <w:shd w:val="clear" w:color="auto" w:fill="auto"/>
            <w:vAlign w:val="center"/>
          </w:tcPr>
          <w:p>
            <w:pPr>
              <w:pStyle w:val="42"/>
              <w:rPr>
                <w:sz w:val="18"/>
                <w:szCs w:val="18"/>
              </w:rPr>
            </w:pPr>
            <w:r>
              <w:rPr>
                <w:sz w:val="18"/>
                <w:szCs w:val="18"/>
              </w:rPr>
              <w:t>0.046</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sz w:val="18"/>
                <w:szCs w:val="18"/>
              </w:rPr>
              <w:t>0.014</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84</w:t>
            </w:r>
          </w:p>
        </w:tc>
        <w:tc>
          <w:tcPr>
            <w:tcW w:w="947" w:type="pct"/>
            <w:shd w:val="clear" w:color="auto" w:fill="auto"/>
            <w:vAlign w:val="center"/>
          </w:tcPr>
          <w:p>
            <w:pPr>
              <w:pStyle w:val="42"/>
              <w:rPr>
                <w:sz w:val="18"/>
                <w:szCs w:val="18"/>
              </w:rPr>
            </w:pPr>
            <w:r>
              <w:rPr>
                <w:rFonts w:hint="eastAsia"/>
                <w:sz w:val="18"/>
                <w:szCs w:val="18"/>
              </w:rPr>
              <w:t>重庆金圆顺涂装科技有限公司</w:t>
            </w:r>
          </w:p>
        </w:tc>
        <w:tc>
          <w:tcPr>
            <w:tcW w:w="339" w:type="pct"/>
            <w:shd w:val="clear" w:color="auto" w:fill="auto"/>
            <w:vAlign w:val="center"/>
          </w:tcPr>
          <w:p>
            <w:pPr>
              <w:pStyle w:val="42"/>
              <w:rPr>
                <w:sz w:val="18"/>
                <w:szCs w:val="18"/>
              </w:rPr>
            </w:pPr>
            <w:r>
              <w:rPr>
                <w:sz w:val="18"/>
                <w:szCs w:val="18"/>
              </w:rPr>
              <w:t>14.4</w:t>
            </w:r>
          </w:p>
        </w:tc>
        <w:tc>
          <w:tcPr>
            <w:tcW w:w="301" w:type="pct"/>
            <w:shd w:val="clear" w:color="auto" w:fill="auto"/>
            <w:vAlign w:val="center"/>
          </w:tcPr>
          <w:p>
            <w:pPr>
              <w:pStyle w:val="42"/>
              <w:rPr>
                <w:sz w:val="18"/>
                <w:szCs w:val="18"/>
              </w:rPr>
            </w:pPr>
            <w:r>
              <w:rPr>
                <w:sz w:val="18"/>
                <w:szCs w:val="18"/>
              </w:rPr>
              <w:t>1.456</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0.043</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 w:hRule="atLeast"/>
        </w:trPr>
        <w:tc>
          <w:tcPr>
            <w:tcW w:w="132" w:type="pct"/>
            <w:shd w:val="clear" w:color="auto" w:fill="auto"/>
          </w:tcPr>
          <w:p>
            <w:pPr>
              <w:pStyle w:val="42"/>
              <w:rPr>
                <w:sz w:val="18"/>
                <w:szCs w:val="18"/>
              </w:rPr>
            </w:pPr>
            <w:r>
              <w:rPr>
                <w:sz w:val="18"/>
                <w:szCs w:val="18"/>
              </w:rPr>
              <w:t>85</w:t>
            </w:r>
          </w:p>
        </w:tc>
        <w:tc>
          <w:tcPr>
            <w:tcW w:w="947" w:type="pct"/>
            <w:shd w:val="clear" w:color="auto" w:fill="auto"/>
            <w:vAlign w:val="center"/>
          </w:tcPr>
          <w:p>
            <w:pPr>
              <w:pStyle w:val="42"/>
              <w:rPr>
                <w:sz w:val="18"/>
                <w:szCs w:val="18"/>
              </w:rPr>
            </w:pPr>
            <w:r>
              <w:rPr>
                <w:rFonts w:hint="eastAsia"/>
                <w:sz w:val="18"/>
                <w:szCs w:val="18"/>
              </w:rPr>
              <w:t>重庆钢铁集团建设工程有限公司</w:t>
            </w:r>
          </w:p>
        </w:tc>
        <w:tc>
          <w:tcPr>
            <w:tcW w:w="339" w:type="pct"/>
            <w:shd w:val="clear" w:color="auto" w:fill="auto"/>
            <w:vAlign w:val="center"/>
          </w:tcPr>
          <w:p>
            <w:pPr>
              <w:pStyle w:val="42"/>
              <w:rPr>
                <w:sz w:val="18"/>
                <w:szCs w:val="18"/>
              </w:rPr>
            </w:pPr>
            <w:r>
              <w:rPr>
                <w:sz w:val="18"/>
                <w:szCs w:val="18"/>
              </w:rPr>
              <w:t>62.76</w:t>
            </w:r>
          </w:p>
        </w:tc>
        <w:tc>
          <w:tcPr>
            <w:tcW w:w="301" w:type="pct"/>
            <w:shd w:val="clear" w:color="auto" w:fill="auto"/>
            <w:vAlign w:val="center"/>
          </w:tcPr>
          <w:p>
            <w:pPr>
              <w:pStyle w:val="42"/>
              <w:rPr>
                <w:sz w:val="18"/>
                <w:szCs w:val="18"/>
              </w:rPr>
            </w:pPr>
            <w:r>
              <w:rPr>
                <w:sz w:val="18"/>
                <w:szCs w:val="18"/>
              </w:rPr>
              <w:t>1.44</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0.24</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trPr>
        <w:tc>
          <w:tcPr>
            <w:tcW w:w="132" w:type="pct"/>
            <w:shd w:val="clear" w:color="auto" w:fill="auto"/>
          </w:tcPr>
          <w:p>
            <w:pPr>
              <w:pStyle w:val="42"/>
              <w:rPr>
                <w:sz w:val="18"/>
                <w:szCs w:val="18"/>
              </w:rPr>
            </w:pPr>
            <w:r>
              <w:rPr>
                <w:sz w:val="18"/>
                <w:szCs w:val="18"/>
              </w:rPr>
              <w:t>86</w:t>
            </w:r>
          </w:p>
        </w:tc>
        <w:tc>
          <w:tcPr>
            <w:tcW w:w="947" w:type="pct"/>
            <w:shd w:val="clear" w:color="auto" w:fill="auto"/>
            <w:vAlign w:val="center"/>
          </w:tcPr>
          <w:p>
            <w:pPr>
              <w:pStyle w:val="42"/>
              <w:rPr>
                <w:sz w:val="18"/>
                <w:szCs w:val="18"/>
              </w:rPr>
            </w:pPr>
            <w:r>
              <w:rPr>
                <w:rFonts w:hint="eastAsia"/>
                <w:sz w:val="18"/>
                <w:szCs w:val="18"/>
              </w:rPr>
              <w:t>重庆云天化纽米科技股份有限公司</w:t>
            </w:r>
          </w:p>
        </w:tc>
        <w:tc>
          <w:tcPr>
            <w:tcW w:w="339" w:type="pct"/>
            <w:shd w:val="clear" w:color="auto" w:fill="auto"/>
            <w:vAlign w:val="center"/>
          </w:tcPr>
          <w:p>
            <w:pPr>
              <w:pStyle w:val="42"/>
              <w:rPr>
                <w:sz w:val="18"/>
                <w:szCs w:val="18"/>
              </w:rPr>
            </w:pPr>
            <w:r>
              <w:rPr>
                <w:sz w:val="18"/>
                <w:szCs w:val="18"/>
              </w:rPr>
              <w:t>141.2</w:t>
            </w:r>
          </w:p>
        </w:tc>
        <w:tc>
          <w:tcPr>
            <w:tcW w:w="301" w:type="pct"/>
            <w:shd w:val="clear" w:color="auto" w:fill="auto"/>
            <w:vAlign w:val="center"/>
          </w:tcPr>
          <w:p>
            <w:pPr>
              <w:pStyle w:val="42"/>
              <w:rPr>
                <w:sz w:val="18"/>
                <w:szCs w:val="18"/>
              </w:rPr>
            </w:pPr>
            <w:r>
              <w:rPr>
                <w:sz w:val="18"/>
                <w:szCs w:val="18"/>
              </w:rPr>
              <w:t>2.04</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0.08</w:t>
            </w:r>
          </w:p>
        </w:tc>
        <w:tc>
          <w:tcPr>
            <w:tcW w:w="301" w:type="pct"/>
            <w:shd w:val="clear" w:color="auto" w:fill="auto"/>
            <w:vAlign w:val="center"/>
          </w:tcPr>
          <w:p>
            <w:pPr>
              <w:pStyle w:val="42"/>
              <w:rPr>
                <w:sz w:val="18"/>
                <w:szCs w:val="18"/>
              </w:rPr>
            </w:pPr>
            <w:r>
              <w:rPr>
                <w:sz w:val="18"/>
                <w:szCs w:val="18"/>
              </w:rPr>
              <w:t>0.55</w:t>
            </w:r>
          </w:p>
        </w:tc>
        <w:tc>
          <w:tcPr>
            <w:tcW w:w="222" w:type="pct"/>
            <w:shd w:val="clear" w:color="auto" w:fill="auto"/>
            <w:vAlign w:val="center"/>
          </w:tcPr>
          <w:p>
            <w:pPr>
              <w:pStyle w:val="42"/>
              <w:rPr>
                <w:sz w:val="18"/>
                <w:szCs w:val="18"/>
              </w:rPr>
            </w:pPr>
            <w:r>
              <w:rPr>
                <w:sz w:val="18"/>
                <w:szCs w:val="18"/>
              </w:rPr>
              <w:t>0.005</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trPr>
        <w:tc>
          <w:tcPr>
            <w:tcW w:w="132" w:type="pct"/>
            <w:shd w:val="clear" w:color="auto" w:fill="auto"/>
          </w:tcPr>
          <w:p>
            <w:pPr>
              <w:pStyle w:val="42"/>
              <w:rPr>
                <w:sz w:val="18"/>
                <w:szCs w:val="18"/>
              </w:rPr>
            </w:pPr>
            <w:r>
              <w:rPr>
                <w:sz w:val="18"/>
                <w:szCs w:val="18"/>
              </w:rPr>
              <w:t>87</w:t>
            </w:r>
          </w:p>
        </w:tc>
        <w:tc>
          <w:tcPr>
            <w:tcW w:w="947" w:type="pct"/>
            <w:shd w:val="clear" w:color="auto" w:fill="auto"/>
            <w:vAlign w:val="center"/>
          </w:tcPr>
          <w:p>
            <w:pPr>
              <w:pStyle w:val="42"/>
              <w:rPr>
                <w:sz w:val="18"/>
                <w:szCs w:val="18"/>
              </w:rPr>
            </w:pPr>
            <w:r>
              <w:rPr>
                <w:rFonts w:hint="eastAsia"/>
                <w:sz w:val="18"/>
                <w:szCs w:val="18"/>
              </w:rPr>
              <w:t>立邦涂料（重庆）化工有限公司</w:t>
            </w:r>
          </w:p>
        </w:tc>
        <w:tc>
          <w:tcPr>
            <w:tcW w:w="339" w:type="pct"/>
            <w:shd w:val="clear" w:color="auto" w:fill="auto"/>
            <w:vAlign w:val="center"/>
          </w:tcPr>
          <w:p>
            <w:pPr>
              <w:pStyle w:val="42"/>
              <w:rPr>
                <w:sz w:val="18"/>
                <w:szCs w:val="18"/>
              </w:rPr>
            </w:pPr>
            <w:r>
              <w:rPr>
                <w:sz w:val="18"/>
                <w:szCs w:val="18"/>
              </w:rPr>
              <w:t>26.54</w:t>
            </w:r>
          </w:p>
        </w:tc>
        <w:tc>
          <w:tcPr>
            <w:tcW w:w="301" w:type="pct"/>
            <w:shd w:val="clear" w:color="auto" w:fill="auto"/>
            <w:vAlign w:val="center"/>
          </w:tcPr>
          <w:p>
            <w:pPr>
              <w:pStyle w:val="42"/>
              <w:rPr>
                <w:sz w:val="18"/>
                <w:szCs w:val="18"/>
              </w:rPr>
            </w:pPr>
            <w:r>
              <w:rPr>
                <w:sz w:val="18"/>
                <w:szCs w:val="18"/>
              </w:rPr>
              <w:t>0.9025</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0.17382</w:t>
            </w:r>
          </w:p>
        </w:tc>
        <w:tc>
          <w:tcPr>
            <w:tcW w:w="301" w:type="pct"/>
            <w:shd w:val="clear" w:color="auto" w:fill="auto"/>
            <w:vAlign w:val="center"/>
          </w:tcPr>
          <w:p>
            <w:pPr>
              <w:pStyle w:val="42"/>
              <w:rPr>
                <w:sz w:val="18"/>
                <w:szCs w:val="18"/>
              </w:rPr>
            </w:pPr>
            <w:r>
              <w:rPr>
                <w:sz w:val="18"/>
                <w:szCs w:val="18"/>
              </w:rPr>
              <w:t>1.63792</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0.00164</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sz w:val="18"/>
                <w:szCs w:val="18"/>
              </w:rPr>
              <w:t>0.03273</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32" w:type="pct"/>
            <w:shd w:val="clear" w:color="auto" w:fill="auto"/>
          </w:tcPr>
          <w:p>
            <w:pPr>
              <w:pStyle w:val="42"/>
              <w:rPr>
                <w:sz w:val="18"/>
                <w:szCs w:val="18"/>
              </w:rPr>
            </w:pPr>
            <w:r>
              <w:rPr>
                <w:sz w:val="18"/>
                <w:szCs w:val="18"/>
              </w:rPr>
              <w:t>88</w:t>
            </w:r>
          </w:p>
        </w:tc>
        <w:tc>
          <w:tcPr>
            <w:tcW w:w="947" w:type="pct"/>
            <w:shd w:val="clear" w:color="auto" w:fill="auto"/>
            <w:vAlign w:val="center"/>
          </w:tcPr>
          <w:p>
            <w:pPr>
              <w:pStyle w:val="42"/>
              <w:rPr>
                <w:sz w:val="18"/>
                <w:szCs w:val="18"/>
              </w:rPr>
            </w:pPr>
            <w:r>
              <w:rPr>
                <w:rFonts w:hint="eastAsia"/>
                <w:sz w:val="18"/>
                <w:szCs w:val="18"/>
              </w:rPr>
              <w:t>中国石化集团四川维尼纶厂</w:t>
            </w:r>
          </w:p>
        </w:tc>
        <w:tc>
          <w:tcPr>
            <w:tcW w:w="339" w:type="pct"/>
            <w:shd w:val="clear" w:color="auto" w:fill="auto"/>
            <w:vAlign w:val="center"/>
          </w:tcPr>
          <w:p>
            <w:pPr>
              <w:pStyle w:val="42"/>
              <w:rPr>
                <w:sz w:val="18"/>
                <w:szCs w:val="18"/>
              </w:rPr>
            </w:pPr>
            <w:r>
              <w:rPr>
                <w:sz w:val="18"/>
                <w:szCs w:val="18"/>
              </w:rPr>
              <w:t>62.78</w:t>
            </w:r>
          </w:p>
        </w:tc>
        <w:tc>
          <w:tcPr>
            <w:tcW w:w="301" w:type="pct"/>
            <w:shd w:val="clear" w:color="auto" w:fill="auto"/>
            <w:vAlign w:val="center"/>
          </w:tcPr>
          <w:p>
            <w:pPr>
              <w:pStyle w:val="42"/>
              <w:rPr>
                <w:sz w:val="18"/>
                <w:szCs w:val="18"/>
              </w:rPr>
            </w:pPr>
            <w:r>
              <w:rPr>
                <w:sz w:val="18"/>
                <w:szCs w:val="18"/>
              </w:rPr>
              <w:t>1.24</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0.17</w:t>
            </w:r>
          </w:p>
        </w:tc>
        <w:tc>
          <w:tcPr>
            <w:tcW w:w="301" w:type="pct"/>
            <w:shd w:val="clear" w:color="auto" w:fill="auto"/>
            <w:vAlign w:val="center"/>
          </w:tcPr>
          <w:p>
            <w:pPr>
              <w:pStyle w:val="42"/>
              <w:rPr>
                <w:sz w:val="18"/>
                <w:szCs w:val="18"/>
              </w:rPr>
            </w:pPr>
            <w:r>
              <w:rPr>
                <w:sz w:val="18"/>
                <w:szCs w:val="18"/>
              </w:rPr>
              <w:t>1.45</w:t>
            </w:r>
          </w:p>
        </w:tc>
        <w:tc>
          <w:tcPr>
            <w:tcW w:w="222" w:type="pct"/>
            <w:shd w:val="clear" w:color="auto" w:fill="auto"/>
            <w:vAlign w:val="center"/>
          </w:tcPr>
          <w:p>
            <w:pPr>
              <w:pStyle w:val="42"/>
              <w:rPr>
                <w:sz w:val="18"/>
                <w:szCs w:val="18"/>
              </w:rPr>
            </w:pPr>
            <w:r>
              <w:rPr>
                <w:sz w:val="18"/>
                <w:szCs w:val="18"/>
              </w:rPr>
              <w:t>0.06</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89</w:t>
            </w:r>
          </w:p>
        </w:tc>
        <w:tc>
          <w:tcPr>
            <w:tcW w:w="947" w:type="pct"/>
            <w:shd w:val="clear" w:color="auto" w:fill="auto"/>
            <w:vAlign w:val="center"/>
          </w:tcPr>
          <w:p>
            <w:pPr>
              <w:pStyle w:val="42"/>
              <w:rPr>
                <w:sz w:val="18"/>
                <w:szCs w:val="18"/>
              </w:rPr>
            </w:pPr>
            <w:r>
              <w:rPr>
                <w:rFonts w:hint="eastAsia"/>
                <w:sz w:val="18"/>
                <w:szCs w:val="18"/>
              </w:rPr>
              <w:t>福安药业集团重庆博圣制药有限公司新建原料药项目</w:t>
            </w:r>
          </w:p>
        </w:tc>
        <w:tc>
          <w:tcPr>
            <w:tcW w:w="339" w:type="pct"/>
            <w:shd w:val="clear" w:color="auto" w:fill="auto"/>
            <w:vAlign w:val="center"/>
          </w:tcPr>
          <w:p>
            <w:pPr>
              <w:pStyle w:val="42"/>
              <w:rPr>
                <w:sz w:val="18"/>
                <w:szCs w:val="18"/>
              </w:rPr>
            </w:pPr>
            <w:r>
              <w:rPr>
                <w:sz w:val="18"/>
                <w:szCs w:val="18"/>
              </w:rPr>
              <w:t>858.72</w:t>
            </w:r>
          </w:p>
        </w:tc>
        <w:tc>
          <w:tcPr>
            <w:tcW w:w="301" w:type="pct"/>
            <w:shd w:val="clear" w:color="auto" w:fill="auto"/>
            <w:vAlign w:val="center"/>
          </w:tcPr>
          <w:p>
            <w:pPr>
              <w:pStyle w:val="42"/>
              <w:rPr>
                <w:sz w:val="18"/>
                <w:szCs w:val="18"/>
              </w:rPr>
            </w:pPr>
            <w:r>
              <w:rPr>
                <w:sz w:val="18"/>
                <w:szCs w:val="18"/>
              </w:rPr>
              <w:t>17</w:t>
            </w:r>
          </w:p>
        </w:tc>
        <w:tc>
          <w:tcPr>
            <w:tcW w:w="262" w:type="pct"/>
            <w:shd w:val="clear" w:color="auto" w:fill="auto"/>
            <w:vAlign w:val="center"/>
          </w:tcPr>
          <w:p>
            <w:pPr>
              <w:pStyle w:val="42"/>
              <w:rPr>
                <w:sz w:val="18"/>
                <w:szCs w:val="18"/>
              </w:rPr>
            </w:pPr>
            <w:r>
              <w:rPr>
                <w:sz w:val="18"/>
                <w:szCs w:val="18"/>
              </w:rPr>
              <w:t>5.67</w:t>
            </w:r>
          </w:p>
        </w:tc>
        <w:tc>
          <w:tcPr>
            <w:tcW w:w="301" w:type="pct"/>
            <w:shd w:val="clear" w:color="auto" w:fill="auto"/>
            <w:vAlign w:val="center"/>
          </w:tcPr>
          <w:p>
            <w:pPr>
              <w:pStyle w:val="42"/>
              <w:rPr>
                <w:sz w:val="18"/>
                <w:szCs w:val="18"/>
              </w:rPr>
            </w:pPr>
            <w:r>
              <w:rPr>
                <w:sz w:val="18"/>
                <w:szCs w:val="18"/>
              </w:rPr>
              <w:t>2.08</w:t>
            </w:r>
          </w:p>
        </w:tc>
        <w:tc>
          <w:tcPr>
            <w:tcW w:w="301" w:type="pct"/>
            <w:shd w:val="clear" w:color="auto" w:fill="auto"/>
            <w:vAlign w:val="center"/>
          </w:tcPr>
          <w:p>
            <w:pPr>
              <w:pStyle w:val="42"/>
              <w:rPr>
                <w:sz w:val="18"/>
                <w:szCs w:val="18"/>
              </w:rPr>
            </w:pPr>
            <w:r>
              <w:rPr>
                <w:sz w:val="18"/>
                <w:szCs w:val="18"/>
              </w:rPr>
              <w:t>19.836</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0.141</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90</w:t>
            </w:r>
          </w:p>
        </w:tc>
        <w:tc>
          <w:tcPr>
            <w:tcW w:w="947" w:type="pct"/>
            <w:shd w:val="clear" w:color="auto" w:fill="auto"/>
            <w:vAlign w:val="center"/>
          </w:tcPr>
          <w:p>
            <w:pPr>
              <w:pStyle w:val="42"/>
              <w:rPr>
                <w:sz w:val="18"/>
                <w:szCs w:val="18"/>
              </w:rPr>
            </w:pPr>
            <w:r>
              <w:rPr>
                <w:rFonts w:hint="eastAsia"/>
                <w:sz w:val="18"/>
                <w:szCs w:val="18"/>
              </w:rPr>
              <w:t>重庆康乐制药有限公司高新技术产品和化学药物生产基地建设项目</w:t>
            </w:r>
          </w:p>
        </w:tc>
        <w:tc>
          <w:tcPr>
            <w:tcW w:w="339" w:type="pct"/>
            <w:shd w:val="clear" w:color="auto" w:fill="auto"/>
            <w:vAlign w:val="center"/>
          </w:tcPr>
          <w:p>
            <w:pPr>
              <w:pStyle w:val="42"/>
              <w:rPr>
                <w:sz w:val="18"/>
                <w:szCs w:val="18"/>
              </w:rPr>
            </w:pPr>
            <w:r>
              <w:rPr>
                <w:sz w:val="18"/>
                <w:szCs w:val="18"/>
              </w:rPr>
              <w:t>649</w:t>
            </w:r>
          </w:p>
        </w:tc>
        <w:tc>
          <w:tcPr>
            <w:tcW w:w="301" w:type="pct"/>
            <w:shd w:val="clear" w:color="auto" w:fill="auto"/>
            <w:vAlign w:val="center"/>
          </w:tcPr>
          <w:p>
            <w:pPr>
              <w:pStyle w:val="42"/>
              <w:rPr>
                <w:sz w:val="18"/>
                <w:szCs w:val="18"/>
              </w:rPr>
            </w:pPr>
            <w:r>
              <w:rPr>
                <w:sz w:val="18"/>
                <w:szCs w:val="18"/>
              </w:rPr>
              <w:t>11.69</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1.95</w:t>
            </w:r>
          </w:p>
        </w:tc>
        <w:tc>
          <w:tcPr>
            <w:tcW w:w="301" w:type="pct"/>
            <w:shd w:val="clear" w:color="auto" w:fill="auto"/>
            <w:vAlign w:val="center"/>
          </w:tcPr>
          <w:p>
            <w:pPr>
              <w:pStyle w:val="42"/>
              <w:rPr>
                <w:sz w:val="18"/>
                <w:szCs w:val="18"/>
              </w:rPr>
            </w:pPr>
            <w:r>
              <w:rPr>
                <w:sz w:val="18"/>
                <w:szCs w:val="18"/>
              </w:rPr>
              <w:t>0.16</w:t>
            </w:r>
          </w:p>
        </w:tc>
        <w:tc>
          <w:tcPr>
            <w:tcW w:w="222" w:type="pct"/>
            <w:shd w:val="clear" w:color="auto" w:fill="auto"/>
            <w:vAlign w:val="center"/>
          </w:tcPr>
          <w:p>
            <w:pPr>
              <w:pStyle w:val="42"/>
              <w:rPr>
                <w:sz w:val="18"/>
                <w:szCs w:val="18"/>
              </w:rPr>
            </w:pPr>
            <w:r>
              <w:rPr>
                <w:sz w:val="18"/>
                <w:szCs w:val="18"/>
              </w:rPr>
              <w:t>0.31</w:t>
            </w:r>
          </w:p>
        </w:tc>
        <w:tc>
          <w:tcPr>
            <w:tcW w:w="301" w:type="pct"/>
            <w:shd w:val="clear" w:color="auto" w:fill="auto"/>
            <w:vAlign w:val="center"/>
          </w:tcPr>
          <w:p>
            <w:pPr>
              <w:pStyle w:val="42"/>
              <w:rPr>
                <w:sz w:val="18"/>
                <w:szCs w:val="18"/>
              </w:rPr>
            </w:pPr>
            <w:r>
              <w:rPr>
                <w:sz w:val="18"/>
                <w:szCs w:val="18"/>
              </w:rPr>
              <w:t>0.097</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91</w:t>
            </w:r>
          </w:p>
        </w:tc>
        <w:tc>
          <w:tcPr>
            <w:tcW w:w="947" w:type="pct"/>
            <w:shd w:val="clear" w:color="auto" w:fill="auto"/>
            <w:vAlign w:val="center"/>
          </w:tcPr>
          <w:p>
            <w:pPr>
              <w:pStyle w:val="42"/>
              <w:rPr>
                <w:sz w:val="18"/>
                <w:szCs w:val="18"/>
              </w:rPr>
            </w:pPr>
            <w:r>
              <w:rPr>
                <w:rFonts w:hint="eastAsia"/>
                <w:sz w:val="18"/>
                <w:szCs w:val="18"/>
              </w:rPr>
              <w:t>重庆长天药业有限公司化学原料药</w:t>
            </w:r>
            <w:r>
              <w:rPr>
                <w:sz w:val="18"/>
                <w:szCs w:val="18"/>
              </w:rPr>
              <w:t xml:space="preserve">GMP </w:t>
            </w:r>
            <w:r>
              <w:rPr>
                <w:rFonts w:hint="eastAsia"/>
                <w:sz w:val="18"/>
                <w:szCs w:val="18"/>
              </w:rPr>
              <w:t>生产基地建设项目</w:t>
            </w:r>
          </w:p>
        </w:tc>
        <w:tc>
          <w:tcPr>
            <w:tcW w:w="339" w:type="pct"/>
            <w:shd w:val="clear" w:color="auto" w:fill="auto"/>
            <w:vAlign w:val="center"/>
          </w:tcPr>
          <w:p>
            <w:pPr>
              <w:pStyle w:val="42"/>
              <w:rPr>
                <w:sz w:val="18"/>
                <w:szCs w:val="18"/>
              </w:rPr>
            </w:pPr>
            <w:r>
              <w:rPr>
                <w:sz w:val="18"/>
                <w:szCs w:val="18"/>
              </w:rPr>
              <w:t>87.27</w:t>
            </w:r>
          </w:p>
        </w:tc>
        <w:tc>
          <w:tcPr>
            <w:tcW w:w="301" w:type="pct"/>
            <w:shd w:val="clear" w:color="auto" w:fill="auto"/>
            <w:vAlign w:val="center"/>
          </w:tcPr>
          <w:p>
            <w:pPr>
              <w:pStyle w:val="42"/>
              <w:rPr>
                <w:sz w:val="18"/>
                <w:szCs w:val="18"/>
              </w:rPr>
            </w:pPr>
            <w:r>
              <w:rPr>
                <w:sz w:val="18"/>
                <w:szCs w:val="18"/>
              </w:rPr>
              <w:t>1.494</w:t>
            </w:r>
          </w:p>
        </w:tc>
        <w:tc>
          <w:tcPr>
            <w:tcW w:w="262" w:type="pct"/>
            <w:shd w:val="clear" w:color="auto" w:fill="auto"/>
            <w:vAlign w:val="center"/>
          </w:tcPr>
          <w:p>
            <w:pPr>
              <w:pStyle w:val="42"/>
              <w:rPr>
                <w:sz w:val="18"/>
                <w:szCs w:val="18"/>
              </w:rPr>
            </w:pPr>
            <w:r>
              <w:rPr>
                <w:sz w:val="18"/>
                <w:szCs w:val="18"/>
              </w:rPr>
              <w:t>0.498</w:t>
            </w:r>
          </w:p>
        </w:tc>
        <w:tc>
          <w:tcPr>
            <w:tcW w:w="301" w:type="pct"/>
            <w:shd w:val="clear" w:color="auto" w:fill="auto"/>
            <w:vAlign w:val="center"/>
          </w:tcPr>
          <w:p>
            <w:pPr>
              <w:pStyle w:val="42"/>
              <w:rPr>
                <w:sz w:val="18"/>
                <w:szCs w:val="18"/>
              </w:rPr>
            </w:pPr>
            <w:r>
              <w:rPr>
                <w:sz w:val="18"/>
                <w:szCs w:val="18"/>
              </w:rPr>
              <w:t>0.249</w:t>
            </w:r>
          </w:p>
        </w:tc>
        <w:tc>
          <w:tcPr>
            <w:tcW w:w="301" w:type="pct"/>
            <w:shd w:val="clear" w:color="auto" w:fill="auto"/>
            <w:vAlign w:val="center"/>
          </w:tcPr>
          <w:p>
            <w:pPr>
              <w:pStyle w:val="42"/>
              <w:rPr>
                <w:sz w:val="18"/>
                <w:szCs w:val="18"/>
              </w:rPr>
            </w:pPr>
            <w:r>
              <w:rPr>
                <w:sz w:val="18"/>
                <w:szCs w:val="18"/>
              </w:rPr>
              <w:t>1.744</w:t>
            </w:r>
          </w:p>
        </w:tc>
        <w:tc>
          <w:tcPr>
            <w:tcW w:w="222" w:type="pct"/>
            <w:shd w:val="clear" w:color="auto" w:fill="auto"/>
            <w:vAlign w:val="center"/>
          </w:tcPr>
          <w:p>
            <w:pPr>
              <w:pStyle w:val="42"/>
              <w:rPr>
                <w:sz w:val="18"/>
                <w:szCs w:val="18"/>
              </w:rPr>
            </w:pPr>
            <w:r>
              <w:rPr>
                <w:sz w:val="18"/>
                <w:szCs w:val="18"/>
              </w:rPr>
              <w:t>0.073</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92</w:t>
            </w:r>
          </w:p>
        </w:tc>
        <w:tc>
          <w:tcPr>
            <w:tcW w:w="947" w:type="pct"/>
            <w:shd w:val="clear" w:color="auto" w:fill="auto"/>
            <w:vAlign w:val="center"/>
          </w:tcPr>
          <w:p>
            <w:pPr>
              <w:pStyle w:val="42"/>
              <w:rPr>
                <w:sz w:val="18"/>
                <w:szCs w:val="18"/>
              </w:rPr>
            </w:pPr>
            <w:r>
              <w:rPr>
                <w:rFonts w:hint="eastAsia"/>
                <w:sz w:val="18"/>
                <w:szCs w:val="18"/>
              </w:rPr>
              <w:t>重庆晟弘化学有限公司年产</w:t>
            </w:r>
            <w:r>
              <w:rPr>
                <w:sz w:val="18"/>
                <w:szCs w:val="18"/>
              </w:rPr>
              <w:t>15000</w:t>
            </w:r>
            <w:r>
              <w:rPr>
                <w:rFonts w:hint="eastAsia"/>
                <w:sz w:val="18"/>
                <w:szCs w:val="18"/>
              </w:rPr>
              <w:t>吨金属表面处理剂、防冻液及玻璃水建设项目</w:t>
            </w:r>
          </w:p>
        </w:tc>
        <w:tc>
          <w:tcPr>
            <w:tcW w:w="339" w:type="pct"/>
            <w:shd w:val="clear" w:color="auto" w:fill="auto"/>
            <w:vAlign w:val="center"/>
          </w:tcPr>
          <w:p>
            <w:pPr>
              <w:pStyle w:val="42"/>
              <w:rPr>
                <w:sz w:val="18"/>
                <w:szCs w:val="18"/>
              </w:rPr>
            </w:pPr>
            <w:r>
              <w:rPr>
                <w:sz w:val="18"/>
                <w:szCs w:val="18"/>
              </w:rPr>
              <w:t>6.5</w:t>
            </w:r>
          </w:p>
        </w:tc>
        <w:tc>
          <w:tcPr>
            <w:tcW w:w="301" w:type="pct"/>
            <w:shd w:val="clear" w:color="auto" w:fill="auto"/>
            <w:vAlign w:val="center"/>
          </w:tcPr>
          <w:p>
            <w:pPr>
              <w:pStyle w:val="42"/>
              <w:rPr>
                <w:sz w:val="18"/>
                <w:szCs w:val="18"/>
              </w:rPr>
            </w:pPr>
            <w:r>
              <w:rPr>
                <w:sz w:val="18"/>
                <w:szCs w:val="18"/>
              </w:rPr>
              <w:t>0.0975</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0.01625</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0.000475</w:t>
            </w:r>
          </w:p>
        </w:tc>
        <w:tc>
          <w:tcPr>
            <w:tcW w:w="226" w:type="pct"/>
            <w:shd w:val="clear" w:color="auto" w:fill="auto"/>
            <w:vAlign w:val="center"/>
          </w:tcPr>
          <w:p>
            <w:pPr>
              <w:pStyle w:val="42"/>
              <w:rPr>
                <w:sz w:val="18"/>
                <w:szCs w:val="18"/>
              </w:rPr>
            </w:pPr>
            <w:r>
              <w:rPr>
                <w:sz w:val="18"/>
                <w:szCs w:val="18"/>
              </w:rPr>
              <w:t>0.0006</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sz w:val="18"/>
                <w:szCs w:val="18"/>
              </w:rPr>
              <w:t>0.0072</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93</w:t>
            </w:r>
          </w:p>
        </w:tc>
        <w:tc>
          <w:tcPr>
            <w:tcW w:w="947" w:type="pct"/>
            <w:shd w:val="clear" w:color="auto" w:fill="auto"/>
            <w:vAlign w:val="center"/>
          </w:tcPr>
          <w:p>
            <w:pPr>
              <w:pStyle w:val="42"/>
              <w:rPr>
                <w:sz w:val="18"/>
                <w:szCs w:val="18"/>
              </w:rPr>
            </w:pPr>
            <w:r>
              <w:rPr>
                <w:rFonts w:hint="eastAsia"/>
                <w:sz w:val="18"/>
                <w:szCs w:val="18"/>
              </w:rPr>
              <w:t>重庆英斯凯化工有限公司卡立普多医药中间体</w:t>
            </w:r>
            <w:r>
              <w:rPr>
                <w:sz w:val="18"/>
                <w:szCs w:val="18"/>
              </w:rPr>
              <w:t>MPP</w:t>
            </w:r>
            <w:r>
              <w:rPr>
                <w:rFonts w:hint="eastAsia"/>
                <w:sz w:val="18"/>
                <w:szCs w:val="18"/>
              </w:rPr>
              <w:t>和莫沙必利中间体</w:t>
            </w:r>
            <w:r>
              <w:rPr>
                <w:sz w:val="18"/>
                <w:szCs w:val="18"/>
              </w:rPr>
              <w:t>J01</w:t>
            </w:r>
            <w:r>
              <w:rPr>
                <w:rFonts w:hint="eastAsia"/>
                <w:sz w:val="18"/>
                <w:szCs w:val="18"/>
              </w:rPr>
              <w:t>及</w:t>
            </w:r>
            <w:r>
              <w:rPr>
                <w:sz w:val="18"/>
                <w:szCs w:val="18"/>
              </w:rPr>
              <w:t>cGMP</w:t>
            </w:r>
            <w:r>
              <w:rPr>
                <w:rFonts w:hint="eastAsia"/>
                <w:sz w:val="18"/>
                <w:szCs w:val="18"/>
              </w:rPr>
              <w:t>平台更新升级项目（一期）</w:t>
            </w:r>
          </w:p>
        </w:tc>
        <w:tc>
          <w:tcPr>
            <w:tcW w:w="339"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2.09</w:t>
            </w:r>
          </w:p>
        </w:tc>
        <w:tc>
          <w:tcPr>
            <w:tcW w:w="262" w:type="pct"/>
            <w:shd w:val="clear" w:color="auto" w:fill="auto"/>
            <w:vAlign w:val="center"/>
          </w:tcPr>
          <w:p>
            <w:pPr>
              <w:pStyle w:val="42"/>
              <w:rPr>
                <w:sz w:val="18"/>
                <w:szCs w:val="18"/>
              </w:rPr>
            </w:pPr>
            <w:r>
              <w:rPr>
                <w:sz w:val="18"/>
                <w:szCs w:val="18"/>
              </w:rPr>
              <w:t>0.72</w:t>
            </w:r>
          </w:p>
        </w:tc>
        <w:tc>
          <w:tcPr>
            <w:tcW w:w="301" w:type="pct"/>
            <w:shd w:val="clear" w:color="auto" w:fill="auto"/>
            <w:vAlign w:val="center"/>
          </w:tcPr>
          <w:p>
            <w:pPr>
              <w:pStyle w:val="42"/>
              <w:rPr>
                <w:sz w:val="18"/>
                <w:szCs w:val="18"/>
              </w:rPr>
            </w:pPr>
            <w:r>
              <w:rPr>
                <w:sz w:val="18"/>
                <w:szCs w:val="18"/>
              </w:rPr>
              <w:t>0.34</w:t>
            </w:r>
          </w:p>
        </w:tc>
        <w:tc>
          <w:tcPr>
            <w:tcW w:w="301" w:type="pct"/>
            <w:shd w:val="clear" w:color="auto" w:fill="auto"/>
            <w:vAlign w:val="center"/>
          </w:tcPr>
          <w:p>
            <w:pPr>
              <w:pStyle w:val="42"/>
              <w:rPr>
                <w:sz w:val="18"/>
                <w:szCs w:val="18"/>
              </w:rPr>
            </w:pPr>
            <w:r>
              <w:rPr>
                <w:sz w:val="18"/>
                <w:szCs w:val="18"/>
              </w:rPr>
              <w:t>2.51</w:t>
            </w:r>
          </w:p>
        </w:tc>
        <w:tc>
          <w:tcPr>
            <w:tcW w:w="222" w:type="pct"/>
            <w:shd w:val="clear" w:color="auto" w:fill="auto"/>
            <w:vAlign w:val="center"/>
          </w:tcPr>
          <w:p>
            <w:pPr>
              <w:pStyle w:val="42"/>
              <w:rPr>
                <w:sz w:val="18"/>
                <w:szCs w:val="18"/>
              </w:rPr>
            </w:pPr>
            <w:r>
              <w:rPr>
                <w:sz w:val="18"/>
                <w:szCs w:val="18"/>
              </w:rPr>
              <w:t>0.013</w:t>
            </w:r>
          </w:p>
        </w:tc>
        <w:tc>
          <w:tcPr>
            <w:tcW w:w="301" w:type="pct"/>
            <w:shd w:val="clear" w:color="auto" w:fill="auto"/>
            <w:vAlign w:val="center"/>
          </w:tcPr>
          <w:p>
            <w:pPr>
              <w:pStyle w:val="42"/>
              <w:rPr>
                <w:sz w:val="18"/>
                <w:szCs w:val="18"/>
              </w:rPr>
            </w:pPr>
            <w:r>
              <w:rPr>
                <w:sz w:val="18"/>
                <w:szCs w:val="18"/>
              </w:rPr>
              <w:t>0.016</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sz w:val="18"/>
                <w:szCs w:val="18"/>
              </w:rPr>
              <w:t>17.6</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sz w:val="18"/>
                <w:szCs w:val="18"/>
              </w:rPr>
              <w:t>0.36</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94</w:t>
            </w:r>
          </w:p>
        </w:tc>
        <w:tc>
          <w:tcPr>
            <w:tcW w:w="947" w:type="pct"/>
            <w:shd w:val="clear" w:color="auto" w:fill="auto"/>
            <w:vAlign w:val="center"/>
          </w:tcPr>
          <w:p>
            <w:pPr>
              <w:pStyle w:val="42"/>
              <w:rPr>
                <w:sz w:val="18"/>
                <w:szCs w:val="18"/>
              </w:rPr>
            </w:pPr>
            <w:r>
              <w:rPr>
                <w:rFonts w:hint="eastAsia"/>
                <w:sz w:val="18"/>
                <w:szCs w:val="18"/>
              </w:rPr>
              <w:t>重庆誉铋机械设备有限公司年产</w:t>
            </w:r>
            <w:r>
              <w:rPr>
                <w:sz w:val="18"/>
                <w:szCs w:val="18"/>
              </w:rPr>
              <w:t xml:space="preserve">60 </w:t>
            </w:r>
            <w:r>
              <w:rPr>
                <w:rFonts w:hint="eastAsia"/>
                <w:sz w:val="18"/>
                <w:szCs w:val="18"/>
              </w:rPr>
              <w:t>套矿山设备及</w:t>
            </w:r>
            <w:r>
              <w:rPr>
                <w:sz w:val="18"/>
                <w:szCs w:val="18"/>
              </w:rPr>
              <w:t xml:space="preserve">1 </w:t>
            </w:r>
            <w:r>
              <w:rPr>
                <w:rFonts w:hint="eastAsia"/>
                <w:sz w:val="18"/>
                <w:szCs w:val="18"/>
              </w:rPr>
              <w:t>万吨钢结构件项目</w:t>
            </w:r>
          </w:p>
        </w:tc>
        <w:tc>
          <w:tcPr>
            <w:tcW w:w="339" w:type="pct"/>
            <w:shd w:val="clear" w:color="auto" w:fill="auto"/>
            <w:vAlign w:val="center"/>
          </w:tcPr>
          <w:p>
            <w:pPr>
              <w:pStyle w:val="42"/>
              <w:rPr>
                <w:sz w:val="18"/>
                <w:szCs w:val="18"/>
              </w:rPr>
            </w:pPr>
            <w:r>
              <w:rPr>
                <w:sz w:val="18"/>
                <w:szCs w:val="18"/>
              </w:rPr>
              <w:t>5.4</w:t>
            </w:r>
          </w:p>
        </w:tc>
        <w:tc>
          <w:tcPr>
            <w:tcW w:w="301" w:type="pct"/>
            <w:shd w:val="clear" w:color="auto" w:fill="auto"/>
            <w:vAlign w:val="center"/>
          </w:tcPr>
          <w:p>
            <w:pPr>
              <w:pStyle w:val="42"/>
              <w:rPr>
                <w:sz w:val="18"/>
                <w:szCs w:val="18"/>
              </w:rPr>
            </w:pPr>
            <w:r>
              <w:rPr>
                <w:sz w:val="18"/>
                <w:szCs w:val="18"/>
              </w:rPr>
              <w:t>0.1</w:t>
            </w:r>
          </w:p>
        </w:tc>
        <w:tc>
          <w:tcPr>
            <w:tcW w:w="262"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0.02</w:t>
            </w:r>
          </w:p>
        </w:tc>
        <w:tc>
          <w:tcPr>
            <w:tcW w:w="301" w:type="pct"/>
            <w:shd w:val="clear" w:color="auto" w:fill="auto"/>
            <w:vAlign w:val="center"/>
          </w:tcPr>
          <w:p>
            <w:pPr>
              <w:pStyle w:val="42"/>
              <w:rPr>
                <w:sz w:val="18"/>
                <w:szCs w:val="18"/>
              </w:rPr>
            </w:pPr>
            <w:r>
              <w:rPr>
                <w:sz w:val="18"/>
                <w:szCs w:val="18"/>
              </w:rPr>
              <w:t>0.11</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sz w:val="18"/>
                <w:szCs w:val="18"/>
              </w:rPr>
              <w:t>0.03</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95</w:t>
            </w:r>
          </w:p>
        </w:tc>
        <w:tc>
          <w:tcPr>
            <w:tcW w:w="947" w:type="pct"/>
            <w:shd w:val="clear" w:color="auto" w:fill="auto"/>
            <w:vAlign w:val="center"/>
          </w:tcPr>
          <w:p>
            <w:pPr>
              <w:pStyle w:val="42"/>
              <w:rPr>
                <w:sz w:val="18"/>
                <w:szCs w:val="18"/>
              </w:rPr>
            </w:pPr>
            <w:r>
              <w:rPr>
                <w:rFonts w:hint="eastAsia"/>
                <w:sz w:val="18"/>
                <w:szCs w:val="18"/>
              </w:rPr>
              <w:t>重庆市中润化学有限公司有机溶剂</w:t>
            </w:r>
            <w:r>
              <w:rPr>
                <w:sz w:val="18"/>
                <w:szCs w:val="18"/>
              </w:rPr>
              <w:t>NMP</w:t>
            </w:r>
            <w:r>
              <w:rPr>
                <w:rFonts w:hint="eastAsia"/>
                <w:sz w:val="18"/>
                <w:szCs w:val="18"/>
              </w:rPr>
              <w:t>生产与回收利用（一期）</w:t>
            </w:r>
          </w:p>
        </w:tc>
        <w:tc>
          <w:tcPr>
            <w:tcW w:w="339" w:type="pct"/>
            <w:shd w:val="clear" w:color="auto" w:fill="auto"/>
            <w:vAlign w:val="center"/>
          </w:tcPr>
          <w:p>
            <w:pPr>
              <w:pStyle w:val="42"/>
              <w:rPr>
                <w:sz w:val="18"/>
                <w:szCs w:val="18"/>
              </w:rPr>
            </w:pPr>
            <w:r>
              <w:rPr>
                <w:sz w:val="18"/>
                <w:szCs w:val="18"/>
              </w:rPr>
              <w:t>34.36</w:t>
            </w:r>
          </w:p>
        </w:tc>
        <w:tc>
          <w:tcPr>
            <w:tcW w:w="301" w:type="pct"/>
            <w:shd w:val="clear" w:color="auto" w:fill="auto"/>
            <w:vAlign w:val="center"/>
          </w:tcPr>
          <w:p>
            <w:pPr>
              <w:pStyle w:val="42"/>
              <w:rPr>
                <w:sz w:val="18"/>
                <w:szCs w:val="18"/>
              </w:rPr>
            </w:pPr>
            <w:r>
              <w:rPr>
                <w:sz w:val="18"/>
                <w:szCs w:val="18"/>
              </w:rPr>
              <w:t>0.62</w:t>
            </w:r>
          </w:p>
        </w:tc>
        <w:tc>
          <w:tcPr>
            <w:tcW w:w="262" w:type="pct"/>
            <w:shd w:val="clear" w:color="auto" w:fill="auto"/>
            <w:vAlign w:val="center"/>
          </w:tcPr>
          <w:p>
            <w:pPr>
              <w:pStyle w:val="42"/>
              <w:rPr>
                <w:sz w:val="18"/>
                <w:szCs w:val="18"/>
              </w:rPr>
            </w:pPr>
            <w:r>
              <w:rPr>
                <w:sz w:val="18"/>
                <w:szCs w:val="18"/>
              </w:rPr>
              <w:t>0.21</w:t>
            </w:r>
          </w:p>
        </w:tc>
        <w:tc>
          <w:tcPr>
            <w:tcW w:w="301" w:type="pct"/>
            <w:shd w:val="clear" w:color="auto" w:fill="auto"/>
            <w:vAlign w:val="center"/>
          </w:tcPr>
          <w:p>
            <w:pPr>
              <w:pStyle w:val="42"/>
              <w:rPr>
                <w:sz w:val="18"/>
                <w:szCs w:val="18"/>
              </w:rPr>
            </w:pPr>
            <w:r>
              <w:rPr>
                <w:sz w:val="18"/>
                <w:szCs w:val="18"/>
              </w:rPr>
              <w:t>0.1</w:t>
            </w:r>
          </w:p>
        </w:tc>
        <w:tc>
          <w:tcPr>
            <w:tcW w:w="301" w:type="pct"/>
            <w:shd w:val="clear" w:color="auto" w:fill="auto"/>
            <w:vAlign w:val="center"/>
          </w:tcPr>
          <w:p>
            <w:pPr>
              <w:pStyle w:val="42"/>
              <w:rPr>
                <w:sz w:val="18"/>
                <w:szCs w:val="18"/>
              </w:rPr>
            </w:pPr>
            <w:r>
              <w:rPr>
                <w:sz w:val="18"/>
                <w:szCs w:val="18"/>
              </w:rPr>
              <w:t>0.72</w:t>
            </w:r>
          </w:p>
        </w:tc>
        <w:tc>
          <w:tcPr>
            <w:tcW w:w="222" w:type="pct"/>
            <w:shd w:val="clear" w:color="auto" w:fill="auto"/>
            <w:vAlign w:val="center"/>
          </w:tcPr>
          <w:p>
            <w:pPr>
              <w:pStyle w:val="42"/>
              <w:rPr>
                <w:sz w:val="18"/>
                <w:szCs w:val="18"/>
              </w:rPr>
            </w:pPr>
            <w:r>
              <w:rPr>
                <w:sz w:val="18"/>
                <w:szCs w:val="18"/>
              </w:rPr>
              <w:t>0.01</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96</w:t>
            </w:r>
          </w:p>
        </w:tc>
        <w:tc>
          <w:tcPr>
            <w:tcW w:w="947" w:type="pct"/>
            <w:shd w:val="clear" w:color="auto" w:fill="auto"/>
            <w:vAlign w:val="center"/>
          </w:tcPr>
          <w:p>
            <w:pPr>
              <w:pStyle w:val="42"/>
              <w:rPr>
                <w:sz w:val="18"/>
                <w:szCs w:val="18"/>
              </w:rPr>
            </w:pPr>
            <w:r>
              <w:rPr>
                <w:rFonts w:hint="eastAsia"/>
                <w:sz w:val="18"/>
                <w:szCs w:val="18"/>
              </w:rPr>
              <w:t>重庆博俊工业科技有限公司汽车零部件、模具生产线建设项目</w:t>
            </w:r>
          </w:p>
        </w:tc>
        <w:tc>
          <w:tcPr>
            <w:tcW w:w="339" w:type="pct"/>
            <w:shd w:val="clear" w:color="auto" w:fill="auto"/>
            <w:vAlign w:val="center"/>
          </w:tcPr>
          <w:p>
            <w:pPr>
              <w:pStyle w:val="42"/>
              <w:rPr>
                <w:sz w:val="18"/>
                <w:szCs w:val="18"/>
              </w:rPr>
            </w:pPr>
            <w:r>
              <w:rPr>
                <w:sz w:val="18"/>
                <w:szCs w:val="18"/>
              </w:rPr>
              <w:t>89</w:t>
            </w:r>
          </w:p>
        </w:tc>
        <w:tc>
          <w:tcPr>
            <w:tcW w:w="301" w:type="pct"/>
            <w:shd w:val="clear" w:color="auto" w:fill="auto"/>
            <w:vAlign w:val="center"/>
          </w:tcPr>
          <w:p>
            <w:pPr>
              <w:pStyle w:val="42"/>
              <w:rPr>
                <w:sz w:val="18"/>
                <w:szCs w:val="18"/>
              </w:rPr>
            </w:pPr>
            <w:r>
              <w:rPr>
                <w:sz w:val="18"/>
                <w:szCs w:val="18"/>
              </w:rPr>
              <w:t>0.58</w:t>
            </w:r>
          </w:p>
        </w:tc>
        <w:tc>
          <w:tcPr>
            <w:tcW w:w="262" w:type="pct"/>
            <w:shd w:val="clear" w:color="auto" w:fill="auto"/>
            <w:vAlign w:val="center"/>
          </w:tcPr>
          <w:p>
            <w:pPr>
              <w:pStyle w:val="42"/>
              <w:rPr>
                <w:sz w:val="18"/>
                <w:szCs w:val="18"/>
              </w:rPr>
            </w:pPr>
            <w:r>
              <w:rPr>
                <w:sz w:val="18"/>
                <w:szCs w:val="18"/>
              </w:rPr>
              <w:t>0.19</w:t>
            </w:r>
          </w:p>
        </w:tc>
        <w:tc>
          <w:tcPr>
            <w:tcW w:w="301"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0.67</w:t>
            </w:r>
          </w:p>
        </w:tc>
        <w:tc>
          <w:tcPr>
            <w:tcW w:w="222" w:type="pct"/>
            <w:shd w:val="clear" w:color="auto" w:fill="auto"/>
            <w:vAlign w:val="center"/>
          </w:tcPr>
          <w:p>
            <w:pPr>
              <w:pStyle w:val="42"/>
              <w:rPr>
                <w:sz w:val="18"/>
                <w:szCs w:val="18"/>
              </w:rPr>
            </w:pPr>
            <w:r>
              <w:rPr>
                <w:sz w:val="18"/>
                <w:szCs w:val="18"/>
              </w:rPr>
              <w:t>0.03</w:t>
            </w:r>
          </w:p>
        </w:tc>
        <w:tc>
          <w:tcPr>
            <w:tcW w:w="301" w:type="pct"/>
            <w:shd w:val="clear" w:color="auto" w:fill="auto"/>
            <w:vAlign w:val="center"/>
          </w:tcPr>
          <w:p>
            <w:pPr>
              <w:pStyle w:val="42"/>
              <w:rPr>
                <w:sz w:val="18"/>
                <w:szCs w:val="18"/>
              </w:rPr>
            </w:pPr>
            <w:r>
              <w:rPr>
                <w:sz w:val="18"/>
                <w:szCs w:val="18"/>
              </w:rPr>
              <w:t>0.05</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97</w:t>
            </w:r>
          </w:p>
        </w:tc>
        <w:tc>
          <w:tcPr>
            <w:tcW w:w="947" w:type="pct"/>
            <w:shd w:val="clear" w:color="auto" w:fill="auto"/>
            <w:vAlign w:val="center"/>
          </w:tcPr>
          <w:p>
            <w:pPr>
              <w:pStyle w:val="42"/>
              <w:rPr>
                <w:sz w:val="18"/>
                <w:szCs w:val="18"/>
              </w:rPr>
            </w:pPr>
            <w:r>
              <w:rPr>
                <w:rFonts w:hint="eastAsia"/>
                <w:sz w:val="18"/>
                <w:szCs w:val="18"/>
              </w:rPr>
              <w:t>重庆大禹防水科技发展有限公司年产</w:t>
            </w:r>
            <w:r>
              <w:rPr>
                <w:sz w:val="18"/>
                <w:szCs w:val="18"/>
              </w:rPr>
              <w:t>7000</w:t>
            </w:r>
            <w:r>
              <w:rPr>
                <w:rFonts w:hint="eastAsia"/>
                <w:sz w:val="18"/>
                <w:szCs w:val="18"/>
              </w:rPr>
              <w:t>万</w:t>
            </w:r>
            <w:r>
              <w:rPr>
                <w:sz w:val="18"/>
                <w:szCs w:val="18"/>
              </w:rPr>
              <w:t>m2</w:t>
            </w:r>
            <w:r>
              <w:rPr>
                <w:rFonts w:hint="eastAsia"/>
                <w:sz w:val="18"/>
                <w:szCs w:val="18"/>
              </w:rPr>
              <w:t>防水材料及</w:t>
            </w:r>
            <w:r>
              <w:rPr>
                <w:sz w:val="18"/>
                <w:szCs w:val="18"/>
              </w:rPr>
              <w:t>2</w:t>
            </w:r>
            <w:r>
              <w:rPr>
                <w:rFonts w:hint="eastAsia"/>
                <w:sz w:val="18"/>
                <w:szCs w:val="18"/>
              </w:rPr>
              <w:t>万吨防水涂料项目</w:t>
            </w:r>
          </w:p>
        </w:tc>
        <w:tc>
          <w:tcPr>
            <w:tcW w:w="339" w:type="pct"/>
            <w:shd w:val="clear" w:color="auto" w:fill="auto"/>
            <w:vAlign w:val="center"/>
          </w:tcPr>
          <w:p>
            <w:pPr>
              <w:pStyle w:val="42"/>
              <w:rPr>
                <w:sz w:val="18"/>
                <w:szCs w:val="18"/>
              </w:rPr>
            </w:pPr>
            <w:r>
              <w:rPr>
                <w:sz w:val="18"/>
                <w:szCs w:val="18"/>
              </w:rPr>
              <w:t>17</w:t>
            </w:r>
          </w:p>
        </w:tc>
        <w:tc>
          <w:tcPr>
            <w:tcW w:w="301" w:type="pct"/>
            <w:shd w:val="clear" w:color="auto" w:fill="auto"/>
            <w:vAlign w:val="center"/>
          </w:tcPr>
          <w:p>
            <w:pPr>
              <w:pStyle w:val="42"/>
              <w:rPr>
                <w:sz w:val="18"/>
                <w:szCs w:val="18"/>
              </w:rPr>
            </w:pPr>
            <w:r>
              <w:rPr>
                <w:sz w:val="18"/>
                <w:szCs w:val="18"/>
              </w:rPr>
              <w:t>2.117</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0.045</w:t>
            </w:r>
          </w:p>
        </w:tc>
        <w:tc>
          <w:tcPr>
            <w:tcW w:w="301" w:type="pct"/>
            <w:shd w:val="clear" w:color="auto" w:fill="auto"/>
            <w:vAlign w:val="center"/>
          </w:tcPr>
          <w:p>
            <w:pPr>
              <w:pStyle w:val="42"/>
              <w:rPr>
                <w:sz w:val="18"/>
                <w:szCs w:val="18"/>
              </w:rPr>
            </w:pPr>
            <w:r>
              <w:rPr>
                <w:sz w:val="18"/>
                <w:szCs w:val="18"/>
              </w:rPr>
              <w:t>1.036</w:t>
            </w:r>
          </w:p>
        </w:tc>
        <w:tc>
          <w:tcPr>
            <w:tcW w:w="222" w:type="pct"/>
            <w:shd w:val="clear" w:color="auto" w:fill="auto"/>
            <w:vAlign w:val="center"/>
          </w:tcPr>
          <w:p>
            <w:pPr>
              <w:pStyle w:val="42"/>
              <w:rPr>
                <w:sz w:val="18"/>
                <w:szCs w:val="18"/>
              </w:rPr>
            </w:pPr>
            <w:r>
              <w:rPr>
                <w:sz w:val="18"/>
                <w:szCs w:val="18"/>
              </w:rPr>
              <w:t>0.07</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98</w:t>
            </w:r>
          </w:p>
        </w:tc>
        <w:tc>
          <w:tcPr>
            <w:tcW w:w="947" w:type="pct"/>
            <w:shd w:val="clear" w:color="auto" w:fill="auto"/>
            <w:vAlign w:val="center"/>
          </w:tcPr>
          <w:p>
            <w:pPr>
              <w:pStyle w:val="42"/>
              <w:rPr>
                <w:sz w:val="18"/>
                <w:szCs w:val="18"/>
              </w:rPr>
            </w:pPr>
            <w:r>
              <w:rPr>
                <w:rFonts w:hint="eastAsia"/>
                <w:sz w:val="18"/>
                <w:szCs w:val="18"/>
              </w:rPr>
              <w:t>重庆世环催化技术有限公司年产</w:t>
            </w:r>
            <w:r>
              <w:rPr>
                <w:sz w:val="18"/>
                <w:szCs w:val="18"/>
              </w:rPr>
              <w:t>1000</w:t>
            </w:r>
            <w:r>
              <w:rPr>
                <w:rFonts w:hint="eastAsia"/>
                <w:sz w:val="18"/>
                <w:szCs w:val="18"/>
              </w:rPr>
              <w:t>吨治理</w:t>
            </w:r>
            <w:r>
              <w:rPr>
                <w:sz w:val="18"/>
                <w:szCs w:val="18"/>
              </w:rPr>
              <w:t>N2O</w:t>
            </w:r>
            <w:r>
              <w:rPr>
                <w:rFonts w:hint="eastAsia"/>
                <w:sz w:val="18"/>
                <w:szCs w:val="18"/>
              </w:rPr>
              <w:t>催化剂及年产</w:t>
            </w:r>
            <w:r>
              <w:rPr>
                <w:sz w:val="18"/>
                <w:szCs w:val="18"/>
              </w:rPr>
              <w:t>5000</w:t>
            </w:r>
            <w:r>
              <w:rPr>
                <w:rFonts w:hint="eastAsia"/>
                <w:sz w:val="18"/>
                <w:szCs w:val="18"/>
              </w:rPr>
              <w:t>吨低温脱硫脱硝催化剂项目</w:t>
            </w:r>
          </w:p>
        </w:tc>
        <w:tc>
          <w:tcPr>
            <w:tcW w:w="339" w:type="pct"/>
            <w:shd w:val="clear" w:color="auto" w:fill="auto"/>
            <w:vAlign w:val="center"/>
          </w:tcPr>
          <w:p>
            <w:pPr>
              <w:pStyle w:val="42"/>
              <w:rPr>
                <w:sz w:val="18"/>
                <w:szCs w:val="18"/>
              </w:rPr>
            </w:pPr>
            <w:r>
              <w:rPr>
                <w:sz w:val="18"/>
                <w:szCs w:val="18"/>
              </w:rPr>
              <w:t>41.4</w:t>
            </w:r>
          </w:p>
        </w:tc>
        <w:tc>
          <w:tcPr>
            <w:tcW w:w="301" w:type="pct"/>
            <w:shd w:val="clear" w:color="auto" w:fill="auto"/>
            <w:vAlign w:val="center"/>
          </w:tcPr>
          <w:p>
            <w:pPr>
              <w:pStyle w:val="42"/>
              <w:rPr>
                <w:sz w:val="18"/>
                <w:szCs w:val="18"/>
              </w:rPr>
            </w:pPr>
            <w:r>
              <w:rPr>
                <w:sz w:val="18"/>
                <w:szCs w:val="18"/>
              </w:rPr>
              <w:t>0.75</w:t>
            </w:r>
          </w:p>
        </w:tc>
        <w:tc>
          <w:tcPr>
            <w:tcW w:w="262" w:type="pct"/>
            <w:shd w:val="clear" w:color="auto" w:fill="auto"/>
            <w:vAlign w:val="center"/>
          </w:tcPr>
          <w:p>
            <w:pPr>
              <w:pStyle w:val="42"/>
              <w:rPr>
                <w:sz w:val="18"/>
                <w:szCs w:val="18"/>
              </w:rPr>
            </w:pPr>
            <w:r>
              <w:rPr>
                <w:sz w:val="18"/>
                <w:szCs w:val="18"/>
              </w:rPr>
              <w:t>0.25</w:t>
            </w:r>
          </w:p>
        </w:tc>
        <w:tc>
          <w:tcPr>
            <w:tcW w:w="301" w:type="pct"/>
            <w:shd w:val="clear" w:color="auto" w:fill="auto"/>
            <w:vAlign w:val="center"/>
          </w:tcPr>
          <w:p>
            <w:pPr>
              <w:pStyle w:val="42"/>
              <w:rPr>
                <w:sz w:val="18"/>
                <w:szCs w:val="18"/>
              </w:rPr>
            </w:pPr>
            <w:r>
              <w:rPr>
                <w:sz w:val="18"/>
                <w:szCs w:val="18"/>
              </w:rPr>
              <w:t>0.12</w:t>
            </w:r>
          </w:p>
        </w:tc>
        <w:tc>
          <w:tcPr>
            <w:tcW w:w="301" w:type="pct"/>
            <w:shd w:val="clear" w:color="auto" w:fill="auto"/>
            <w:vAlign w:val="center"/>
          </w:tcPr>
          <w:p>
            <w:pPr>
              <w:pStyle w:val="42"/>
              <w:rPr>
                <w:sz w:val="18"/>
                <w:szCs w:val="18"/>
              </w:rPr>
            </w:pPr>
            <w:r>
              <w:rPr>
                <w:sz w:val="18"/>
                <w:szCs w:val="18"/>
              </w:rPr>
              <w:t>0.87</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sz w:val="18"/>
                <w:szCs w:val="18"/>
              </w:rPr>
              <w:t>0.04</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99</w:t>
            </w:r>
          </w:p>
        </w:tc>
        <w:tc>
          <w:tcPr>
            <w:tcW w:w="947" w:type="pct"/>
            <w:shd w:val="clear" w:color="auto" w:fill="auto"/>
            <w:vAlign w:val="center"/>
          </w:tcPr>
          <w:p>
            <w:pPr>
              <w:pStyle w:val="42"/>
              <w:rPr>
                <w:sz w:val="18"/>
                <w:szCs w:val="18"/>
              </w:rPr>
            </w:pPr>
            <w:r>
              <w:rPr>
                <w:rFonts w:hint="eastAsia"/>
                <w:sz w:val="18"/>
                <w:szCs w:val="18"/>
              </w:rPr>
              <w:t>重庆鸿融化工新材料有限公司</w:t>
            </w:r>
            <w:r>
              <w:rPr>
                <w:sz w:val="18"/>
                <w:szCs w:val="18"/>
              </w:rPr>
              <w:t>4000</w:t>
            </w:r>
            <w:r>
              <w:rPr>
                <w:rFonts w:hint="eastAsia"/>
                <w:sz w:val="18"/>
                <w:szCs w:val="18"/>
              </w:rPr>
              <w:t>吨沥青仓储项目</w:t>
            </w:r>
          </w:p>
        </w:tc>
        <w:tc>
          <w:tcPr>
            <w:tcW w:w="339" w:type="pct"/>
            <w:shd w:val="clear" w:color="auto" w:fill="auto"/>
            <w:vAlign w:val="center"/>
          </w:tcPr>
          <w:p>
            <w:pPr>
              <w:pStyle w:val="42"/>
              <w:rPr>
                <w:sz w:val="18"/>
                <w:szCs w:val="18"/>
              </w:rPr>
            </w:pPr>
            <w:r>
              <w:rPr>
                <w:sz w:val="18"/>
                <w:szCs w:val="18"/>
              </w:rPr>
              <w:t>0.675</w:t>
            </w:r>
          </w:p>
        </w:tc>
        <w:tc>
          <w:tcPr>
            <w:tcW w:w="301" w:type="pct"/>
            <w:shd w:val="clear" w:color="auto" w:fill="auto"/>
            <w:vAlign w:val="center"/>
          </w:tcPr>
          <w:p>
            <w:pPr>
              <w:pStyle w:val="42"/>
              <w:rPr>
                <w:sz w:val="18"/>
                <w:szCs w:val="18"/>
              </w:rPr>
            </w:pPr>
            <w:r>
              <w:rPr>
                <w:rFonts w:hint="eastAsia"/>
                <w:sz w:val="18"/>
                <w:szCs w:val="18"/>
              </w:rPr>
              <w:t>　</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100</w:t>
            </w:r>
          </w:p>
        </w:tc>
        <w:tc>
          <w:tcPr>
            <w:tcW w:w="947" w:type="pct"/>
            <w:shd w:val="clear" w:color="auto" w:fill="auto"/>
            <w:vAlign w:val="center"/>
          </w:tcPr>
          <w:p>
            <w:pPr>
              <w:pStyle w:val="42"/>
              <w:rPr>
                <w:sz w:val="18"/>
                <w:szCs w:val="18"/>
              </w:rPr>
            </w:pPr>
            <w:r>
              <w:rPr>
                <w:rFonts w:hint="eastAsia"/>
                <w:sz w:val="18"/>
                <w:szCs w:val="18"/>
              </w:rPr>
              <w:t>重庆丰铭炜烨汽车零部件有限公司年产</w:t>
            </w:r>
            <w:r>
              <w:rPr>
                <w:sz w:val="18"/>
                <w:szCs w:val="18"/>
              </w:rPr>
              <w:t xml:space="preserve">90 </w:t>
            </w:r>
            <w:r>
              <w:rPr>
                <w:rFonts w:hint="eastAsia"/>
                <w:sz w:val="18"/>
                <w:szCs w:val="18"/>
              </w:rPr>
              <w:t>万套仪表板、扰流板、保险杠等汽车零部件项目</w:t>
            </w:r>
          </w:p>
        </w:tc>
        <w:tc>
          <w:tcPr>
            <w:tcW w:w="339" w:type="pct"/>
            <w:shd w:val="clear" w:color="auto" w:fill="auto"/>
            <w:vAlign w:val="center"/>
          </w:tcPr>
          <w:p>
            <w:pPr>
              <w:pStyle w:val="42"/>
              <w:rPr>
                <w:sz w:val="18"/>
                <w:szCs w:val="18"/>
              </w:rPr>
            </w:pPr>
            <w:r>
              <w:rPr>
                <w:sz w:val="18"/>
                <w:szCs w:val="18"/>
              </w:rPr>
              <w:t>9</w:t>
            </w:r>
          </w:p>
        </w:tc>
        <w:tc>
          <w:tcPr>
            <w:tcW w:w="301" w:type="pct"/>
            <w:shd w:val="clear" w:color="auto" w:fill="auto"/>
            <w:vAlign w:val="center"/>
          </w:tcPr>
          <w:p>
            <w:pPr>
              <w:pStyle w:val="42"/>
              <w:rPr>
                <w:sz w:val="18"/>
                <w:szCs w:val="18"/>
              </w:rPr>
            </w:pPr>
            <w:r>
              <w:rPr>
                <w:sz w:val="18"/>
                <w:szCs w:val="18"/>
              </w:rPr>
              <w:t>0.145</w:t>
            </w:r>
          </w:p>
        </w:tc>
        <w:tc>
          <w:tcPr>
            <w:tcW w:w="262" w:type="pct"/>
            <w:shd w:val="clear" w:color="auto" w:fill="auto"/>
            <w:vAlign w:val="center"/>
          </w:tcPr>
          <w:p>
            <w:pPr>
              <w:pStyle w:val="42"/>
              <w:rPr>
                <w:sz w:val="18"/>
                <w:szCs w:val="18"/>
              </w:rPr>
            </w:pPr>
            <w:r>
              <w:rPr>
                <w:sz w:val="18"/>
                <w:szCs w:val="18"/>
              </w:rPr>
              <w:t>0.048</w:t>
            </w:r>
          </w:p>
        </w:tc>
        <w:tc>
          <w:tcPr>
            <w:tcW w:w="301" w:type="pct"/>
            <w:shd w:val="clear" w:color="auto" w:fill="auto"/>
            <w:vAlign w:val="center"/>
          </w:tcPr>
          <w:p>
            <w:pPr>
              <w:pStyle w:val="42"/>
              <w:rPr>
                <w:sz w:val="18"/>
                <w:szCs w:val="18"/>
              </w:rPr>
            </w:pPr>
            <w:r>
              <w:rPr>
                <w:sz w:val="18"/>
                <w:szCs w:val="18"/>
              </w:rPr>
              <w:t>0.024</w:t>
            </w:r>
          </w:p>
        </w:tc>
        <w:tc>
          <w:tcPr>
            <w:tcW w:w="301" w:type="pct"/>
            <w:shd w:val="clear" w:color="auto" w:fill="auto"/>
            <w:vAlign w:val="center"/>
          </w:tcPr>
          <w:p>
            <w:pPr>
              <w:pStyle w:val="42"/>
              <w:rPr>
                <w:sz w:val="18"/>
                <w:szCs w:val="18"/>
              </w:rPr>
            </w:pPr>
            <w:r>
              <w:rPr>
                <w:sz w:val="18"/>
                <w:szCs w:val="18"/>
              </w:rPr>
              <w:t>0.169</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sz w:val="18"/>
                <w:szCs w:val="18"/>
              </w:rPr>
              <w:t>0.048</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101</w:t>
            </w:r>
          </w:p>
        </w:tc>
        <w:tc>
          <w:tcPr>
            <w:tcW w:w="947" w:type="pct"/>
            <w:shd w:val="clear" w:color="auto" w:fill="auto"/>
            <w:vAlign w:val="center"/>
          </w:tcPr>
          <w:p>
            <w:pPr>
              <w:pStyle w:val="42"/>
              <w:rPr>
                <w:sz w:val="18"/>
                <w:szCs w:val="18"/>
              </w:rPr>
            </w:pPr>
            <w:r>
              <w:rPr>
                <w:rFonts w:hint="eastAsia"/>
                <w:sz w:val="18"/>
                <w:szCs w:val="18"/>
              </w:rPr>
              <w:t>重庆莱美隆宇药业有限公司年产</w:t>
            </w:r>
            <w:r>
              <w:rPr>
                <w:sz w:val="18"/>
                <w:szCs w:val="18"/>
              </w:rPr>
              <w:t>800kg</w:t>
            </w:r>
            <w:r>
              <w:rPr>
                <w:rFonts w:hint="eastAsia"/>
                <w:sz w:val="18"/>
                <w:szCs w:val="18"/>
              </w:rPr>
              <w:t>埃索美拉唑项目</w:t>
            </w:r>
          </w:p>
        </w:tc>
        <w:tc>
          <w:tcPr>
            <w:tcW w:w="339" w:type="pct"/>
            <w:shd w:val="clear" w:color="auto" w:fill="auto"/>
            <w:vAlign w:val="center"/>
          </w:tcPr>
          <w:p>
            <w:pPr>
              <w:pStyle w:val="42"/>
              <w:rPr>
                <w:sz w:val="18"/>
                <w:szCs w:val="18"/>
              </w:rPr>
            </w:pPr>
            <w:r>
              <w:rPr>
                <w:sz w:val="18"/>
                <w:szCs w:val="18"/>
              </w:rPr>
              <w:t>4.704</w:t>
            </w:r>
          </w:p>
        </w:tc>
        <w:tc>
          <w:tcPr>
            <w:tcW w:w="301" w:type="pct"/>
            <w:shd w:val="clear" w:color="auto" w:fill="auto"/>
            <w:vAlign w:val="center"/>
          </w:tcPr>
          <w:p>
            <w:pPr>
              <w:pStyle w:val="42"/>
              <w:rPr>
                <w:sz w:val="18"/>
                <w:szCs w:val="18"/>
              </w:rPr>
            </w:pPr>
            <w:r>
              <w:rPr>
                <w:sz w:val="18"/>
                <w:szCs w:val="18"/>
              </w:rPr>
              <w:t>0.084</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0.063</w:t>
            </w:r>
          </w:p>
        </w:tc>
        <w:tc>
          <w:tcPr>
            <w:tcW w:w="301" w:type="pct"/>
            <w:shd w:val="clear" w:color="auto" w:fill="auto"/>
            <w:vAlign w:val="center"/>
          </w:tcPr>
          <w:p>
            <w:pPr>
              <w:pStyle w:val="42"/>
              <w:rPr>
                <w:sz w:val="18"/>
                <w:szCs w:val="18"/>
              </w:rPr>
            </w:pPr>
            <w:r>
              <w:rPr>
                <w:sz w:val="18"/>
                <w:szCs w:val="18"/>
              </w:rPr>
              <w:t>0.098</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sz w:val="18"/>
                <w:szCs w:val="18"/>
              </w:rPr>
              <w:t>0.808</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102</w:t>
            </w:r>
          </w:p>
        </w:tc>
        <w:tc>
          <w:tcPr>
            <w:tcW w:w="947" w:type="pct"/>
            <w:shd w:val="clear" w:color="auto" w:fill="auto"/>
            <w:vAlign w:val="center"/>
          </w:tcPr>
          <w:p>
            <w:pPr>
              <w:pStyle w:val="42"/>
              <w:rPr>
                <w:sz w:val="18"/>
                <w:szCs w:val="18"/>
              </w:rPr>
            </w:pPr>
            <w:r>
              <w:rPr>
                <w:rFonts w:hint="eastAsia"/>
                <w:sz w:val="18"/>
                <w:szCs w:val="18"/>
              </w:rPr>
              <w:t>重庆安格龙翔制药有限公司年产</w:t>
            </w:r>
            <w:r>
              <w:rPr>
                <w:sz w:val="18"/>
                <w:szCs w:val="18"/>
              </w:rPr>
              <w:t>20</w:t>
            </w:r>
            <w:r>
              <w:rPr>
                <w:rFonts w:hint="eastAsia"/>
                <w:sz w:val="18"/>
                <w:szCs w:val="18"/>
              </w:rPr>
              <w:t>吨盐酸克林霉素棕榈酸酯原料扩建项目</w:t>
            </w:r>
          </w:p>
        </w:tc>
        <w:tc>
          <w:tcPr>
            <w:tcW w:w="339" w:type="pct"/>
            <w:shd w:val="clear" w:color="auto" w:fill="auto"/>
            <w:vAlign w:val="center"/>
          </w:tcPr>
          <w:p>
            <w:pPr>
              <w:pStyle w:val="42"/>
              <w:rPr>
                <w:sz w:val="18"/>
                <w:szCs w:val="18"/>
              </w:rPr>
            </w:pPr>
            <w:r>
              <w:rPr>
                <w:sz w:val="18"/>
                <w:szCs w:val="18"/>
              </w:rPr>
              <w:t>7.29</w:t>
            </w:r>
          </w:p>
        </w:tc>
        <w:tc>
          <w:tcPr>
            <w:tcW w:w="301" w:type="pct"/>
            <w:shd w:val="clear" w:color="auto" w:fill="auto"/>
            <w:vAlign w:val="center"/>
          </w:tcPr>
          <w:p>
            <w:pPr>
              <w:pStyle w:val="42"/>
              <w:rPr>
                <w:sz w:val="18"/>
                <w:szCs w:val="18"/>
              </w:rPr>
            </w:pPr>
            <w:r>
              <w:rPr>
                <w:sz w:val="18"/>
                <w:szCs w:val="18"/>
              </w:rPr>
              <w:t>0.144</w:t>
            </w:r>
          </w:p>
        </w:tc>
        <w:tc>
          <w:tcPr>
            <w:tcW w:w="262" w:type="pct"/>
            <w:shd w:val="clear" w:color="auto" w:fill="auto"/>
            <w:vAlign w:val="center"/>
          </w:tcPr>
          <w:p>
            <w:pPr>
              <w:pStyle w:val="42"/>
              <w:rPr>
                <w:sz w:val="18"/>
                <w:szCs w:val="18"/>
              </w:rPr>
            </w:pPr>
            <w:r>
              <w:rPr>
                <w:sz w:val="18"/>
                <w:szCs w:val="18"/>
              </w:rPr>
              <w:t>0.721</w:t>
            </w:r>
          </w:p>
        </w:tc>
        <w:tc>
          <w:tcPr>
            <w:tcW w:w="301"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0.962</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sz w:val="18"/>
                <w:szCs w:val="18"/>
              </w:rPr>
              <w:t>4.96</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103</w:t>
            </w:r>
          </w:p>
        </w:tc>
        <w:tc>
          <w:tcPr>
            <w:tcW w:w="947" w:type="pct"/>
            <w:shd w:val="clear" w:color="auto" w:fill="auto"/>
            <w:vAlign w:val="center"/>
          </w:tcPr>
          <w:p>
            <w:pPr>
              <w:pStyle w:val="42"/>
              <w:rPr>
                <w:sz w:val="18"/>
                <w:szCs w:val="18"/>
              </w:rPr>
            </w:pPr>
            <w:r>
              <w:rPr>
                <w:rFonts w:hint="eastAsia"/>
                <w:sz w:val="18"/>
                <w:szCs w:val="18"/>
              </w:rPr>
              <w:t>重庆宏大化工科技有限公司年产</w:t>
            </w:r>
            <w:r>
              <w:rPr>
                <w:sz w:val="18"/>
                <w:szCs w:val="18"/>
              </w:rPr>
              <w:t>60</w:t>
            </w:r>
            <w:r>
              <w:rPr>
                <w:rFonts w:hint="eastAsia"/>
                <w:sz w:val="18"/>
                <w:szCs w:val="18"/>
              </w:rPr>
              <w:t>万吨（</w:t>
            </w:r>
            <w:r>
              <w:rPr>
                <w:sz w:val="18"/>
                <w:szCs w:val="18"/>
              </w:rPr>
              <w:t>35%</w:t>
            </w:r>
            <w:r>
              <w:rPr>
                <w:rFonts w:hint="eastAsia"/>
                <w:sz w:val="18"/>
                <w:szCs w:val="18"/>
              </w:rPr>
              <w:t>）双氧水项目一期工程配套</w:t>
            </w:r>
            <w:r>
              <w:rPr>
                <w:sz w:val="18"/>
                <w:szCs w:val="18"/>
              </w:rPr>
              <w:t>7000Nm3/h</w:t>
            </w:r>
            <w:r>
              <w:rPr>
                <w:rFonts w:hint="eastAsia"/>
                <w:sz w:val="18"/>
                <w:szCs w:val="18"/>
              </w:rPr>
              <w:t>天然气制氢暨</w:t>
            </w:r>
            <w:r>
              <w:rPr>
                <w:sz w:val="18"/>
                <w:szCs w:val="18"/>
              </w:rPr>
              <w:t>20000t/a</w:t>
            </w:r>
            <w:r>
              <w:rPr>
                <w:rFonts w:hint="eastAsia"/>
                <w:sz w:val="18"/>
                <w:szCs w:val="18"/>
              </w:rPr>
              <w:t>食品级二氧化碳项目</w:t>
            </w:r>
          </w:p>
        </w:tc>
        <w:tc>
          <w:tcPr>
            <w:tcW w:w="339" w:type="pct"/>
            <w:shd w:val="clear" w:color="auto" w:fill="auto"/>
            <w:vAlign w:val="center"/>
          </w:tcPr>
          <w:p>
            <w:pPr>
              <w:pStyle w:val="42"/>
              <w:rPr>
                <w:sz w:val="18"/>
                <w:szCs w:val="18"/>
              </w:rPr>
            </w:pPr>
            <w:r>
              <w:rPr>
                <w:sz w:val="18"/>
                <w:szCs w:val="18"/>
              </w:rPr>
              <w:t>0.9</w:t>
            </w:r>
          </w:p>
        </w:tc>
        <w:tc>
          <w:tcPr>
            <w:tcW w:w="301" w:type="pct"/>
            <w:shd w:val="clear" w:color="auto" w:fill="auto"/>
            <w:vAlign w:val="center"/>
          </w:tcPr>
          <w:p>
            <w:pPr>
              <w:pStyle w:val="42"/>
              <w:rPr>
                <w:sz w:val="18"/>
                <w:szCs w:val="18"/>
              </w:rPr>
            </w:pPr>
            <w:r>
              <w:rPr>
                <w:sz w:val="18"/>
                <w:szCs w:val="18"/>
              </w:rPr>
              <w:t>0.016</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0.003</w:t>
            </w:r>
          </w:p>
        </w:tc>
        <w:tc>
          <w:tcPr>
            <w:tcW w:w="301" w:type="pct"/>
            <w:shd w:val="clear" w:color="auto" w:fill="auto"/>
            <w:vAlign w:val="center"/>
          </w:tcPr>
          <w:p>
            <w:pPr>
              <w:pStyle w:val="42"/>
              <w:rPr>
                <w:sz w:val="18"/>
                <w:szCs w:val="18"/>
              </w:rPr>
            </w:pPr>
            <w:r>
              <w:rPr>
                <w:sz w:val="18"/>
                <w:szCs w:val="18"/>
              </w:rPr>
              <w:t>0.019</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104</w:t>
            </w:r>
          </w:p>
        </w:tc>
        <w:tc>
          <w:tcPr>
            <w:tcW w:w="947" w:type="pct"/>
            <w:shd w:val="clear" w:color="auto" w:fill="auto"/>
            <w:vAlign w:val="center"/>
          </w:tcPr>
          <w:p>
            <w:pPr>
              <w:pStyle w:val="42"/>
              <w:rPr>
                <w:sz w:val="18"/>
                <w:szCs w:val="18"/>
              </w:rPr>
            </w:pPr>
            <w:r>
              <w:rPr>
                <w:rFonts w:hint="eastAsia"/>
                <w:sz w:val="18"/>
                <w:szCs w:val="18"/>
              </w:rPr>
              <w:t>重庆紫光国际化工有限责任公司年产</w:t>
            </w:r>
            <w:r>
              <w:rPr>
                <w:sz w:val="18"/>
                <w:szCs w:val="18"/>
              </w:rPr>
              <w:t>8000</w:t>
            </w:r>
            <w:r>
              <w:rPr>
                <w:rFonts w:hint="eastAsia"/>
                <w:sz w:val="18"/>
                <w:szCs w:val="18"/>
              </w:rPr>
              <w:t>吨原甲酸三甲酯（</w:t>
            </w:r>
            <w:r>
              <w:rPr>
                <w:sz w:val="18"/>
                <w:szCs w:val="18"/>
              </w:rPr>
              <w:t>TMOF</w:t>
            </w:r>
            <w:r>
              <w:rPr>
                <w:rFonts w:hint="eastAsia"/>
                <w:sz w:val="18"/>
                <w:szCs w:val="18"/>
              </w:rPr>
              <w:t>）技改项目</w:t>
            </w:r>
          </w:p>
        </w:tc>
        <w:tc>
          <w:tcPr>
            <w:tcW w:w="339" w:type="pct"/>
            <w:shd w:val="clear" w:color="auto" w:fill="auto"/>
            <w:vAlign w:val="center"/>
          </w:tcPr>
          <w:p>
            <w:pPr>
              <w:pStyle w:val="42"/>
              <w:rPr>
                <w:sz w:val="18"/>
                <w:szCs w:val="18"/>
              </w:rPr>
            </w:pPr>
            <w:r>
              <w:rPr>
                <w:sz w:val="18"/>
                <w:szCs w:val="18"/>
              </w:rPr>
              <w:t>14.27</w:t>
            </w:r>
          </w:p>
        </w:tc>
        <w:tc>
          <w:tcPr>
            <w:tcW w:w="301" w:type="pct"/>
            <w:shd w:val="clear" w:color="auto" w:fill="auto"/>
            <w:vAlign w:val="center"/>
          </w:tcPr>
          <w:p>
            <w:pPr>
              <w:pStyle w:val="42"/>
              <w:rPr>
                <w:sz w:val="18"/>
                <w:szCs w:val="18"/>
              </w:rPr>
            </w:pPr>
            <w:r>
              <w:rPr>
                <w:sz w:val="18"/>
                <w:szCs w:val="18"/>
              </w:rPr>
              <w:t>1.211</w:t>
            </w:r>
          </w:p>
        </w:tc>
        <w:tc>
          <w:tcPr>
            <w:tcW w:w="26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sz w:val="18"/>
                <w:szCs w:val="18"/>
              </w:rPr>
              <w:t>0.109</w:t>
            </w:r>
          </w:p>
        </w:tc>
        <w:tc>
          <w:tcPr>
            <w:tcW w:w="301" w:type="pct"/>
            <w:shd w:val="clear" w:color="auto" w:fill="auto"/>
            <w:vAlign w:val="center"/>
          </w:tcPr>
          <w:p>
            <w:pPr>
              <w:pStyle w:val="42"/>
              <w:rPr>
                <w:sz w:val="18"/>
                <w:szCs w:val="18"/>
              </w:rPr>
            </w:pPr>
            <w:r>
              <w:rPr>
                <w:rFonts w:hint="eastAsia"/>
                <w:sz w:val="18"/>
                <w:szCs w:val="18"/>
              </w:rPr>
              <w:t>　</w:t>
            </w:r>
          </w:p>
        </w:tc>
        <w:tc>
          <w:tcPr>
            <w:tcW w:w="222" w:type="pct"/>
            <w:shd w:val="clear" w:color="auto" w:fill="auto"/>
            <w:vAlign w:val="center"/>
          </w:tcPr>
          <w:p>
            <w:pPr>
              <w:pStyle w:val="42"/>
              <w:rPr>
                <w:sz w:val="18"/>
                <w:szCs w:val="18"/>
              </w:rPr>
            </w:pPr>
            <w:r>
              <w:rPr>
                <w:rFonts w:hint="eastAsia"/>
                <w:sz w:val="18"/>
                <w:szCs w:val="18"/>
              </w:rPr>
              <w:t>　</w:t>
            </w:r>
          </w:p>
        </w:tc>
        <w:tc>
          <w:tcPr>
            <w:tcW w:w="301" w:type="pct"/>
            <w:shd w:val="clear" w:color="auto" w:fill="auto"/>
            <w:vAlign w:val="center"/>
          </w:tcPr>
          <w:p>
            <w:pPr>
              <w:pStyle w:val="42"/>
              <w:rPr>
                <w:sz w:val="18"/>
                <w:szCs w:val="18"/>
              </w:rPr>
            </w:pPr>
            <w:r>
              <w:rPr>
                <w:rFonts w:hint="eastAsia"/>
                <w:sz w:val="18"/>
                <w:szCs w:val="18"/>
              </w:rPr>
              <w:t>　</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rFonts w:hint="eastAsia"/>
                <w:sz w:val="18"/>
                <w:szCs w:val="18"/>
              </w:rPr>
              <w:t>　</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 w:type="pct"/>
            <w:shd w:val="clear" w:color="auto" w:fill="auto"/>
          </w:tcPr>
          <w:p>
            <w:pPr>
              <w:pStyle w:val="42"/>
              <w:rPr>
                <w:sz w:val="18"/>
                <w:szCs w:val="18"/>
              </w:rPr>
            </w:pPr>
            <w:r>
              <w:rPr>
                <w:sz w:val="18"/>
                <w:szCs w:val="18"/>
              </w:rPr>
              <w:t>105</w:t>
            </w:r>
          </w:p>
        </w:tc>
        <w:tc>
          <w:tcPr>
            <w:tcW w:w="947" w:type="pct"/>
            <w:shd w:val="clear" w:color="auto" w:fill="auto"/>
            <w:vAlign w:val="center"/>
          </w:tcPr>
          <w:p>
            <w:pPr>
              <w:pStyle w:val="42"/>
              <w:rPr>
                <w:sz w:val="18"/>
                <w:szCs w:val="18"/>
              </w:rPr>
            </w:pPr>
            <w:r>
              <w:rPr>
                <w:rFonts w:hint="eastAsia"/>
                <w:sz w:val="18"/>
                <w:szCs w:val="18"/>
              </w:rPr>
              <w:t>重庆农药化工（集团）有限公司重庆农药化工（集团）有限公司高端精细化学品系列升级改造项目</w:t>
            </w:r>
            <w:r>
              <w:rPr>
                <w:sz w:val="18"/>
                <w:szCs w:val="18"/>
              </w:rPr>
              <w:t>-2000</w:t>
            </w:r>
            <w:r>
              <w:rPr>
                <w:rFonts w:hint="eastAsia"/>
                <w:sz w:val="18"/>
                <w:szCs w:val="18"/>
              </w:rPr>
              <w:t>吨</w:t>
            </w:r>
            <w:r>
              <w:rPr>
                <w:sz w:val="18"/>
                <w:szCs w:val="18"/>
              </w:rPr>
              <w:t>/</w:t>
            </w:r>
            <w:r>
              <w:rPr>
                <w:rFonts w:hint="eastAsia"/>
                <w:sz w:val="18"/>
                <w:szCs w:val="18"/>
              </w:rPr>
              <w:t>年吡唑醚菌酯原药项目和丙硫菌唑等五个农药原药项目（吡蚜酮、乙螨唑项目）</w:t>
            </w:r>
          </w:p>
        </w:tc>
        <w:tc>
          <w:tcPr>
            <w:tcW w:w="339" w:type="pct"/>
            <w:shd w:val="clear" w:color="auto" w:fill="auto"/>
            <w:vAlign w:val="center"/>
          </w:tcPr>
          <w:p>
            <w:pPr>
              <w:pStyle w:val="42"/>
              <w:rPr>
                <w:sz w:val="18"/>
                <w:szCs w:val="18"/>
              </w:rPr>
            </w:pPr>
            <w:r>
              <w:rPr>
                <w:sz w:val="18"/>
                <w:szCs w:val="18"/>
              </w:rPr>
              <w:t>34.85</w:t>
            </w:r>
          </w:p>
        </w:tc>
        <w:tc>
          <w:tcPr>
            <w:tcW w:w="301" w:type="pct"/>
            <w:shd w:val="clear" w:color="auto" w:fill="auto"/>
            <w:vAlign w:val="center"/>
          </w:tcPr>
          <w:p>
            <w:pPr>
              <w:pStyle w:val="42"/>
              <w:rPr>
                <w:sz w:val="18"/>
                <w:szCs w:val="18"/>
              </w:rPr>
            </w:pPr>
            <w:r>
              <w:rPr>
                <w:sz w:val="18"/>
                <w:szCs w:val="18"/>
              </w:rPr>
              <w:t>21.74</w:t>
            </w:r>
          </w:p>
        </w:tc>
        <w:tc>
          <w:tcPr>
            <w:tcW w:w="262" w:type="pct"/>
            <w:shd w:val="clear" w:color="auto" w:fill="auto"/>
            <w:vAlign w:val="center"/>
          </w:tcPr>
          <w:p>
            <w:pPr>
              <w:pStyle w:val="42"/>
              <w:rPr>
                <w:sz w:val="18"/>
                <w:szCs w:val="18"/>
              </w:rPr>
            </w:pPr>
            <w:r>
              <w:rPr>
                <w:sz w:val="18"/>
                <w:szCs w:val="18"/>
              </w:rPr>
              <w:t>7.25</w:t>
            </w:r>
          </w:p>
        </w:tc>
        <w:tc>
          <w:tcPr>
            <w:tcW w:w="301" w:type="pct"/>
            <w:shd w:val="clear" w:color="auto" w:fill="auto"/>
            <w:vAlign w:val="center"/>
          </w:tcPr>
          <w:p>
            <w:pPr>
              <w:pStyle w:val="42"/>
              <w:rPr>
                <w:sz w:val="18"/>
                <w:szCs w:val="18"/>
              </w:rPr>
            </w:pPr>
            <w:r>
              <w:rPr>
                <w:sz w:val="18"/>
                <w:szCs w:val="18"/>
              </w:rPr>
              <w:t>3.6</w:t>
            </w:r>
          </w:p>
        </w:tc>
        <w:tc>
          <w:tcPr>
            <w:tcW w:w="301" w:type="pct"/>
            <w:shd w:val="clear" w:color="auto" w:fill="auto"/>
            <w:vAlign w:val="center"/>
          </w:tcPr>
          <w:p>
            <w:pPr>
              <w:pStyle w:val="42"/>
              <w:rPr>
                <w:sz w:val="18"/>
                <w:szCs w:val="18"/>
              </w:rPr>
            </w:pPr>
            <w:r>
              <w:rPr>
                <w:sz w:val="18"/>
                <w:szCs w:val="18"/>
              </w:rPr>
              <w:t>24.82</w:t>
            </w:r>
          </w:p>
        </w:tc>
        <w:tc>
          <w:tcPr>
            <w:tcW w:w="222" w:type="pct"/>
            <w:shd w:val="clear" w:color="auto" w:fill="auto"/>
            <w:vAlign w:val="center"/>
          </w:tcPr>
          <w:p>
            <w:pPr>
              <w:pStyle w:val="42"/>
              <w:rPr>
                <w:sz w:val="18"/>
                <w:szCs w:val="18"/>
              </w:rPr>
            </w:pPr>
            <w:r>
              <w:rPr>
                <w:sz w:val="18"/>
                <w:szCs w:val="18"/>
              </w:rPr>
              <w:t>1.82</w:t>
            </w:r>
          </w:p>
        </w:tc>
        <w:tc>
          <w:tcPr>
            <w:tcW w:w="301" w:type="pct"/>
            <w:shd w:val="clear" w:color="auto" w:fill="auto"/>
            <w:vAlign w:val="center"/>
          </w:tcPr>
          <w:p>
            <w:pPr>
              <w:pStyle w:val="42"/>
              <w:rPr>
                <w:sz w:val="18"/>
                <w:szCs w:val="18"/>
              </w:rPr>
            </w:pPr>
            <w:r>
              <w:rPr>
                <w:sz w:val="18"/>
                <w:szCs w:val="18"/>
              </w:rPr>
              <w:t>0.08</w:t>
            </w:r>
          </w:p>
        </w:tc>
        <w:tc>
          <w:tcPr>
            <w:tcW w:w="226" w:type="pct"/>
            <w:shd w:val="clear" w:color="auto" w:fill="auto"/>
            <w:vAlign w:val="center"/>
          </w:tcPr>
          <w:p>
            <w:pPr>
              <w:pStyle w:val="42"/>
              <w:rPr>
                <w:sz w:val="18"/>
                <w:szCs w:val="18"/>
              </w:rPr>
            </w:pPr>
            <w:r>
              <w:rPr>
                <w:rFonts w:hint="eastAsia"/>
                <w:sz w:val="18"/>
                <w:szCs w:val="18"/>
              </w:rPr>
              <w:t>　</w:t>
            </w:r>
          </w:p>
        </w:tc>
        <w:tc>
          <w:tcPr>
            <w:tcW w:w="181" w:type="pct"/>
            <w:shd w:val="clear" w:color="auto" w:fill="auto"/>
            <w:vAlign w:val="center"/>
          </w:tcPr>
          <w:p>
            <w:pPr>
              <w:pStyle w:val="42"/>
              <w:rPr>
                <w:sz w:val="18"/>
                <w:szCs w:val="18"/>
              </w:rPr>
            </w:pPr>
            <w:r>
              <w:rPr>
                <w:rFonts w:hint="eastAsia"/>
                <w:sz w:val="18"/>
                <w:szCs w:val="18"/>
              </w:rPr>
              <w:t>　</w:t>
            </w:r>
          </w:p>
        </w:tc>
        <w:tc>
          <w:tcPr>
            <w:tcW w:w="264" w:type="pct"/>
            <w:shd w:val="clear" w:color="auto" w:fill="auto"/>
            <w:vAlign w:val="center"/>
          </w:tcPr>
          <w:p>
            <w:pPr>
              <w:pStyle w:val="42"/>
              <w:rPr>
                <w:sz w:val="18"/>
                <w:szCs w:val="18"/>
              </w:rPr>
            </w:pPr>
            <w:r>
              <w:rPr>
                <w:sz w:val="18"/>
                <w:szCs w:val="18"/>
              </w:rPr>
              <w:t>0.09</w:t>
            </w:r>
          </w:p>
        </w:tc>
        <w:tc>
          <w:tcPr>
            <w:tcW w:w="280" w:type="pct"/>
            <w:shd w:val="clear" w:color="auto" w:fill="auto"/>
            <w:vAlign w:val="center"/>
          </w:tcPr>
          <w:p>
            <w:pPr>
              <w:pStyle w:val="42"/>
              <w:rPr>
                <w:sz w:val="18"/>
                <w:szCs w:val="18"/>
              </w:rPr>
            </w:pPr>
            <w:r>
              <w:rPr>
                <w:rFonts w:hint="eastAsia"/>
                <w:sz w:val="18"/>
                <w:szCs w:val="18"/>
              </w:rPr>
              <w:t>　</w:t>
            </w:r>
          </w:p>
        </w:tc>
        <w:tc>
          <w:tcPr>
            <w:tcW w:w="302" w:type="pct"/>
            <w:shd w:val="clear" w:color="auto" w:fill="auto"/>
            <w:vAlign w:val="center"/>
          </w:tcPr>
          <w:p>
            <w:pPr>
              <w:pStyle w:val="42"/>
              <w:rPr>
                <w:sz w:val="18"/>
                <w:szCs w:val="18"/>
              </w:rPr>
            </w:pPr>
            <w:r>
              <w:rPr>
                <w:rFonts w:hint="eastAsia"/>
                <w:sz w:val="18"/>
                <w:szCs w:val="18"/>
              </w:rPr>
              <w:t>　</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79" w:type="pct"/>
            <w:gridSpan w:val="2"/>
            <w:shd w:val="clear" w:color="auto" w:fill="auto"/>
            <w:vAlign w:val="center"/>
          </w:tcPr>
          <w:p>
            <w:pPr>
              <w:pStyle w:val="42"/>
              <w:rPr>
                <w:sz w:val="18"/>
                <w:szCs w:val="18"/>
              </w:rPr>
            </w:pPr>
            <w:r>
              <w:rPr>
                <w:rFonts w:hint="eastAsia"/>
                <w:sz w:val="18"/>
                <w:szCs w:val="18"/>
              </w:rPr>
              <w:t>合计</w:t>
            </w:r>
          </w:p>
        </w:tc>
        <w:tc>
          <w:tcPr>
            <w:tcW w:w="339" w:type="pct"/>
            <w:shd w:val="clear" w:color="auto" w:fill="auto"/>
            <w:vAlign w:val="center"/>
          </w:tcPr>
          <w:p>
            <w:pPr>
              <w:pStyle w:val="42"/>
              <w:rPr>
                <w:sz w:val="18"/>
                <w:szCs w:val="18"/>
              </w:rPr>
            </w:pPr>
            <w:r>
              <w:rPr>
                <w:sz w:val="18"/>
                <w:szCs w:val="18"/>
              </w:rPr>
              <w:t>82782.729</w:t>
            </w:r>
          </w:p>
        </w:tc>
        <w:tc>
          <w:tcPr>
            <w:tcW w:w="301" w:type="pct"/>
            <w:shd w:val="clear" w:color="auto" w:fill="auto"/>
            <w:vAlign w:val="center"/>
          </w:tcPr>
          <w:p>
            <w:pPr>
              <w:pStyle w:val="42"/>
              <w:rPr>
                <w:sz w:val="18"/>
                <w:szCs w:val="18"/>
              </w:rPr>
            </w:pPr>
            <w:r>
              <w:rPr>
                <w:sz w:val="18"/>
                <w:szCs w:val="18"/>
              </w:rPr>
              <w:t>748.6806</w:t>
            </w:r>
          </w:p>
        </w:tc>
        <w:tc>
          <w:tcPr>
            <w:tcW w:w="262" w:type="pct"/>
            <w:shd w:val="clear" w:color="auto" w:fill="auto"/>
            <w:vAlign w:val="center"/>
          </w:tcPr>
          <w:p>
            <w:pPr>
              <w:pStyle w:val="42"/>
              <w:rPr>
                <w:sz w:val="18"/>
                <w:szCs w:val="18"/>
              </w:rPr>
            </w:pPr>
            <w:r>
              <w:rPr>
                <w:sz w:val="18"/>
                <w:szCs w:val="18"/>
              </w:rPr>
              <w:t>99.2112</w:t>
            </w:r>
          </w:p>
        </w:tc>
        <w:tc>
          <w:tcPr>
            <w:tcW w:w="301" w:type="pct"/>
            <w:shd w:val="clear" w:color="auto" w:fill="auto"/>
            <w:vAlign w:val="center"/>
          </w:tcPr>
          <w:p>
            <w:pPr>
              <w:pStyle w:val="42"/>
              <w:rPr>
                <w:sz w:val="18"/>
                <w:szCs w:val="18"/>
              </w:rPr>
            </w:pPr>
            <w:r>
              <w:rPr>
                <w:sz w:val="18"/>
                <w:szCs w:val="18"/>
              </w:rPr>
              <w:t>46.06467</w:t>
            </w:r>
          </w:p>
        </w:tc>
        <w:tc>
          <w:tcPr>
            <w:tcW w:w="301" w:type="pct"/>
            <w:shd w:val="clear" w:color="auto" w:fill="auto"/>
            <w:vAlign w:val="center"/>
          </w:tcPr>
          <w:p>
            <w:pPr>
              <w:pStyle w:val="42"/>
              <w:rPr>
                <w:sz w:val="18"/>
                <w:szCs w:val="18"/>
              </w:rPr>
            </w:pPr>
            <w:r>
              <w:rPr>
                <w:sz w:val="18"/>
                <w:szCs w:val="18"/>
              </w:rPr>
              <w:t>443.2341</w:t>
            </w:r>
          </w:p>
        </w:tc>
        <w:tc>
          <w:tcPr>
            <w:tcW w:w="222" w:type="pct"/>
            <w:shd w:val="clear" w:color="auto" w:fill="auto"/>
            <w:vAlign w:val="center"/>
          </w:tcPr>
          <w:p>
            <w:pPr>
              <w:pStyle w:val="42"/>
              <w:rPr>
                <w:sz w:val="18"/>
                <w:szCs w:val="18"/>
              </w:rPr>
            </w:pPr>
            <w:r>
              <w:rPr>
                <w:sz w:val="18"/>
                <w:szCs w:val="18"/>
              </w:rPr>
              <w:t>8.679</w:t>
            </w:r>
          </w:p>
        </w:tc>
        <w:tc>
          <w:tcPr>
            <w:tcW w:w="301" w:type="pct"/>
            <w:shd w:val="clear" w:color="auto" w:fill="auto"/>
            <w:vAlign w:val="center"/>
          </w:tcPr>
          <w:p>
            <w:pPr>
              <w:pStyle w:val="42"/>
              <w:rPr>
                <w:sz w:val="18"/>
                <w:szCs w:val="18"/>
              </w:rPr>
            </w:pPr>
            <w:r>
              <w:rPr>
                <w:sz w:val="18"/>
                <w:szCs w:val="18"/>
              </w:rPr>
              <w:t>0.403415</w:t>
            </w:r>
          </w:p>
        </w:tc>
        <w:tc>
          <w:tcPr>
            <w:tcW w:w="226" w:type="pct"/>
            <w:shd w:val="clear" w:color="auto" w:fill="auto"/>
            <w:vAlign w:val="center"/>
          </w:tcPr>
          <w:p>
            <w:pPr>
              <w:pStyle w:val="42"/>
              <w:rPr>
                <w:sz w:val="18"/>
                <w:szCs w:val="18"/>
              </w:rPr>
            </w:pPr>
            <w:r>
              <w:rPr>
                <w:sz w:val="18"/>
                <w:szCs w:val="18"/>
              </w:rPr>
              <w:t>0.001</w:t>
            </w:r>
          </w:p>
        </w:tc>
        <w:tc>
          <w:tcPr>
            <w:tcW w:w="181" w:type="pct"/>
            <w:shd w:val="clear" w:color="auto" w:fill="auto"/>
            <w:vAlign w:val="center"/>
          </w:tcPr>
          <w:p>
            <w:pPr>
              <w:pStyle w:val="42"/>
              <w:rPr>
                <w:sz w:val="18"/>
                <w:szCs w:val="18"/>
              </w:rPr>
            </w:pPr>
            <w:r>
              <w:rPr>
                <w:sz w:val="18"/>
                <w:szCs w:val="18"/>
              </w:rPr>
              <w:t>8</w:t>
            </w:r>
          </w:p>
        </w:tc>
        <w:tc>
          <w:tcPr>
            <w:tcW w:w="264" w:type="pct"/>
            <w:shd w:val="clear" w:color="auto" w:fill="auto"/>
            <w:vAlign w:val="center"/>
          </w:tcPr>
          <w:p>
            <w:pPr>
              <w:pStyle w:val="42"/>
              <w:rPr>
                <w:sz w:val="18"/>
                <w:szCs w:val="18"/>
              </w:rPr>
            </w:pPr>
            <w:r>
              <w:rPr>
                <w:sz w:val="18"/>
                <w:szCs w:val="18"/>
              </w:rPr>
              <w:t>897.858</w:t>
            </w:r>
          </w:p>
        </w:tc>
        <w:tc>
          <w:tcPr>
            <w:tcW w:w="280" w:type="pct"/>
            <w:shd w:val="clear" w:color="auto" w:fill="auto"/>
            <w:vAlign w:val="center"/>
          </w:tcPr>
          <w:p>
            <w:pPr>
              <w:pStyle w:val="42"/>
              <w:rPr>
                <w:sz w:val="18"/>
                <w:szCs w:val="18"/>
              </w:rPr>
            </w:pPr>
            <w:r>
              <w:rPr>
                <w:sz w:val="18"/>
                <w:szCs w:val="18"/>
              </w:rPr>
              <w:t>2.505</w:t>
            </w:r>
          </w:p>
        </w:tc>
        <w:tc>
          <w:tcPr>
            <w:tcW w:w="302" w:type="pct"/>
            <w:shd w:val="clear" w:color="auto" w:fill="auto"/>
            <w:vAlign w:val="center"/>
          </w:tcPr>
          <w:p>
            <w:pPr>
              <w:pStyle w:val="42"/>
              <w:rPr>
                <w:sz w:val="18"/>
                <w:szCs w:val="18"/>
              </w:rPr>
            </w:pPr>
            <w:r>
              <w:rPr>
                <w:sz w:val="18"/>
                <w:szCs w:val="18"/>
              </w:rPr>
              <w:t>16.24993</w:t>
            </w:r>
          </w:p>
        </w:tc>
        <w:tc>
          <w:tcPr>
            <w:tcW w:w="456" w:type="pct"/>
            <w:vMerge w:val="continue"/>
            <w:vAlign w:val="center"/>
          </w:tcPr>
          <w:p>
            <w:pPr>
              <w:pStyle w:val="42"/>
              <w:rPr>
                <w:sz w:val="18"/>
                <w:szCs w:val="18"/>
              </w:rPr>
            </w:pPr>
          </w:p>
        </w:tc>
        <w:tc>
          <w:tcPr>
            <w:tcW w:w="185" w:type="pct"/>
            <w:vMerge w:val="continue"/>
            <w:vAlign w:val="center"/>
          </w:tcPr>
          <w:p>
            <w:pPr>
              <w:pStyle w:val="42"/>
              <w:rPr>
                <w:sz w:val="18"/>
                <w:szCs w:val="18"/>
              </w:rPr>
            </w:pPr>
          </w:p>
        </w:tc>
      </w:tr>
    </w:tbl>
    <w:p>
      <w:pPr>
        <w:pStyle w:val="41"/>
        <w:spacing w:before="156" w:after="156"/>
      </w:pPr>
    </w:p>
    <w:p>
      <w:pPr>
        <w:pStyle w:val="41"/>
        <w:spacing w:before="156" w:after="156"/>
      </w:pPr>
      <w:r>
        <w:rPr>
          <w:rFonts w:hint="eastAsia"/>
        </w:rPr>
        <w:t>表4.3-</w:t>
      </w:r>
      <w:r>
        <w:t>3</w:t>
      </w:r>
      <w:r>
        <w:rPr>
          <w:rFonts w:hint="eastAsia"/>
        </w:rPr>
        <w:t xml:space="preserve"> 区域主要企业固体废物排放及治理情况汇总表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5689"/>
        <w:gridCol w:w="1437"/>
        <w:gridCol w:w="1775"/>
        <w:gridCol w:w="1525"/>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77" w:type="pct"/>
            <w:vAlign w:val="center"/>
          </w:tcPr>
          <w:p>
            <w:pPr>
              <w:pStyle w:val="42"/>
            </w:pPr>
            <w:r>
              <w:rPr>
                <w:rFonts w:hint="eastAsia"/>
              </w:rPr>
              <w:t>序号</w:t>
            </w:r>
          </w:p>
        </w:tc>
        <w:tc>
          <w:tcPr>
            <w:tcW w:w="2007" w:type="pct"/>
            <w:vAlign w:val="center"/>
          </w:tcPr>
          <w:p>
            <w:pPr>
              <w:pStyle w:val="42"/>
            </w:pPr>
            <w:r>
              <w:t>企业</w:t>
            </w:r>
          </w:p>
        </w:tc>
        <w:tc>
          <w:tcPr>
            <w:tcW w:w="507" w:type="pct"/>
            <w:vAlign w:val="center"/>
          </w:tcPr>
          <w:p>
            <w:pPr>
              <w:pStyle w:val="42"/>
            </w:pPr>
            <w:r>
              <w:t>危险废物</w:t>
            </w:r>
          </w:p>
        </w:tc>
        <w:tc>
          <w:tcPr>
            <w:tcW w:w="626" w:type="pct"/>
            <w:vAlign w:val="center"/>
          </w:tcPr>
          <w:p>
            <w:pPr>
              <w:pStyle w:val="42"/>
            </w:pPr>
            <w:r>
              <w:t>一般工业固废</w:t>
            </w:r>
          </w:p>
        </w:tc>
        <w:tc>
          <w:tcPr>
            <w:tcW w:w="538" w:type="pct"/>
            <w:vAlign w:val="center"/>
          </w:tcPr>
          <w:p>
            <w:pPr>
              <w:pStyle w:val="42"/>
            </w:pPr>
            <w:r>
              <w:t>生活垃圾</w:t>
            </w:r>
          </w:p>
        </w:tc>
        <w:tc>
          <w:tcPr>
            <w:tcW w:w="1045" w:type="pct"/>
            <w:vAlign w:val="center"/>
          </w:tcPr>
          <w:p>
            <w:pPr>
              <w:pStyle w:val="42"/>
            </w:pPr>
            <w:r>
              <w:t>主要治理措施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77" w:type="pct"/>
            <w:vAlign w:val="center"/>
          </w:tcPr>
          <w:p>
            <w:pPr>
              <w:pStyle w:val="42"/>
            </w:pPr>
            <w:r>
              <w:t>1</w:t>
            </w:r>
          </w:p>
        </w:tc>
        <w:tc>
          <w:tcPr>
            <w:tcW w:w="2007" w:type="pct"/>
            <w:vAlign w:val="center"/>
          </w:tcPr>
          <w:p>
            <w:pPr>
              <w:pStyle w:val="42"/>
            </w:pPr>
            <w:r>
              <w:t>巴斯夫聚氨酯（重庆）有限公司</w:t>
            </w:r>
          </w:p>
        </w:tc>
        <w:tc>
          <w:tcPr>
            <w:tcW w:w="507" w:type="pct"/>
            <w:vAlign w:val="center"/>
          </w:tcPr>
          <w:p>
            <w:pPr>
              <w:pStyle w:val="42"/>
            </w:pPr>
            <w:r>
              <w:t>6782.35</w:t>
            </w:r>
          </w:p>
        </w:tc>
        <w:tc>
          <w:tcPr>
            <w:tcW w:w="626" w:type="pct"/>
            <w:vAlign w:val="center"/>
          </w:tcPr>
          <w:p>
            <w:pPr>
              <w:pStyle w:val="42"/>
            </w:pPr>
            <w:r>
              <w:t>4</w:t>
            </w:r>
          </w:p>
        </w:tc>
        <w:tc>
          <w:tcPr>
            <w:tcW w:w="538" w:type="pct"/>
            <w:vAlign w:val="center"/>
          </w:tcPr>
          <w:p>
            <w:pPr>
              <w:pStyle w:val="42"/>
            </w:pPr>
            <w:r>
              <w:t>25.80</w:t>
            </w:r>
          </w:p>
        </w:tc>
        <w:tc>
          <w:tcPr>
            <w:tcW w:w="1045" w:type="pct"/>
            <w:vMerge w:val="restart"/>
            <w:vAlign w:val="center"/>
          </w:tcPr>
          <w:p>
            <w:pPr>
              <w:pStyle w:val="42"/>
            </w:pPr>
            <w:r>
              <w:t>危废送有资质单位进行处置；一般固废以综合利用为主；不能综合利用的送化工园区固体废物场处置；生活垃圾由环卫部门统一处置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77" w:type="pct"/>
            <w:vAlign w:val="center"/>
          </w:tcPr>
          <w:p>
            <w:pPr>
              <w:pStyle w:val="42"/>
            </w:pPr>
            <w:r>
              <w:t>3</w:t>
            </w:r>
          </w:p>
        </w:tc>
        <w:tc>
          <w:tcPr>
            <w:tcW w:w="2007" w:type="pct"/>
            <w:vAlign w:val="center"/>
          </w:tcPr>
          <w:p>
            <w:pPr>
              <w:pStyle w:val="42"/>
            </w:pPr>
            <w:r>
              <w:t>重庆长风化学工业有限公司</w:t>
            </w:r>
          </w:p>
        </w:tc>
        <w:tc>
          <w:tcPr>
            <w:tcW w:w="507" w:type="pct"/>
            <w:vAlign w:val="center"/>
          </w:tcPr>
          <w:p>
            <w:pPr>
              <w:pStyle w:val="42"/>
            </w:pPr>
          </w:p>
        </w:tc>
        <w:tc>
          <w:tcPr>
            <w:tcW w:w="626" w:type="pct"/>
            <w:vAlign w:val="center"/>
          </w:tcPr>
          <w:p>
            <w:pPr>
              <w:pStyle w:val="42"/>
            </w:pPr>
            <w:r>
              <w:t>6567.8</w:t>
            </w:r>
          </w:p>
        </w:tc>
        <w:tc>
          <w:tcPr>
            <w:tcW w:w="538" w:type="pct"/>
            <w:vAlign w:val="center"/>
          </w:tcPr>
          <w:p>
            <w:pPr>
              <w:pStyle w:val="42"/>
            </w:pPr>
            <w:r>
              <w:t>45.60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77" w:type="pct"/>
            <w:vAlign w:val="center"/>
          </w:tcPr>
          <w:p>
            <w:pPr>
              <w:pStyle w:val="42"/>
            </w:pPr>
            <w:r>
              <w:t>4</w:t>
            </w:r>
          </w:p>
        </w:tc>
        <w:tc>
          <w:tcPr>
            <w:tcW w:w="2007" w:type="pct"/>
            <w:vAlign w:val="center"/>
          </w:tcPr>
          <w:p>
            <w:pPr>
              <w:pStyle w:val="42"/>
            </w:pPr>
            <w:r>
              <w:t>恩力吉</w:t>
            </w:r>
          </w:p>
        </w:tc>
        <w:tc>
          <w:tcPr>
            <w:tcW w:w="507" w:type="pct"/>
            <w:vAlign w:val="center"/>
          </w:tcPr>
          <w:p>
            <w:pPr>
              <w:pStyle w:val="42"/>
            </w:pPr>
          </w:p>
        </w:tc>
        <w:tc>
          <w:tcPr>
            <w:tcW w:w="626" w:type="pct"/>
            <w:vAlign w:val="center"/>
          </w:tcPr>
          <w:p>
            <w:pPr>
              <w:pStyle w:val="42"/>
            </w:pPr>
            <w:r>
              <w:t>845860.9</w:t>
            </w:r>
          </w:p>
        </w:tc>
        <w:tc>
          <w:tcPr>
            <w:tcW w:w="538" w:type="pct"/>
            <w:vAlign w:val="center"/>
          </w:tcPr>
          <w:p>
            <w:pPr>
              <w:pStyle w:val="42"/>
            </w:pPr>
            <w:r>
              <w:t>77.63</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5</w:t>
            </w:r>
          </w:p>
        </w:tc>
        <w:tc>
          <w:tcPr>
            <w:tcW w:w="2007" w:type="pct"/>
            <w:vAlign w:val="center"/>
          </w:tcPr>
          <w:p>
            <w:pPr>
              <w:pStyle w:val="42"/>
            </w:pPr>
            <w:r>
              <w:t>中橡（重庆）炭黑有限公司</w:t>
            </w:r>
          </w:p>
        </w:tc>
        <w:tc>
          <w:tcPr>
            <w:tcW w:w="507" w:type="pct"/>
            <w:vAlign w:val="center"/>
          </w:tcPr>
          <w:p>
            <w:pPr>
              <w:pStyle w:val="42"/>
            </w:pPr>
            <w:r>
              <w:t>20</w:t>
            </w:r>
          </w:p>
        </w:tc>
        <w:tc>
          <w:tcPr>
            <w:tcW w:w="626" w:type="pct"/>
            <w:vAlign w:val="center"/>
          </w:tcPr>
          <w:p>
            <w:pPr>
              <w:pStyle w:val="42"/>
            </w:pPr>
            <w:r>
              <w:t>562</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6</w:t>
            </w:r>
          </w:p>
        </w:tc>
        <w:tc>
          <w:tcPr>
            <w:tcW w:w="2007" w:type="pct"/>
            <w:vAlign w:val="center"/>
          </w:tcPr>
          <w:p>
            <w:pPr>
              <w:pStyle w:val="42"/>
            </w:pPr>
            <w:r>
              <w:t>化医林德</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7</w:t>
            </w:r>
          </w:p>
        </w:tc>
        <w:tc>
          <w:tcPr>
            <w:tcW w:w="2007" w:type="pct"/>
            <w:vAlign w:val="center"/>
          </w:tcPr>
          <w:p>
            <w:pPr>
              <w:pStyle w:val="42"/>
            </w:pPr>
            <w:r>
              <w:t>重庆英斯凯化工有限公司</w:t>
            </w:r>
          </w:p>
        </w:tc>
        <w:tc>
          <w:tcPr>
            <w:tcW w:w="507" w:type="pct"/>
            <w:vAlign w:val="center"/>
          </w:tcPr>
          <w:p>
            <w:pPr>
              <w:pStyle w:val="42"/>
            </w:pPr>
            <w:r>
              <w:t>1080.81</w:t>
            </w:r>
          </w:p>
        </w:tc>
        <w:tc>
          <w:tcPr>
            <w:tcW w:w="626" w:type="pct"/>
            <w:vAlign w:val="center"/>
          </w:tcPr>
          <w:p>
            <w:pPr>
              <w:pStyle w:val="42"/>
            </w:pPr>
          </w:p>
        </w:tc>
        <w:tc>
          <w:tcPr>
            <w:tcW w:w="538" w:type="pct"/>
            <w:vAlign w:val="center"/>
          </w:tcPr>
          <w:p>
            <w:pPr>
              <w:pStyle w:val="42"/>
            </w:pPr>
            <w:r>
              <w:t>39.9</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277" w:type="pct"/>
            <w:vAlign w:val="center"/>
          </w:tcPr>
          <w:p>
            <w:pPr>
              <w:pStyle w:val="42"/>
            </w:pPr>
            <w:r>
              <w:t>8</w:t>
            </w:r>
          </w:p>
        </w:tc>
        <w:tc>
          <w:tcPr>
            <w:tcW w:w="2007" w:type="pct"/>
            <w:vAlign w:val="center"/>
          </w:tcPr>
          <w:p>
            <w:pPr>
              <w:pStyle w:val="42"/>
            </w:pPr>
            <w:r>
              <w:t>重庆市中润化学有限公司</w:t>
            </w:r>
          </w:p>
        </w:tc>
        <w:tc>
          <w:tcPr>
            <w:tcW w:w="507" w:type="pct"/>
            <w:vAlign w:val="center"/>
          </w:tcPr>
          <w:p>
            <w:pPr>
              <w:pStyle w:val="42"/>
            </w:pPr>
            <w:r>
              <w:t>864.24</w:t>
            </w:r>
          </w:p>
        </w:tc>
        <w:tc>
          <w:tcPr>
            <w:tcW w:w="626" w:type="pct"/>
            <w:vAlign w:val="center"/>
          </w:tcPr>
          <w:p>
            <w:pPr>
              <w:pStyle w:val="42"/>
            </w:pPr>
          </w:p>
        </w:tc>
        <w:tc>
          <w:tcPr>
            <w:tcW w:w="538" w:type="pct"/>
            <w:vAlign w:val="center"/>
          </w:tcPr>
          <w:p>
            <w:pPr>
              <w:pStyle w:val="42"/>
            </w:pPr>
            <w:r>
              <w:t>7.7</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9</w:t>
            </w:r>
          </w:p>
        </w:tc>
        <w:tc>
          <w:tcPr>
            <w:tcW w:w="2007" w:type="pct"/>
            <w:vAlign w:val="center"/>
          </w:tcPr>
          <w:p>
            <w:pPr>
              <w:pStyle w:val="42"/>
            </w:pPr>
            <w:r>
              <w:t>重庆大禹防水科技发展有限公司</w:t>
            </w:r>
          </w:p>
        </w:tc>
        <w:tc>
          <w:tcPr>
            <w:tcW w:w="507" w:type="pct"/>
            <w:vAlign w:val="center"/>
          </w:tcPr>
          <w:p>
            <w:pPr>
              <w:pStyle w:val="42"/>
            </w:pPr>
            <w:r>
              <w:t>18.27</w:t>
            </w:r>
          </w:p>
        </w:tc>
        <w:tc>
          <w:tcPr>
            <w:tcW w:w="626" w:type="pct"/>
            <w:vAlign w:val="center"/>
          </w:tcPr>
          <w:p>
            <w:pPr>
              <w:pStyle w:val="42"/>
            </w:pPr>
            <w:r>
              <w:t>343.79</w:t>
            </w:r>
          </w:p>
        </w:tc>
        <w:tc>
          <w:tcPr>
            <w:tcW w:w="538" w:type="pct"/>
            <w:vAlign w:val="center"/>
          </w:tcPr>
          <w:p>
            <w:pPr>
              <w:pStyle w:val="42"/>
            </w:pPr>
            <w:r>
              <w:t>9</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10</w:t>
            </w:r>
          </w:p>
        </w:tc>
        <w:tc>
          <w:tcPr>
            <w:tcW w:w="2007" w:type="pct"/>
            <w:vAlign w:val="center"/>
          </w:tcPr>
          <w:p>
            <w:pPr>
              <w:pStyle w:val="42"/>
            </w:pPr>
            <w:r>
              <w:t>重庆中科力泰高分子材料股份有限公司</w:t>
            </w:r>
          </w:p>
        </w:tc>
        <w:tc>
          <w:tcPr>
            <w:tcW w:w="507" w:type="pct"/>
            <w:vAlign w:val="center"/>
          </w:tcPr>
          <w:p>
            <w:pPr>
              <w:pStyle w:val="42"/>
            </w:pPr>
            <w:r>
              <w:t>39.9</w:t>
            </w:r>
          </w:p>
        </w:tc>
        <w:tc>
          <w:tcPr>
            <w:tcW w:w="626" w:type="pct"/>
            <w:vAlign w:val="center"/>
          </w:tcPr>
          <w:p>
            <w:pPr>
              <w:pStyle w:val="42"/>
            </w:pPr>
            <w:r>
              <w:t>1.6</w:t>
            </w:r>
          </w:p>
        </w:tc>
        <w:tc>
          <w:tcPr>
            <w:tcW w:w="538" w:type="pct"/>
            <w:vAlign w:val="center"/>
          </w:tcPr>
          <w:p>
            <w:pPr>
              <w:pStyle w:val="42"/>
            </w:pPr>
            <w:r>
              <w:t>7</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11</w:t>
            </w:r>
          </w:p>
        </w:tc>
        <w:tc>
          <w:tcPr>
            <w:tcW w:w="2007" w:type="pct"/>
            <w:vAlign w:val="center"/>
          </w:tcPr>
          <w:p>
            <w:pPr>
              <w:pStyle w:val="42"/>
            </w:pPr>
            <w:r>
              <w:t>重庆紫光国际化工有限责任公司</w:t>
            </w:r>
          </w:p>
        </w:tc>
        <w:tc>
          <w:tcPr>
            <w:tcW w:w="507" w:type="pct"/>
            <w:vAlign w:val="center"/>
          </w:tcPr>
          <w:p>
            <w:pPr>
              <w:pStyle w:val="42"/>
            </w:pPr>
            <w:r>
              <w:t>753.16</w:t>
            </w:r>
          </w:p>
        </w:tc>
        <w:tc>
          <w:tcPr>
            <w:tcW w:w="626" w:type="pct"/>
            <w:vAlign w:val="center"/>
          </w:tcPr>
          <w:p>
            <w:pPr>
              <w:pStyle w:val="42"/>
            </w:pPr>
          </w:p>
        </w:tc>
        <w:tc>
          <w:tcPr>
            <w:tcW w:w="538" w:type="pct"/>
            <w:vAlign w:val="center"/>
          </w:tcPr>
          <w:p>
            <w:pPr>
              <w:pStyle w:val="42"/>
            </w:pPr>
            <w:r>
              <w:t>241.64</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12</w:t>
            </w:r>
          </w:p>
        </w:tc>
        <w:tc>
          <w:tcPr>
            <w:tcW w:w="2007" w:type="pct"/>
            <w:vAlign w:val="center"/>
          </w:tcPr>
          <w:p>
            <w:pPr>
              <w:pStyle w:val="42"/>
            </w:pPr>
            <w:r>
              <w:t>重庆德馨香料植物开发公司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77" w:type="pct"/>
            <w:vAlign w:val="center"/>
          </w:tcPr>
          <w:p>
            <w:pPr>
              <w:pStyle w:val="42"/>
            </w:pPr>
            <w:r>
              <w:t>13</w:t>
            </w:r>
          </w:p>
        </w:tc>
        <w:tc>
          <w:tcPr>
            <w:tcW w:w="2007" w:type="pct"/>
            <w:vAlign w:val="center"/>
          </w:tcPr>
          <w:p>
            <w:pPr>
              <w:pStyle w:val="42"/>
            </w:pPr>
            <w:r>
              <w:t>重庆市映天辉氯碱化工有限公司</w:t>
            </w:r>
          </w:p>
        </w:tc>
        <w:tc>
          <w:tcPr>
            <w:tcW w:w="507" w:type="pct"/>
            <w:vAlign w:val="center"/>
          </w:tcPr>
          <w:p>
            <w:pPr>
              <w:pStyle w:val="42"/>
            </w:pPr>
            <w:r>
              <w:t>1315.80</w:t>
            </w:r>
          </w:p>
        </w:tc>
        <w:tc>
          <w:tcPr>
            <w:tcW w:w="626" w:type="pct"/>
            <w:vAlign w:val="center"/>
          </w:tcPr>
          <w:p>
            <w:pPr>
              <w:pStyle w:val="42"/>
            </w:pPr>
            <w:r>
              <w:t>263.40</w:t>
            </w:r>
          </w:p>
        </w:tc>
        <w:tc>
          <w:tcPr>
            <w:tcW w:w="538" w:type="pct"/>
            <w:vAlign w:val="center"/>
          </w:tcPr>
          <w:p>
            <w:pPr>
              <w:pStyle w:val="42"/>
            </w:pPr>
            <w:r>
              <w:t>39.80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77" w:type="pct"/>
            <w:vAlign w:val="center"/>
          </w:tcPr>
          <w:p>
            <w:pPr>
              <w:pStyle w:val="42"/>
            </w:pPr>
            <w:r>
              <w:t>14</w:t>
            </w:r>
          </w:p>
        </w:tc>
        <w:tc>
          <w:tcPr>
            <w:tcW w:w="2007" w:type="pct"/>
            <w:vAlign w:val="center"/>
          </w:tcPr>
          <w:p>
            <w:pPr>
              <w:pStyle w:val="42"/>
            </w:pPr>
            <w:r>
              <w:t>中荣（重庆）化工分销服务有限公司</w:t>
            </w:r>
          </w:p>
        </w:tc>
        <w:tc>
          <w:tcPr>
            <w:tcW w:w="507" w:type="pct"/>
            <w:vAlign w:val="center"/>
          </w:tcPr>
          <w:p>
            <w:pPr>
              <w:pStyle w:val="42"/>
            </w:pPr>
            <w:r>
              <w:t>28</w:t>
            </w:r>
          </w:p>
        </w:tc>
        <w:tc>
          <w:tcPr>
            <w:tcW w:w="626" w:type="pct"/>
            <w:vAlign w:val="center"/>
          </w:tcPr>
          <w:p>
            <w:pPr>
              <w:pStyle w:val="42"/>
            </w:pPr>
          </w:p>
        </w:tc>
        <w:tc>
          <w:tcPr>
            <w:tcW w:w="538" w:type="pct"/>
            <w:vAlign w:val="center"/>
          </w:tcPr>
          <w:p>
            <w:pPr>
              <w:pStyle w:val="42"/>
            </w:pPr>
            <w:r>
              <w:t>10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15</w:t>
            </w:r>
          </w:p>
        </w:tc>
        <w:tc>
          <w:tcPr>
            <w:tcW w:w="2007" w:type="pct"/>
            <w:vAlign w:val="center"/>
          </w:tcPr>
          <w:p>
            <w:pPr>
              <w:pStyle w:val="42"/>
            </w:pPr>
            <w:r>
              <w:t>攀钢集团重庆钛业有限公司</w:t>
            </w:r>
          </w:p>
        </w:tc>
        <w:tc>
          <w:tcPr>
            <w:tcW w:w="507" w:type="pct"/>
            <w:vAlign w:val="center"/>
          </w:tcPr>
          <w:p>
            <w:pPr>
              <w:pStyle w:val="42"/>
            </w:pPr>
          </w:p>
        </w:tc>
        <w:tc>
          <w:tcPr>
            <w:tcW w:w="626" w:type="pct"/>
            <w:vAlign w:val="center"/>
          </w:tcPr>
          <w:p>
            <w:pPr>
              <w:pStyle w:val="42"/>
            </w:pPr>
            <w:r>
              <w:t>142213</w:t>
            </w:r>
          </w:p>
        </w:tc>
        <w:tc>
          <w:tcPr>
            <w:tcW w:w="538" w:type="pct"/>
            <w:vAlign w:val="center"/>
          </w:tcPr>
          <w:p>
            <w:pPr>
              <w:pStyle w:val="42"/>
            </w:pPr>
            <w:r>
              <w:t>145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16</w:t>
            </w:r>
          </w:p>
        </w:tc>
        <w:tc>
          <w:tcPr>
            <w:tcW w:w="2007" w:type="pct"/>
            <w:vAlign w:val="center"/>
          </w:tcPr>
          <w:p>
            <w:pPr>
              <w:pStyle w:val="42"/>
            </w:pPr>
            <w:r>
              <w:t>重庆鑫富化工有限公司</w:t>
            </w:r>
          </w:p>
        </w:tc>
        <w:tc>
          <w:tcPr>
            <w:tcW w:w="507" w:type="pct"/>
            <w:vAlign w:val="center"/>
          </w:tcPr>
          <w:p>
            <w:pPr>
              <w:pStyle w:val="42"/>
            </w:pPr>
            <w:r>
              <w:t>1209.20</w:t>
            </w:r>
          </w:p>
        </w:tc>
        <w:tc>
          <w:tcPr>
            <w:tcW w:w="626" w:type="pct"/>
            <w:vAlign w:val="center"/>
          </w:tcPr>
          <w:p>
            <w:pPr>
              <w:pStyle w:val="42"/>
            </w:pPr>
          </w:p>
        </w:tc>
        <w:tc>
          <w:tcPr>
            <w:tcW w:w="538" w:type="pct"/>
            <w:vAlign w:val="center"/>
          </w:tcPr>
          <w:p>
            <w:pPr>
              <w:pStyle w:val="42"/>
            </w:pPr>
            <w:r>
              <w:t>24.60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17</w:t>
            </w:r>
          </w:p>
        </w:tc>
        <w:tc>
          <w:tcPr>
            <w:tcW w:w="2007" w:type="pct"/>
            <w:vAlign w:val="center"/>
          </w:tcPr>
          <w:p>
            <w:pPr>
              <w:pStyle w:val="42"/>
            </w:pPr>
            <w:r>
              <w:t>重庆三峡英力化工有限公司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18</w:t>
            </w:r>
          </w:p>
        </w:tc>
        <w:tc>
          <w:tcPr>
            <w:tcW w:w="2007" w:type="pct"/>
            <w:vAlign w:val="center"/>
          </w:tcPr>
          <w:p>
            <w:pPr>
              <w:pStyle w:val="42"/>
            </w:pPr>
            <w:r>
              <w:t>重庆润江水泥公司（长寿西南水泥厂）</w:t>
            </w:r>
          </w:p>
        </w:tc>
        <w:tc>
          <w:tcPr>
            <w:tcW w:w="507" w:type="pct"/>
            <w:vAlign w:val="center"/>
          </w:tcPr>
          <w:p>
            <w:pPr>
              <w:pStyle w:val="42"/>
            </w:pPr>
          </w:p>
        </w:tc>
        <w:tc>
          <w:tcPr>
            <w:tcW w:w="626" w:type="pct"/>
            <w:vAlign w:val="center"/>
          </w:tcPr>
          <w:p>
            <w:pPr>
              <w:pStyle w:val="42"/>
            </w:pPr>
            <w:r>
              <w:t>3.10</w:t>
            </w:r>
          </w:p>
        </w:tc>
        <w:tc>
          <w:tcPr>
            <w:tcW w:w="538" w:type="pct"/>
            <w:vAlign w:val="center"/>
          </w:tcPr>
          <w:p>
            <w:pPr>
              <w:pStyle w:val="42"/>
            </w:pPr>
            <w:r>
              <w:t>41.20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19</w:t>
            </w:r>
          </w:p>
        </w:tc>
        <w:tc>
          <w:tcPr>
            <w:tcW w:w="2007" w:type="pct"/>
            <w:vAlign w:val="center"/>
          </w:tcPr>
          <w:p>
            <w:pPr>
              <w:pStyle w:val="42"/>
            </w:pPr>
            <w:r>
              <w:t>阿丽斯科</w:t>
            </w:r>
          </w:p>
        </w:tc>
        <w:tc>
          <w:tcPr>
            <w:tcW w:w="507" w:type="pct"/>
            <w:vAlign w:val="center"/>
          </w:tcPr>
          <w:p>
            <w:pPr>
              <w:pStyle w:val="42"/>
            </w:pPr>
            <w:r>
              <w:t>113.20</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77" w:type="pct"/>
            <w:vAlign w:val="center"/>
          </w:tcPr>
          <w:p>
            <w:pPr>
              <w:pStyle w:val="42"/>
            </w:pPr>
            <w:r>
              <w:t>20</w:t>
            </w:r>
          </w:p>
        </w:tc>
        <w:tc>
          <w:tcPr>
            <w:tcW w:w="2007" w:type="pct"/>
            <w:vAlign w:val="center"/>
          </w:tcPr>
          <w:p>
            <w:pPr>
              <w:pStyle w:val="42"/>
            </w:pPr>
            <w:r>
              <w:t>重庆信有达日化有限责任公司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277" w:type="pct"/>
            <w:vAlign w:val="center"/>
          </w:tcPr>
          <w:p>
            <w:pPr>
              <w:pStyle w:val="42"/>
            </w:pPr>
            <w:r>
              <w:t>21</w:t>
            </w:r>
          </w:p>
        </w:tc>
        <w:tc>
          <w:tcPr>
            <w:tcW w:w="2007" w:type="pct"/>
            <w:vAlign w:val="center"/>
          </w:tcPr>
          <w:p>
            <w:pPr>
              <w:pStyle w:val="42"/>
            </w:pPr>
            <w:r>
              <w:t>重庆海帆生化科技有限公司</w:t>
            </w:r>
          </w:p>
        </w:tc>
        <w:tc>
          <w:tcPr>
            <w:tcW w:w="507" w:type="pct"/>
            <w:vAlign w:val="center"/>
          </w:tcPr>
          <w:p>
            <w:pPr>
              <w:pStyle w:val="42"/>
            </w:pPr>
            <w:r>
              <w:t>0.36</w:t>
            </w:r>
          </w:p>
        </w:tc>
        <w:tc>
          <w:tcPr>
            <w:tcW w:w="626" w:type="pct"/>
            <w:vAlign w:val="center"/>
          </w:tcPr>
          <w:p>
            <w:pPr>
              <w:pStyle w:val="42"/>
            </w:pPr>
            <w:r>
              <w:t>26.118</w:t>
            </w:r>
          </w:p>
        </w:tc>
        <w:tc>
          <w:tcPr>
            <w:tcW w:w="538" w:type="pct"/>
            <w:vAlign w:val="center"/>
          </w:tcPr>
          <w:p>
            <w:pPr>
              <w:pStyle w:val="42"/>
            </w:pPr>
            <w:r>
              <w:t>9.424</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22</w:t>
            </w:r>
          </w:p>
        </w:tc>
        <w:tc>
          <w:tcPr>
            <w:tcW w:w="2007" w:type="pct"/>
            <w:vAlign w:val="center"/>
          </w:tcPr>
          <w:p>
            <w:pPr>
              <w:pStyle w:val="42"/>
            </w:pPr>
            <w:r>
              <w:t>重钢冷轧厂</w:t>
            </w:r>
          </w:p>
        </w:tc>
        <w:tc>
          <w:tcPr>
            <w:tcW w:w="507" w:type="pct"/>
            <w:vAlign w:val="center"/>
          </w:tcPr>
          <w:p>
            <w:pPr>
              <w:pStyle w:val="42"/>
            </w:pPr>
            <w:r>
              <w:t>2470</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23</w:t>
            </w:r>
          </w:p>
        </w:tc>
        <w:tc>
          <w:tcPr>
            <w:tcW w:w="2007" w:type="pct"/>
            <w:vAlign w:val="center"/>
          </w:tcPr>
          <w:p>
            <w:pPr>
              <w:pStyle w:val="42"/>
            </w:pPr>
            <w:r>
              <w:t>重庆永航金属制品公司</w:t>
            </w:r>
          </w:p>
        </w:tc>
        <w:tc>
          <w:tcPr>
            <w:tcW w:w="507" w:type="pct"/>
            <w:vAlign w:val="center"/>
          </w:tcPr>
          <w:p>
            <w:pPr>
              <w:pStyle w:val="42"/>
            </w:pPr>
            <w:r>
              <w:t>62</w:t>
            </w:r>
          </w:p>
        </w:tc>
        <w:tc>
          <w:tcPr>
            <w:tcW w:w="626" w:type="pct"/>
            <w:vAlign w:val="center"/>
          </w:tcPr>
          <w:p>
            <w:pPr>
              <w:pStyle w:val="42"/>
            </w:pPr>
            <w:r>
              <w:t>3842</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77" w:type="pct"/>
            <w:vAlign w:val="center"/>
          </w:tcPr>
          <w:p>
            <w:pPr>
              <w:pStyle w:val="42"/>
            </w:pPr>
            <w:r>
              <w:t>24</w:t>
            </w:r>
          </w:p>
        </w:tc>
        <w:tc>
          <w:tcPr>
            <w:tcW w:w="2007" w:type="pct"/>
            <w:vAlign w:val="center"/>
          </w:tcPr>
          <w:p>
            <w:pPr>
              <w:pStyle w:val="42"/>
            </w:pPr>
            <w:r>
              <w:t>重庆晏诚金属制品有限公司</w:t>
            </w:r>
          </w:p>
        </w:tc>
        <w:tc>
          <w:tcPr>
            <w:tcW w:w="507" w:type="pct"/>
            <w:vAlign w:val="center"/>
          </w:tcPr>
          <w:p>
            <w:pPr>
              <w:pStyle w:val="42"/>
            </w:pPr>
          </w:p>
        </w:tc>
        <w:tc>
          <w:tcPr>
            <w:tcW w:w="626" w:type="pct"/>
            <w:vAlign w:val="center"/>
          </w:tcPr>
          <w:p>
            <w:pPr>
              <w:pStyle w:val="42"/>
            </w:pPr>
            <w:r>
              <w:t>178.356</w:t>
            </w:r>
          </w:p>
        </w:tc>
        <w:tc>
          <w:tcPr>
            <w:tcW w:w="538" w:type="pct"/>
            <w:vAlign w:val="center"/>
          </w:tcPr>
          <w:p>
            <w:pPr>
              <w:pStyle w:val="42"/>
            </w:pPr>
            <w:r>
              <w:t>10.80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25</w:t>
            </w:r>
          </w:p>
        </w:tc>
        <w:tc>
          <w:tcPr>
            <w:tcW w:w="2007" w:type="pct"/>
            <w:vAlign w:val="center"/>
          </w:tcPr>
          <w:p>
            <w:pPr>
              <w:pStyle w:val="42"/>
            </w:pPr>
            <w:r>
              <w:t>重庆欧隆钢绞线公司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77" w:type="pct"/>
            <w:vAlign w:val="center"/>
          </w:tcPr>
          <w:p>
            <w:pPr>
              <w:pStyle w:val="42"/>
            </w:pPr>
            <w:r>
              <w:t>26</w:t>
            </w:r>
          </w:p>
        </w:tc>
        <w:tc>
          <w:tcPr>
            <w:tcW w:w="2007" w:type="pct"/>
            <w:vAlign w:val="center"/>
          </w:tcPr>
          <w:p>
            <w:pPr>
              <w:pStyle w:val="42"/>
            </w:pPr>
            <w:r>
              <w:t>重庆镪镔君骁物资有限公司</w:t>
            </w:r>
          </w:p>
        </w:tc>
        <w:tc>
          <w:tcPr>
            <w:tcW w:w="507" w:type="pct"/>
            <w:vAlign w:val="center"/>
          </w:tcPr>
          <w:p>
            <w:pPr>
              <w:pStyle w:val="42"/>
            </w:pPr>
            <w:r>
              <w:t>52.30</w:t>
            </w:r>
          </w:p>
        </w:tc>
        <w:tc>
          <w:tcPr>
            <w:tcW w:w="626" w:type="pct"/>
            <w:vAlign w:val="center"/>
          </w:tcPr>
          <w:p>
            <w:pPr>
              <w:pStyle w:val="42"/>
            </w:pPr>
            <w:r>
              <w:t>1000</w:t>
            </w:r>
          </w:p>
        </w:tc>
        <w:tc>
          <w:tcPr>
            <w:tcW w:w="538" w:type="pct"/>
            <w:vAlign w:val="center"/>
          </w:tcPr>
          <w:p>
            <w:pPr>
              <w:pStyle w:val="42"/>
            </w:pPr>
            <w:r>
              <w:t>15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27</w:t>
            </w:r>
          </w:p>
        </w:tc>
        <w:tc>
          <w:tcPr>
            <w:tcW w:w="2007" w:type="pct"/>
            <w:vAlign w:val="center"/>
          </w:tcPr>
          <w:p>
            <w:pPr>
              <w:pStyle w:val="42"/>
            </w:pPr>
            <w:r>
              <w:t>重庆鸽牌公司</w:t>
            </w:r>
          </w:p>
        </w:tc>
        <w:tc>
          <w:tcPr>
            <w:tcW w:w="507" w:type="pct"/>
            <w:vAlign w:val="center"/>
          </w:tcPr>
          <w:p>
            <w:pPr>
              <w:pStyle w:val="42"/>
            </w:pPr>
          </w:p>
        </w:tc>
        <w:tc>
          <w:tcPr>
            <w:tcW w:w="626" w:type="pct"/>
            <w:vAlign w:val="center"/>
          </w:tcPr>
          <w:p>
            <w:pPr>
              <w:pStyle w:val="42"/>
            </w:pPr>
            <w:r>
              <w:t>3100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28</w:t>
            </w:r>
          </w:p>
        </w:tc>
        <w:tc>
          <w:tcPr>
            <w:tcW w:w="2007" w:type="pct"/>
            <w:vAlign w:val="center"/>
          </w:tcPr>
          <w:p>
            <w:pPr>
              <w:pStyle w:val="42"/>
            </w:pPr>
            <w:r>
              <w:t>重庆山能仪表有限公司</w:t>
            </w:r>
          </w:p>
        </w:tc>
        <w:tc>
          <w:tcPr>
            <w:tcW w:w="507" w:type="pct"/>
            <w:vAlign w:val="center"/>
          </w:tcPr>
          <w:p>
            <w:pPr>
              <w:pStyle w:val="42"/>
            </w:pPr>
            <w:r>
              <w:t>0.713</w:t>
            </w:r>
          </w:p>
        </w:tc>
        <w:tc>
          <w:tcPr>
            <w:tcW w:w="626" w:type="pct"/>
            <w:vAlign w:val="center"/>
          </w:tcPr>
          <w:p>
            <w:pPr>
              <w:pStyle w:val="42"/>
            </w:pPr>
            <w:r>
              <w:t>138.60</w:t>
            </w:r>
          </w:p>
        </w:tc>
        <w:tc>
          <w:tcPr>
            <w:tcW w:w="538" w:type="pct"/>
            <w:vAlign w:val="center"/>
          </w:tcPr>
          <w:p>
            <w:pPr>
              <w:pStyle w:val="42"/>
            </w:pPr>
            <w:r>
              <w:t>23.40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277" w:type="pct"/>
            <w:vAlign w:val="center"/>
          </w:tcPr>
          <w:p>
            <w:pPr>
              <w:pStyle w:val="42"/>
            </w:pPr>
            <w:r>
              <w:t>29</w:t>
            </w:r>
          </w:p>
        </w:tc>
        <w:tc>
          <w:tcPr>
            <w:tcW w:w="2007" w:type="pct"/>
            <w:vAlign w:val="center"/>
          </w:tcPr>
          <w:p>
            <w:pPr>
              <w:pStyle w:val="42"/>
            </w:pPr>
            <w:r>
              <w:t>重庆鑫锭教学设备有限公司</w:t>
            </w:r>
          </w:p>
        </w:tc>
        <w:tc>
          <w:tcPr>
            <w:tcW w:w="507" w:type="pct"/>
            <w:vAlign w:val="center"/>
          </w:tcPr>
          <w:p>
            <w:pPr>
              <w:pStyle w:val="42"/>
            </w:pPr>
            <w:r>
              <w:t>3.03</w:t>
            </w:r>
          </w:p>
        </w:tc>
        <w:tc>
          <w:tcPr>
            <w:tcW w:w="626" w:type="pct"/>
            <w:vAlign w:val="center"/>
          </w:tcPr>
          <w:p>
            <w:pPr>
              <w:pStyle w:val="42"/>
            </w:pPr>
            <w:r>
              <w:t>31</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77" w:type="pct"/>
            <w:vAlign w:val="center"/>
          </w:tcPr>
          <w:p>
            <w:pPr>
              <w:pStyle w:val="42"/>
            </w:pPr>
            <w:r>
              <w:t>30</w:t>
            </w:r>
          </w:p>
        </w:tc>
        <w:tc>
          <w:tcPr>
            <w:tcW w:w="2007" w:type="pct"/>
            <w:vAlign w:val="center"/>
          </w:tcPr>
          <w:p>
            <w:pPr>
              <w:pStyle w:val="42"/>
            </w:pPr>
            <w:r>
              <w:t>重庆钢铁集团</w:t>
            </w:r>
          </w:p>
        </w:tc>
        <w:tc>
          <w:tcPr>
            <w:tcW w:w="507" w:type="pct"/>
            <w:vAlign w:val="center"/>
          </w:tcPr>
          <w:p>
            <w:pPr>
              <w:pStyle w:val="42"/>
            </w:pPr>
            <w:r>
              <w:t>2470</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77" w:type="pct"/>
            <w:vAlign w:val="center"/>
          </w:tcPr>
          <w:p>
            <w:pPr>
              <w:pStyle w:val="42"/>
            </w:pPr>
            <w:r>
              <w:t>31</w:t>
            </w:r>
          </w:p>
        </w:tc>
        <w:tc>
          <w:tcPr>
            <w:tcW w:w="2007" w:type="pct"/>
            <w:vAlign w:val="center"/>
          </w:tcPr>
          <w:p>
            <w:pPr>
              <w:pStyle w:val="42"/>
            </w:pPr>
            <w:r>
              <w:t>重庆三杭延伸电梯配件有限公司</w:t>
            </w:r>
          </w:p>
        </w:tc>
        <w:tc>
          <w:tcPr>
            <w:tcW w:w="507" w:type="pct"/>
            <w:vAlign w:val="center"/>
          </w:tcPr>
          <w:p>
            <w:pPr>
              <w:pStyle w:val="42"/>
            </w:pPr>
            <w:r>
              <w:t>3</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77" w:type="pct"/>
            <w:vAlign w:val="center"/>
          </w:tcPr>
          <w:p>
            <w:pPr>
              <w:pStyle w:val="42"/>
            </w:pPr>
            <w:r>
              <w:t>32</w:t>
            </w:r>
          </w:p>
        </w:tc>
        <w:tc>
          <w:tcPr>
            <w:tcW w:w="2007" w:type="pct"/>
            <w:vAlign w:val="center"/>
          </w:tcPr>
          <w:p>
            <w:pPr>
              <w:pStyle w:val="42"/>
            </w:pPr>
            <w:r>
              <w:t>重庆煜琨珑冶金材料有限公司</w:t>
            </w:r>
          </w:p>
        </w:tc>
        <w:tc>
          <w:tcPr>
            <w:tcW w:w="507" w:type="pct"/>
            <w:vAlign w:val="center"/>
          </w:tcPr>
          <w:p>
            <w:pPr>
              <w:pStyle w:val="42"/>
            </w:pPr>
          </w:p>
        </w:tc>
        <w:tc>
          <w:tcPr>
            <w:tcW w:w="626" w:type="pct"/>
            <w:vAlign w:val="center"/>
          </w:tcPr>
          <w:p>
            <w:pPr>
              <w:pStyle w:val="42"/>
            </w:pPr>
            <w:r>
              <w:t>1</w:t>
            </w:r>
          </w:p>
        </w:tc>
        <w:tc>
          <w:tcPr>
            <w:tcW w:w="538" w:type="pct"/>
            <w:vAlign w:val="center"/>
          </w:tcPr>
          <w:p>
            <w:pPr>
              <w:pStyle w:val="42"/>
            </w:pPr>
            <w:r>
              <w:t>1.50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277" w:type="pct"/>
            <w:vAlign w:val="center"/>
          </w:tcPr>
          <w:p>
            <w:pPr>
              <w:pStyle w:val="42"/>
            </w:pPr>
            <w:r>
              <w:t>33</w:t>
            </w:r>
          </w:p>
        </w:tc>
        <w:tc>
          <w:tcPr>
            <w:tcW w:w="2007" w:type="pct"/>
            <w:vAlign w:val="center"/>
          </w:tcPr>
          <w:p>
            <w:pPr>
              <w:pStyle w:val="42"/>
            </w:pPr>
            <w:r>
              <w:t>重庆圣迪普隆化工设备制造有限公司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77" w:type="pct"/>
            <w:vAlign w:val="center"/>
          </w:tcPr>
          <w:p>
            <w:pPr>
              <w:pStyle w:val="42"/>
            </w:pPr>
            <w:r>
              <w:t>34</w:t>
            </w:r>
          </w:p>
        </w:tc>
        <w:tc>
          <w:tcPr>
            <w:tcW w:w="2007" w:type="pct"/>
            <w:vAlign w:val="center"/>
          </w:tcPr>
          <w:p>
            <w:pPr>
              <w:pStyle w:val="42"/>
            </w:pPr>
            <w:r>
              <w:t>重庆永宏石油化工设备有限公司</w:t>
            </w:r>
          </w:p>
        </w:tc>
        <w:tc>
          <w:tcPr>
            <w:tcW w:w="507" w:type="pct"/>
            <w:vAlign w:val="center"/>
          </w:tcPr>
          <w:p>
            <w:pPr>
              <w:pStyle w:val="42"/>
            </w:pPr>
          </w:p>
        </w:tc>
        <w:tc>
          <w:tcPr>
            <w:tcW w:w="626" w:type="pct"/>
            <w:vAlign w:val="center"/>
          </w:tcPr>
          <w:p>
            <w:pPr>
              <w:pStyle w:val="42"/>
            </w:pPr>
            <w:r>
              <w:t>80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77" w:type="pct"/>
            <w:vAlign w:val="center"/>
          </w:tcPr>
          <w:p>
            <w:pPr>
              <w:pStyle w:val="42"/>
            </w:pPr>
            <w:r>
              <w:t>35</w:t>
            </w:r>
          </w:p>
        </w:tc>
        <w:tc>
          <w:tcPr>
            <w:tcW w:w="2007" w:type="pct"/>
            <w:vAlign w:val="center"/>
          </w:tcPr>
          <w:p>
            <w:pPr>
              <w:pStyle w:val="42"/>
            </w:pPr>
            <w:r>
              <w:t>重庆环松科技工业公司</w:t>
            </w:r>
          </w:p>
        </w:tc>
        <w:tc>
          <w:tcPr>
            <w:tcW w:w="507" w:type="pct"/>
            <w:vAlign w:val="center"/>
          </w:tcPr>
          <w:p>
            <w:pPr>
              <w:pStyle w:val="42"/>
            </w:pPr>
            <w:r>
              <w:t>17.61</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36</w:t>
            </w:r>
          </w:p>
        </w:tc>
        <w:tc>
          <w:tcPr>
            <w:tcW w:w="2007" w:type="pct"/>
            <w:vAlign w:val="center"/>
          </w:tcPr>
          <w:p>
            <w:pPr>
              <w:pStyle w:val="42"/>
            </w:pPr>
            <w:r>
              <w:t>重庆渝达动力机械厂、重庆六星动力机械有限公司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37</w:t>
            </w:r>
          </w:p>
        </w:tc>
        <w:tc>
          <w:tcPr>
            <w:tcW w:w="2007" w:type="pct"/>
            <w:vAlign w:val="center"/>
          </w:tcPr>
          <w:p>
            <w:pPr>
              <w:pStyle w:val="42"/>
            </w:pPr>
            <w:r>
              <w:t>重庆钢铁（集团）三峰公司</w:t>
            </w:r>
          </w:p>
        </w:tc>
        <w:tc>
          <w:tcPr>
            <w:tcW w:w="507" w:type="pct"/>
            <w:vAlign w:val="center"/>
          </w:tcPr>
          <w:p>
            <w:pPr>
              <w:pStyle w:val="42"/>
            </w:pPr>
            <w:r>
              <w:t>0.10</w:t>
            </w:r>
          </w:p>
        </w:tc>
        <w:tc>
          <w:tcPr>
            <w:tcW w:w="626" w:type="pct"/>
            <w:vAlign w:val="center"/>
          </w:tcPr>
          <w:p>
            <w:pPr>
              <w:pStyle w:val="42"/>
            </w:pPr>
          </w:p>
        </w:tc>
        <w:tc>
          <w:tcPr>
            <w:tcW w:w="538" w:type="pct"/>
            <w:vAlign w:val="center"/>
          </w:tcPr>
          <w:p>
            <w:pPr>
              <w:pStyle w:val="42"/>
            </w:pPr>
            <w:r>
              <w:t>73</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77" w:type="pct"/>
            <w:vAlign w:val="center"/>
          </w:tcPr>
          <w:p>
            <w:pPr>
              <w:pStyle w:val="42"/>
            </w:pPr>
            <w:r>
              <w:t>38</w:t>
            </w:r>
          </w:p>
        </w:tc>
        <w:tc>
          <w:tcPr>
            <w:tcW w:w="2007" w:type="pct"/>
            <w:vAlign w:val="center"/>
          </w:tcPr>
          <w:p>
            <w:pPr>
              <w:pStyle w:val="42"/>
            </w:pPr>
            <w:r>
              <w:t>重庆市九龙橡胶制品制造有限公司</w:t>
            </w:r>
          </w:p>
        </w:tc>
        <w:tc>
          <w:tcPr>
            <w:tcW w:w="507" w:type="pct"/>
            <w:vAlign w:val="center"/>
          </w:tcPr>
          <w:p>
            <w:pPr>
              <w:pStyle w:val="42"/>
            </w:pPr>
            <w:r>
              <w:t>18.36</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 w:type="pct"/>
            <w:vAlign w:val="center"/>
          </w:tcPr>
          <w:p>
            <w:pPr>
              <w:pStyle w:val="42"/>
            </w:pPr>
            <w:r>
              <w:t>39</w:t>
            </w:r>
          </w:p>
        </w:tc>
        <w:tc>
          <w:tcPr>
            <w:tcW w:w="2007" w:type="pct"/>
            <w:vAlign w:val="center"/>
          </w:tcPr>
          <w:p>
            <w:pPr>
              <w:pStyle w:val="42"/>
            </w:pPr>
            <w:r>
              <w:t>正新橡胶（重庆）有限公司</w:t>
            </w:r>
          </w:p>
        </w:tc>
        <w:tc>
          <w:tcPr>
            <w:tcW w:w="507" w:type="pct"/>
            <w:vAlign w:val="center"/>
          </w:tcPr>
          <w:p>
            <w:pPr>
              <w:pStyle w:val="42"/>
            </w:pPr>
            <w:r>
              <w:t>202</w:t>
            </w:r>
          </w:p>
        </w:tc>
        <w:tc>
          <w:tcPr>
            <w:tcW w:w="626" w:type="pct"/>
            <w:vAlign w:val="center"/>
          </w:tcPr>
          <w:p>
            <w:pPr>
              <w:pStyle w:val="42"/>
            </w:pPr>
            <w:r>
              <w:t>1441.83</w:t>
            </w:r>
          </w:p>
        </w:tc>
        <w:tc>
          <w:tcPr>
            <w:tcW w:w="538" w:type="pct"/>
            <w:vAlign w:val="center"/>
          </w:tcPr>
          <w:p>
            <w:pPr>
              <w:pStyle w:val="42"/>
            </w:pPr>
            <w:r>
              <w:t>172.62</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77" w:type="pct"/>
            <w:vAlign w:val="center"/>
          </w:tcPr>
          <w:p>
            <w:pPr>
              <w:pStyle w:val="42"/>
            </w:pPr>
            <w:r>
              <w:t>40</w:t>
            </w:r>
          </w:p>
        </w:tc>
        <w:tc>
          <w:tcPr>
            <w:tcW w:w="2007" w:type="pct"/>
            <w:vAlign w:val="center"/>
          </w:tcPr>
          <w:p>
            <w:pPr>
              <w:pStyle w:val="42"/>
            </w:pPr>
            <w:r>
              <w:t>重庆万斯金属特种成形有限公司</w:t>
            </w:r>
          </w:p>
        </w:tc>
        <w:tc>
          <w:tcPr>
            <w:tcW w:w="507" w:type="pct"/>
            <w:vAlign w:val="center"/>
          </w:tcPr>
          <w:p>
            <w:pPr>
              <w:pStyle w:val="42"/>
            </w:pPr>
          </w:p>
        </w:tc>
        <w:tc>
          <w:tcPr>
            <w:tcW w:w="626" w:type="pct"/>
            <w:vAlign w:val="center"/>
          </w:tcPr>
          <w:p>
            <w:pPr>
              <w:pStyle w:val="42"/>
            </w:pPr>
            <w:r>
              <w:t>60</w:t>
            </w:r>
          </w:p>
        </w:tc>
        <w:tc>
          <w:tcPr>
            <w:tcW w:w="538" w:type="pct"/>
            <w:vAlign w:val="center"/>
          </w:tcPr>
          <w:p>
            <w:pPr>
              <w:pStyle w:val="42"/>
            </w:pPr>
            <w:r>
              <w:t>91</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41</w:t>
            </w:r>
          </w:p>
        </w:tc>
        <w:tc>
          <w:tcPr>
            <w:tcW w:w="2007" w:type="pct"/>
            <w:vAlign w:val="center"/>
          </w:tcPr>
          <w:p>
            <w:pPr>
              <w:pStyle w:val="42"/>
            </w:pPr>
            <w:r>
              <w:t>重庆基源环保科技有限公司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r>
              <w:t>27</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42</w:t>
            </w:r>
          </w:p>
        </w:tc>
        <w:tc>
          <w:tcPr>
            <w:tcW w:w="2007" w:type="pct"/>
            <w:vAlign w:val="center"/>
          </w:tcPr>
          <w:p>
            <w:pPr>
              <w:pStyle w:val="42"/>
            </w:pPr>
            <w:r>
              <w:t>重庆望江变压器有限公司</w:t>
            </w:r>
          </w:p>
        </w:tc>
        <w:tc>
          <w:tcPr>
            <w:tcW w:w="507" w:type="pct"/>
            <w:vAlign w:val="center"/>
          </w:tcPr>
          <w:p>
            <w:pPr>
              <w:pStyle w:val="42"/>
            </w:pPr>
            <w:r>
              <w:t>0.86</w:t>
            </w:r>
          </w:p>
        </w:tc>
        <w:tc>
          <w:tcPr>
            <w:tcW w:w="626" w:type="pct"/>
            <w:vAlign w:val="center"/>
          </w:tcPr>
          <w:p>
            <w:pPr>
              <w:pStyle w:val="42"/>
            </w:pPr>
            <w:r>
              <w:t>158</w:t>
            </w:r>
          </w:p>
        </w:tc>
        <w:tc>
          <w:tcPr>
            <w:tcW w:w="538" w:type="pct"/>
            <w:vAlign w:val="center"/>
          </w:tcPr>
          <w:p>
            <w:pPr>
              <w:pStyle w:val="42"/>
            </w:pPr>
            <w:r>
              <w:t>50.20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43</w:t>
            </w:r>
          </w:p>
        </w:tc>
        <w:tc>
          <w:tcPr>
            <w:tcW w:w="2007" w:type="pct"/>
            <w:vAlign w:val="center"/>
          </w:tcPr>
          <w:p>
            <w:pPr>
              <w:pStyle w:val="42"/>
            </w:pPr>
            <w:r>
              <w:t>永益</w:t>
            </w:r>
          </w:p>
        </w:tc>
        <w:tc>
          <w:tcPr>
            <w:tcW w:w="507" w:type="pct"/>
            <w:vAlign w:val="center"/>
          </w:tcPr>
          <w:p>
            <w:pPr>
              <w:pStyle w:val="42"/>
            </w:pPr>
          </w:p>
        </w:tc>
        <w:tc>
          <w:tcPr>
            <w:tcW w:w="626" w:type="pct"/>
            <w:vAlign w:val="center"/>
          </w:tcPr>
          <w:p>
            <w:pPr>
              <w:pStyle w:val="42"/>
            </w:pPr>
            <w:r>
              <w:t>140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77" w:type="pct"/>
            <w:vAlign w:val="center"/>
          </w:tcPr>
          <w:p>
            <w:pPr>
              <w:pStyle w:val="42"/>
            </w:pPr>
            <w:r>
              <w:t>44</w:t>
            </w:r>
          </w:p>
        </w:tc>
        <w:tc>
          <w:tcPr>
            <w:tcW w:w="2007" w:type="pct"/>
            <w:vAlign w:val="center"/>
          </w:tcPr>
          <w:p>
            <w:pPr>
              <w:pStyle w:val="42"/>
            </w:pPr>
            <w:r>
              <w:t>重庆蓝渝汽车配件有限公司</w:t>
            </w:r>
          </w:p>
        </w:tc>
        <w:tc>
          <w:tcPr>
            <w:tcW w:w="507" w:type="pct"/>
            <w:vAlign w:val="center"/>
          </w:tcPr>
          <w:p>
            <w:pPr>
              <w:pStyle w:val="42"/>
            </w:pPr>
            <w:r>
              <w:t>0.50</w:t>
            </w:r>
          </w:p>
        </w:tc>
        <w:tc>
          <w:tcPr>
            <w:tcW w:w="626" w:type="pct"/>
            <w:vAlign w:val="center"/>
          </w:tcPr>
          <w:p>
            <w:pPr>
              <w:pStyle w:val="42"/>
            </w:pPr>
            <w:r>
              <w:t>30.10</w:t>
            </w:r>
          </w:p>
        </w:tc>
        <w:tc>
          <w:tcPr>
            <w:tcW w:w="538" w:type="pct"/>
            <w:vAlign w:val="center"/>
          </w:tcPr>
          <w:p>
            <w:pPr>
              <w:pStyle w:val="42"/>
            </w:pPr>
            <w:r>
              <w:t>48</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77" w:type="pct"/>
            <w:vAlign w:val="center"/>
          </w:tcPr>
          <w:p>
            <w:pPr>
              <w:pStyle w:val="42"/>
            </w:pPr>
            <w:r>
              <w:t>45</w:t>
            </w:r>
          </w:p>
        </w:tc>
        <w:tc>
          <w:tcPr>
            <w:tcW w:w="2007" w:type="pct"/>
            <w:vAlign w:val="center"/>
          </w:tcPr>
          <w:p>
            <w:pPr>
              <w:pStyle w:val="42"/>
            </w:pPr>
            <w:r>
              <w:t>惠申</w:t>
            </w:r>
          </w:p>
        </w:tc>
        <w:tc>
          <w:tcPr>
            <w:tcW w:w="507" w:type="pct"/>
            <w:vMerge w:val="restart"/>
            <w:vAlign w:val="center"/>
          </w:tcPr>
          <w:p>
            <w:pPr>
              <w:pStyle w:val="42"/>
            </w:pPr>
          </w:p>
        </w:tc>
        <w:tc>
          <w:tcPr>
            <w:tcW w:w="626" w:type="pct"/>
            <w:vMerge w:val="restart"/>
            <w:vAlign w:val="center"/>
          </w:tcPr>
          <w:p>
            <w:pPr>
              <w:pStyle w:val="42"/>
            </w:pPr>
            <w:r>
              <w:t>20</w:t>
            </w:r>
          </w:p>
        </w:tc>
        <w:tc>
          <w:tcPr>
            <w:tcW w:w="538" w:type="pct"/>
            <w:vMerge w:val="restart"/>
            <w:vAlign w:val="center"/>
          </w:tcPr>
          <w:p>
            <w:pPr>
              <w:pStyle w:val="42"/>
            </w:pPr>
            <w:r>
              <w:t>45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46</w:t>
            </w:r>
          </w:p>
        </w:tc>
        <w:tc>
          <w:tcPr>
            <w:tcW w:w="2007" w:type="pct"/>
            <w:vAlign w:val="center"/>
          </w:tcPr>
          <w:p>
            <w:pPr>
              <w:pStyle w:val="42"/>
            </w:pPr>
            <w:r>
              <w:t>深圳日发机电制造有限公司重庆分公司</w:t>
            </w:r>
          </w:p>
        </w:tc>
        <w:tc>
          <w:tcPr>
            <w:tcW w:w="507" w:type="pct"/>
            <w:vMerge w:val="continue"/>
            <w:vAlign w:val="center"/>
          </w:tcPr>
          <w:p>
            <w:pPr>
              <w:pStyle w:val="42"/>
            </w:pPr>
          </w:p>
        </w:tc>
        <w:tc>
          <w:tcPr>
            <w:tcW w:w="626" w:type="pct"/>
            <w:vMerge w:val="continue"/>
            <w:vAlign w:val="center"/>
          </w:tcPr>
          <w:p>
            <w:pPr>
              <w:pStyle w:val="42"/>
            </w:pPr>
          </w:p>
        </w:tc>
        <w:tc>
          <w:tcPr>
            <w:tcW w:w="538" w:type="pct"/>
            <w:vMerge w:val="continue"/>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 w:type="pct"/>
            <w:vAlign w:val="center"/>
          </w:tcPr>
          <w:p>
            <w:pPr>
              <w:pStyle w:val="42"/>
            </w:pPr>
            <w:r>
              <w:t>47</w:t>
            </w:r>
          </w:p>
        </w:tc>
        <w:tc>
          <w:tcPr>
            <w:tcW w:w="2007" w:type="pct"/>
            <w:vAlign w:val="center"/>
          </w:tcPr>
          <w:p>
            <w:pPr>
              <w:pStyle w:val="42"/>
            </w:pPr>
            <w:r>
              <w:t>重庆萱海塑胶制品有限公司</w:t>
            </w:r>
          </w:p>
        </w:tc>
        <w:tc>
          <w:tcPr>
            <w:tcW w:w="507" w:type="pct"/>
            <w:vAlign w:val="center"/>
          </w:tcPr>
          <w:p>
            <w:pPr>
              <w:pStyle w:val="42"/>
            </w:pPr>
            <w:r>
              <w:t>1.25</w:t>
            </w:r>
          </w:p>
        </w:tc>
        <w:tc>
          <w:tcPr>
            <w:tcW w:w="626" w:type="pct"/>
            <w:vAlign w:val="center"/>
          </w:tcPr>
          <w:p>
            <w:pPr>
              <w:pStyle w:val="42"/>
            </w:pPr>
            <w:r>
              <w:t>0.05</w:t>
            </w:r>
          </w:p>
        </w:tc>
        <w:tc>
          <w:tcPr>
            <w:tcW w:w="538" w:type="pct"/>
            <w:vAlign w:val="center"/>
          </w:tcPr>
          <w:p>
            <w:pPr>
              <w:pStyle w:val="42"/>
            </w:pPr>
            <w:r>
              <w:t>7.50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77" w:type="pct"/>
            <w:vAlign w:val="center"/>
          </w:tcPr>
          <w:p>
            <w:pPr>
              <w:pStyle w:val="42"/>
            </w:pPr>
            <w:r>
              <w:t>48</w:t>
            </w:r>
          </w:p>
        </w:tc>
        <w:tc>
          <w:tcPr>
            <w:tcW w:w="2007" w:type="pct"/>
            <w:vAlign w:val="center"/>
          </w:tcPr>
          <w:p>
            <w:pPr>
              <w:pStyle w:val="42"/>
            </w:pPr>
            <w:r>
              <w:t>重庆瀚海机械制造有限公司</w:t>
            </w:r>
          </w:p>
        </w:tc>
        <w:tc>
          <w:tcPr>
            <w:tcW w:w="507" w:type="pct"/>
            <w:vAlign w:val="center"/>
          </w:tcPr>
          <w:p>
            <w:pPr>
              <w:pStyle w:val="42"/>
            </w:pPr>
            <w:r>
              <w:t>6.50</w:t>
            </w:r>
          </w:p>
        </w:tc>
        <w:tc>
          <w:tcPr>
            <w:tcW w:w="626" w:type="pct"/>
            <w:vAlign w:val="center"/>
          </w:tcPr>
          <w:p>
            <w:pPr>
              <w:pStyle w:val="42"/>
            </w:pPr>
          </w:p>
        </w:tc>
        <w:tc>
          <w:tcPr>
            <w:tcW w:w="538" w:type="pct"/>
            <w:vAlign w:val="center"/>
          </w:tcPr>
          <w:p>
            <w:pPr>
              <w:pStyle w:val="42"/>
            </w:pPr>
            <w:r>
              <w:t>7.50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49</w:t>
            </w:r>
          </w:p>
        </w:tc>
        <w:tc>
          <w:tcPr>
            <w:tcW w:w="2007" w:type="pct"/>
            <w:vAlign w:val="center"/>
          </w:tcPr>
          <w:p>
            <w:pPr>
              <w:pStyle w:val="42"/>
            </w:pPr>
            <w:r>
              <w:t>重庆启蓝塑料有限公司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r>
              <w:t>6.50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50</w:t>
            </w:r>
          </w:p>
        </w:tc>
        <w:tc>
          <w:tcPr>
            <w:tcW w:w="2007" w:type="pct"/>
            <w:vAlign w:val="center"/>
          </w:tcPr>
          <w:p>
            <w:pPr>
              <w:pStyle w:val="42"/>
            </w:pPr>
            <w:r>
              <w:t>重庆华申皮革制品有限公司</w:t>
            </w:r>
          </w:p>
        </w:tc>
        <w:tc>
          <w:tcPr>
            <w:tcW w:w="507" w:type="pct"/>
            <w:vAlign w:val="center"/>
          </w:tcPr>
          <w:p>
            <w:pPr>
              <w:pStyle w:val="42"/>
            </w:pPr>
            <w:r>
              <w:t>0.15</w:t>
            </w:r>
          </w:p>
        </w:tc>
        <w:tc>
          <w:tcPr>
            <w:tcW w:w="626" w:type="pct"/>
            <w:vAlign w:val="center"/>
          </w:tcPr>
          <w:p>
            <w:pPr>
              <w:pStyle w:val="42"/>
            </w:pPr>
            <w:r>
              <w:t>22</w:t>
            </w:r>
          </w:p>
        </w:tc>
        <w:tc>
          <w:tcPr>
            <w:tcW w:w="538" w:type="pct"/>
            <w:vAlign w:val="center"/>
          </w:tcPr>
          <w:p>
            <w:pPr>
              <w:pStyle w:val="42"/>
            </w:pPr>
            <w:r>
              <w:t>27</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277" w:type="pct"/>
            <w:vAlign w:val="center"/>
          </w:tcPr>
          <w:p>
            <w:pPr>
              <w:pStyle w:val="42"/>
            </w:pPr>
            <w:r>
              <w:t>51</w:t>
            </w:r>
          </w:p>
        </w:tc>
        <w:tc>
          <w:tcPr>
            <w:tcW w:w="2007" w:type="pct"/>
            <w:vAlign w:val="center"/>
          </w:tcPr>
          <w:p>
            <w:pPr>
              <w:pStyle w:val="42"/>
            </w:pPr>
            <w:r>
              <w:t>重庆国际复合材料有限公司</w:t>
            </w:r>
          </w:p>
        </w:tc>
        <w:tc>
          <w:tcPr>
            <w:tcW w:w="507" w:type="pct"/>
            <w:vAlign w:val="center"/>
          </w:tcPr>
          <w:p>
            <w:pPr>
              <w:pStyle w:val="42"/>
            </w:pPr>
          </w:p>
        </w:tc>
        <w:tc>
          <w:tcPr>
            <w:tcW w:w="626" w:type="pct"/>
            <w:vAlign w:val="center"/>
          </w:tcPr>
          <w:p>
            <w:pPr>
              <w:pStyle w:val="42"/>
            </w:pPr>
            <w:r>
              <w:t>4296</w:t>
            </w:r>
          </w:p>
        </w:tc>
        <w:tc>
          <w:tcPr>
            <w:tcW w:w="538" w:type="pct"/>
            <w:vAlign w:val="center"/>
          </w:tcPr>
          <w:p>
            <w:pPr>
              <w:pStyle w:val="42"/>
            </w:pPr>
            <w:r>
              <w:t>694.97</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77" w:type="pct"/>
            <w:vAlign w:val="center"/>
          </w:tcPr>
          <w:p>
            <w:pPr>
              <w:pStyle w:val="42"/>
            </w:pPr>
            <w:r>
              <w:t>52</w:t>
            </w:r>
          </w:p>
        </w:tc>
        <w:tc>
          <w:tcPr>
            <w:tcW w:w="2007" w:type="pct"/>
            <w:vAlign w:val="center"/>
          </w:tcPr>
          <w:p>
            <w:pPr>
              <w:pStyle w:val="42"/>
            </w:pPr>
            <w:r>
              <w:t>重庆百年水晶玻璃公司</w:t>
            </w:r>
          </w:p>
        </w:tc>
        <w:tc>
          <w:tcPr>
            <w:tcW w:w="507" w:type="pct"/>
            <w:vAlign w:val="center"/>
          </w:tcPr>
          <w:p>
            <w:pPr>
              <w:pStyle w:val="42"/>
            </w:pPr>
          </w:p>
        </w:tc>
        <w:tc>
          <w:tcPr>
            <w:tcW w:w="626" w:type="pct"/>
            <w:vAlign w:val="center"/>
          </w:tcPr>
          <w:p>
            <w:pPr>
              <w:pStyle w:val="42"/>
            </w:pPr>
            <w:r>
              <w:t>1</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53</w:t>
            </w:r>
          </w:p>
        </w:tc>
        <w:tc>
          <w:tcPr>
            <w:tcW w:w="2007" w:type="pct"/>
            <w:vAlign w:val="center"/>
          </w:tcPr>
          <w:p>
            <w:pPr>
              <w:pStyle w:val="42"/>
            </w:pPr>
            <w:r>
              <w:t>重庆升亿玻璃纤维有限公司</w:t>
            </w:r>
          </w:p>
        </w:tc>
        <w:tc>
          <w:tcPr>
            <w:tcW w:w="507" w:type="pct"/>
            <w:vAlign w:val="center"/>
          </w:tcPr>
          <w:p>
            <w:pPr>
              <w:pStyle w:val="42"/>
            </w:pPr>
            <w:r>
              <w:t>0.05</w:t>
            </w:r>
          </w:p>
        </w:tc>
        <w:tc>
          <w:tcPr>
            <w:tcW w:w="626" w:type="pct"/>
            <w:vAlign w:val="center"/>
          </w:tcPr>
          <w:p>
            <w:pPr>
              <w:pStyle w:val="42"/>
            </w:pPr>
          </w:p>
        </w:tc>
        <w:tc>
          <w:tcPr>
            <w:tcW w:w="538" w:type="pct"/>
            <w:vAlign w:val="center"/>
          </w:tcPr>
          <w:p>
            <w:pPr>
              <w:pStyle w:val="42"/>
            </w:pPr>
            <w:r>
              <w:t>3.75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77" w:type="pct"/>
            <w:vAlign w:val="center"/>
          </w:tcPr>
          <w:p>
            <w:pPr>
              <w:pStyle w:val="42"/>
            </w:pPr>
            <w:r>
              <w:t>54</w:t>
            </w:r>
          </w:p>
        </w:tc>
        <w:tc>
          <w:tcPr>
            <w:tcW w:w="2007" w:type="pct"/>
            <w:vAlign w:val="center"/>
          </w:tcPr>
          <w:p>
            <w:pPr>
              <w:pStyle w:val="42"/>
            </w:pPr>
            <w:r>
              <w:t>重庆安朗玻璃有限公司</w:t>
            </w:r>
          </w:p>
        </w:tc>
        <w:tc>
          <w:tcPr>
            <w:tcW w:w="507" w:type="pct"/>
            <w:vAlign w:val="center"/>
          </w:tcPr>
          <w:p>
            <w:pPr>
              <w:pStyle w:val="42"/>
            </w:pPr>
            <w:r>
              <w:t>75个</w:t>
            </w:r>
          </w:p>
        </w:tc>
        <w:tc>
          <w:tcPr>
            <w:tcW w:w="626" w:type="pct"/>
            <w:vAlign w:val="center"/>
          </w:tcPr>
          <w:p>
            <w:pPr>
              <w:pStyle w:val="42"/>
            </w:pPr>
            <w:r>
              <w:t>83.838</w:t>
            </w:r>
          </w:p>
        </w:tc>
        <w:tc>
          <w:tcPr>
            <w:tcW w:w="538" w:type="pct"/>
            <w:vAlign w:val="center"/>
          </w:tcPr>
          <w:p>
            <w:pPr>
              <w:pStyle w:val="42"/>
            </w:pPr>
            <w:r>
              <w:t>2.10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277" w:type="pct"/>
            <w:vAlign w:val="center"/>
          </w:tcPr>
          <w:p>
            <w:pPr>
              <w:pStyle w:val="42"/>
            </w:pPr>
            <w:r>
              <w:t>55</w:t>
            </w:r>
          </w:p>
        </w:tc>
        <w:tc>
          <w:tcPr>
            <w:tcW w:w="2007" w:type="pct"/>
            <w:vAlign w:val="center"/>
          </w:tcPr>
          <w:p>
            <w:pPr>
              <w:pStyle w:val="42"/>
            </w:pPr>
            <w:r>
              <w:t>重庆友众聚成玻璃钢有限公司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56</w:t>
            </w:r>
          </w:p>
        </w:tc>
        <w:tc>
          <w:tcPr>
            <w:tcW w:w="2007" w:type="pct"/>
            <w:vAlign w:val="center"/>
          </w:tcPr>
          <w:p>
            <w:pPr>
              <w:pStyle w:val="42"/>
            </w:pPr>
            <w:r>
              <w:t>盛弗迪钢化玻璃有限公司</w:t>
            </w:r>
          </w:p>
        </w:tc>
        <w:tc>
          <w:tcPr>
            <w:tcW w:w="507" w:type="pct"/>
            <w:vAlign w:val="center"/>
          </w:tcPr>
          <w:p>
            <w:pPr>
              <w:pStyle w:val="42"/>
            </w:pPr>
            <w:r>
              <w:t>5.20</w:t>
            </w:r>
          </w:p>
        </w:tc>
        <w:tc>
          <w:tcPr>
            <w:tcW w:w="626" w:type="pct"/>
            <w:vAlign w:val="center"/>
          </w:tcPr>
          <w:p>
            <w:pPr>
              <w:pStyle w:val="42"/>
            </w:pPr>
            <w:r>
              <w:t>15.20</w:t>
            </w:r>
          </w:p>
        </w:tc>
        <w:tc>
          <w:tcPr>
            <w:tcW w:w="538" w:type="pct"/>
            <w:vAlign w:val="center"/>
          </w:tcPr>
          <w:p>
            <w:pPr>
              <w:pStyle w:val="42"/>
            </w:pPr>
            <w:r>
              <w:t>7.90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77" w:type="pct"/>
            <w:vAlign w:val="center"/>
          </w:tcPr>
          <w:p>
            <w:pPr>
              <w:pStyle w:val="42"/>
            </w:pPr>
            <w:r>
              <w:t>57</w:t>
            </w:r>
          </w:p>
        </w:tc>
        <w:tc>
          <w:tcPr>
            <w:tcW w:w="2007" w:type="pct"/>
            <w:vAlign w:val="center"/>
          </w:tcPr>
          <w:p>
            <w:pPr>
              <w:pStyle w:val="42"/>
            </w:pPr>
            <w:r>
              <w:t>重庆市泓淋科技有限公司</w:t>
            </w:r>
          </w:p>
        </w:tc>
        <w:tc>
          <w:tcPr>
            <w:tcW w:w="507" w:type="pct"/>
            <w:vAlign w:val="center"/>
          </w:tcPr>
          <w:p>
            <w:pPr>
              <w:pStyle w:val="42"/>
            </w:pPr>
            <w:r>
              <w:t>0.50</w:t>
            </w:r>
          </w:p>
        </w:tc>
        <w:tc>
          <w:tcPr>
            <w:tcW w:w="626" w:type="pct"/>
            <w:vAlign w:val="center"/>
          </w:tcPr>
          <w:p>
            <w:pPr>
              <w:pStyle w:val="42"/>
            </w:pPr>
          </w:p>
        </w:tc>
        <w:tc>
          <w:tcPr>
            <w:tcW w:w="538" w:type="pct"/>
            <w:vAlign w:val="center"/>
          </w:tcPr>
          <w:p>
            <w:pPr>
              <w:pStyle w:val="42"/>
            </w:pPr>
            <w:r>
              <w:t>360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77" w:type="pct"/>
            <w:vAlign w:val="center"/>
          </w:tcPr>
          <w:p>
            <w:pPr>
              <w:pStyle w:val="42"/>
            </w:pPr>
            <w:r>
              <w:t>58</w:t>
            </w:r>
          </w:p>
        </w:tc>
        <w:tc>
          <w:tcPr>
            <w:tcW w:w="2007" w:type="pct"/>
            <w:vAlign w:val="center"/>
          </w:tcPr>
          <w:p>
            <w:pPr>
              <w:pStyle w:val="42"/>
            </w:pPr>
            <w:r>
              <w:t>重庆鸽牌电瓷有限公司</w:t>
            </w:r>
          </w:p>
        </w:tc>
        <w:tc>
          <w:tcPr>
            <w:tcW w:w="507" w:type="pct"/>
            <w:vAlign w:val="center"/>
          </w:tcPr>
          <w:p>
            <w:pPr>
              <w:pStyle w:val="42"/>
            </w:pPr>
          </w:p>
        </w:tc>
        <w:tc>
          <w:tcPr>
            <w:tcW w:w="626" w:type="pct"/>
            <w:vAlign w:val="center"/>
          </w:tcPr>
          <w:p>
            <w:pPr>
              <w:pStyle w:val="42"/>
            </w:pPr>
            <w:r>
              <w:t>968</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59</w:t>
            </w:r>
          </w:p>
        </w:tc>
        <w:tc>
          <w:tcPr>
            <w:tcW w:w="2007" w:type="pct"/>
            <w:vAlign w:val="center"/>
          </w:tcPr>
          <w:p>
            <w:pPr>
              <w:pStyle w:val="42"/>
            </w:pPr>
            <w:r>
              <w:t>重庆纽米新材料科技责任有限公司</w:t>
            </w:r>
          </w:p>
        </w:tc>
        <w:tc>
          <w:tcPr>
            <w:tcW w:w="507" w:type="pct"/>
            <w:vAlign w:val="center"/>
          </w:tcPr>
          <w:p>
            <w:pPr>
              <w:pStyle w:val="42"/>
            </w:pPr>
            <w:r>
              <w:t>790.61</w:t>
            </w:r>
          </w:p>
        </w:tc>
        <w:tc>
          <w:tcPr>
            <w:tcW w:w="626" w:type="pct"/>
            <w:vAlign w:val="center"/>
          </w:tcPr>
          <w:p>
            <w:pPr>
              <w:pStyle w:val="42"/>
            </w:pPr>
            <w:r>
              <w:t>5.50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60</w:t>
            </w:r>
          </w:p>
        </w:tc>
        <w:tc>
          <w:tcPr>
            <w:tcW w:w="2007" w:type="pct"/>
            <w:vAlign w:val="center"/>
          </w:tcPr>
          <w:p>
            <w:pPr>
              <w:pStyle w:val="42"/>
            </w:pPr>
            <w:r>
              <w:t>重庆沈通变压器有限公司</w:t>
            </w:r>
          </w:p>
        </w:tc>
        <w:tc>
          <w:tcPr>
            <w:tcW w:w="507" w:type="pct"/>
            <w:vAlign w:val="center"/>
          </w:tcPr>
          <w:p>
            <w:pPr>
              <w:pStyle w:val="42"/>
            </w:pPr>
            <w:r>
              <w:t>2.59</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77" w:type="pct"/>
            <w:vAlign w:val="center"/>
          </w:tcPr>
          <w:p>
            <w:pPr>
              <w:pStyle w:val="42"/>
            </w:pPr>
            <w:r>
              <w:t>61</w:t>
            </w:r>
          </w:p>
        </w:tc>
        <w:tc>
          <w:tcPr>
            <w:tcW w:w="2007" w:type="pct"/>
            <w:vAlign w:val="center"/>
          </w:tcPr>
          <w:p>
            <w:pPr>
              <w:pStyle w:val="42"/>
            </w:pPr>
            <w:r>
              <w:t>重庆天信线缆有限公司</w:t>
            </w:r>
          </w:p>
        </w:tc>
        <w:tc>
          <w:tcPr>
            <w:tcW w:w="507" w:type="pct"/>
            <w:vAlign w:val="center"/>
          </w:tcPr>
          <w:p>
            <w:pPr>
              <w:pStyle w:val="42"/>
            </w:pPr>
          </w:p>
        </w:tc>
        <w:tc>
          <w:tcPr>
            <w:tcW w:w="626" w:type="pct"/>
            <w:vAlign w:val="center"/>
          </w:tcPr>
          <w:p>
            <w:pPr>
              <w:pStyle w:val="42"/>
            </w:pPr>
          </w:p>
        </w:tc>
        <w:tc>
          <w:tcPr>
            <w:tcW w:w="538" w:type="pct"/>
            <w:vAlign w:val="center"/>
          </w:tcPr>
          <w:p>
            <w:pPr>
              <w:pStyle w:val="42"/>
            </w:pPr>
            <w:r>
              <w:t>33.60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77" w:type="pct"/>
            <w:vAlign w:val="center"/>
          </w:tcPr>
          <w:p>
            <w:pPr>
              <w:pStyle w:val="42"/>
            </w:pPr>
            <w:r>
              <w:t>62</w:t>
            </w:r>
          </w:p>
        </w:tc>
        <w:tc>
          <w:tcPr>
            <w:tcW w:w="2007" w:type="pct"/>
            <w:vAlign w:val="center"/>
          </w:tcPr>
          <w:p>
            <w:pPr>
              <w:pStyle w:val="42"/>
            </w:pPr>
            <w:r>
              <w:t>重庆昌德成电子公司</w:t>
            </w:r>
          </w:p>
        </w:tc>
        <w:tc>
          <w:tcPr>
            <w:tcW w:w="507" w:type="pct"/>
            <w:vAlign w:val="center"/>
          </w:tcPr>
          <w:p>
            <w:pPr>
              <w:pStyle w:val="42"/>
            </w:pPr>
          </w:p>
        </w:tc>
        <w:tc>
          <w:tcPr>
            <w:tcW w:w="626" w:type="pct"/>
            <w:vAlign w:val="center"/>
          </w:tcPr>
          <w:p>
            <w:pPr>
              <w:pStyle w:val="42"/>
            </w:pPr>
            <w:r>
              <w:t>19</w:t>
            </w:r>
          </w:p>
        </w:tc>
        <w:tc>
          <w:tcPr>
            <w:tcW w:w="538" w:type="pct"/>
            <w:vAlign w:val="center"/>
          </w:tcPr>
          <w:p>
            <w:pPr>
              <w:pStyle w:val="42"/>
            </w:pPr>
            <w:r>
              <w:t>3.60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63</w:t>
            </w:r>
          </w:p>
        </w:tc>
        <w:tc>
          <w:tcPr>
            <w:tcW w:w="2007" w:type="pct"/>
            <w:vAlign w:val="center"/>
          </w:tcPr>
          <w:p>
            <w:pPr>
              <w:pStyle w:val="42"/>
            </w:pPr>
            <w:r>
              <w:t>晏家湘湖电器有限公司</w:t>
            </w:r>
          </w:p>
        </w:tc>
        <w:tc>
          <w:tcPr>
            <w:tcW w:w="507" w:type="pct"/>
            <w:vAlign w:val="center"/>
          </w:tcPr>
          <w:p>
            <w:pPr>
              <w:pStyle w:val="42"/>
            </w:pPr>
            <w:r>
              <w:t>1.336</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277" w:type="pct"/>
            <w:vAlign w:val="center"/>
          </w:tcPr>
          <w:p>
            <w:pPr>
              <w:pStyle w:val="42"/>
            </w:pPr>
            <w:r>
              <w:t>64</w:t>
            </w:r>
          </w:p>
        </w:tc>
        <w:tc>
          <w:tcPr>
            <w:tcW w:w="2007" w:type="pct"/>
            <w:vAlign w:val="center"/>
          </w:tcPr>
          <w:p>
            <w:pPr>
              <w:pStyle w:val="42"/>
            </w:pPr>
            <w:r>
              <w:t>重庆昊翔纸制品有限公司</w:t>
            </w:r>
          </w:p>
        </w:tc>
        <w:tc>
          <w:tcPr>
            <w:tcW w:w="507" w:type="pct"/>
            <w:vAlign w:val="center"/>
          </w:tcPr>
          <w:p>
            <w:pPr>
              <w:pStyle w:val="42"/>
            </w:pPr>
          </w:p>
        </w:tc>
        <w:tc>
          <w:tcPr>
            <w:tcW w:w="626" w:type="pct"/>
            <w:vAlign w:val="center"/>
          </w:tcPr>
          <w:p>
            <w:pPr>
              <w:pStyle w:val="42"/>
            </w:pPr>
            <w:r>
              <w:t>100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77" w:type="pct"/>
            <w:vAlign w:val="center"/>
          </w:tcPr>
          <w:p>
            <w:pPr>
              <w:pStyle w:val="42"/>
            </w:pPr>
            <w:r>
              <w:t>65</w:t>
            </w:r>
          </w:p>
        </w:tc>
        <w:tc>
          <w:tcPr>
            <w:tcW w:w="2007" w:type="pct"/>
            <w:vAlign w:val="center"/>
          </w:tcPr>
          <w:p>
            <w:pPr>
              <w:pStyle w:val="42"/>
            </w:pPr>
            <w:r>
              <w:t>重庆景兴包装有限公司</w:t>
            </w:r>
          </w:p>
        </w:tc>
        <w:tc>
          <w:tcPr>
            <w:tcW w:w="507" w:type="pct"/>
            <w:vAlign w:val="center"/>
          </w:tcPr>
          <w:p>
            <w:pPr>
              <w:pStyle w:val="42"/>
            </w:pPr>
            <w:r>
              <w:t>0.546</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77" w:type="pct"/>
            <w:vAlign w:val="center"/>
          </w:tcPr>
          <w:p>
            <w:pPr>
              <w:pStyle w:val="42"/>
            </w:pPr>
            <w:r>
              <w:t>66</w:t>
            </w:r>
          </w:p>
        </w:tc>
        <w:tc>
          <w:tcPr>
            <w:tcW w:w="2007" w:type="pct"/>
            <w:vAlign w:val="center"/>
          </w:tcPr>
          <w:p>
            <w:pPr>
              <w:pStyle w:val="42"/>
            </w:pPr>
            <w:r>
              <w:t>重庆市鸿海印务有限公司</w:t>
            </w:r>
          </w:p>
        </w:tc>
        <w:tc>
          <w:tcPr>
            <w:tcW w:w="507" w:type="pct"/>
            <w:vAlign w:val="center"/>
          </w:tcPr>
          <w:p>
            <w:pPr>
              <w:pStyle w:val="42"/>
            </w:pPr>
          </w:p>
        </w:tc>
        <w:tc>
          <w:tcPr>
            <w:tcW w:w="626" w:type="pct"/>
            <w:vAlign w:val="center"/>
          </w:tcPr>
          <w:p>
            <w:pPr>
              <w:pStyle w:val="42"/>
            </w:pPr>
            <w:r>
              <w:t>197</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7" w:type="pct"/>
            <w:vAlign w:val="center"/>
          </w:tcPr>
          <w:p>
            <w:pPr>
              <w:pStyle w:val="42"/>
            </w:pPr>
            <w:r>
              <w:t>67</w:t>
            </w:r>
          </w:p>
        </w:tc>
        <w:tc>
          <w:tcPr>
            <w:tcW w:w="2007" w:type="pct"/>
            <w:vAlign w:val="center"/>
          </w:tcPr>
          <w:p>
            <w:pPr>
              <w:pStyle w:val="42"/>
            </w:pPr>
            <w:r>
              <w:t>重庆建工新型建材有限公司长寿分公司</w:t>
            </w:r>
          </w:p>
        </w:tc>
        <w:tc>
          <w:tcPr>
            <w:tcW w:w="507" w:type="pct"/>
            <w:vAlign w:val="center"/>
          </w:tcPr>
          <w:p>
            <w:pPr>
              <w:pStyle w:val="42"/>
            </w:pPr>
          </w:p>
        </w:tc>
        <w:tc>
          <w:tcPr>
            <w:tcW w:w="626" w:type="pct"/>
            <w:vAlign w:val="center"/>
          </w:tcPr>
          <w:p>
            <w:pPr>
              <w:pStyle w:val="42"/>
            </w:pPr>
            <w:r>
              <w:t>3.10</w:t>
            </w:r>
          </w:p>
        </w:tc>
        <w:tc>
          <w:tcPr>
            <w:tcW w:w="538" w:type="pct"/>
            <w:vAlign w:val="center"/>
          </w:tcPr>
          <w:p>
            <w:pPr>
              <w:pStyle w:val="42"/>
            </w:pPr>
            <w:r>
              <w:t>51.20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277" w:type="pct"/>
            <w:vAlign w:val="center"/>
          </w:tcPr>
          <w:p>
            <w:pPr>
              <w:pStyle w:val="42"/>
            </w:pPr>
            <w:r>
              <w:t>68</w:t>
            </w:r>
          </w:p>
        </w:tc>
        <w:tc>
          <w:tcPr>
            <w:tcW w:w="2007" w:type="pct"/>
            <w:vAlign w:val="center"/>
          </w:tcPr>
          <w:p>
            <w:pPr>
              <w:pStyle w:val="42"/>
            </w:pPr>
            <w:r>
              <w:t>重庆新川塔实业有限公司</w:t>
            </w:r>
          </w:p>
        </w:tc>
        <w:tc>
          <w:tcPr>
            <w:tcW w:w="507" w:type="pct"/>
            <w:vAlign w:val="center"/>
          </w:tcPr>
          <w:p>
            <w:pPr>
              <w:pStyle w:val="42"/>
            </w:pPr>
          </w:p>
        </w:tc>
        <w:tc>
          <w:tcPr>
            <w:tcW w:w="626" w:type="pct"/>
            <w:vAlign w:val="center"/>
          </w:tcPr>
          <w:p>
            <w:pPr>
              <w:pStyle w:val="42"/>
            </w:pPr>
            <w:r>
              <w:t>10</w:t>
            </w:r>
          </w:p>
        </w:tc>
        <w:tc>
          <w:tcPr>
            <w:tcW w:w="538" w:type="pct"/>
            <w:vAlign w:val="center"/>
          </w:tcPr>
          <w:p>
            <w:pPr>
              <w:pStyle w:val="42"/>
            </w:pPr>
            <w:r>
              <w:t>29.10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77" w:type="pct"/>
            <w:vAlign w:val="center"/>
          </w:tcPr>
          <w:p>
            <w:pPr>
              <w:pStyle w:val="42"/>
            </w:pPr>
            <w:r>
              <w:t>69</w:t>
            </w:r>
          </w:p>
        </w:tc>
        <w:tc>
          <w:tcPr>
            <w:tcW w:w="2007" w:type="pct"/>
            <w:vAlign w:val="center"/>
          </w:tcPr>
          <w:p>
            <w:pPr>
              <w:pStyle w:val="42"/>
            </w:pPr>
            <w:r>
              <w:t>重庆协钢金属材料有限责任公司</w:t>
            </w:r>
          </w:p>
        </w:tc>
        <w:tc>
          <w:tcPr>
            <w:tcW w:w="507" w:type="pct"/>
            <w:vAlign w:val="center"/>
          </w:tcPr>
          <w:p>
            <w:pPr>
              <w:pStyle w:val="42"/>
            </w:pPr>
            <w:r>
              <w:t>16</w:t>
            </w:r>
          </w:p>
        </w:tc>
        <w:tc>
          <w:tcPr>
            <w:tcW w:w="626" w:type="pct"/>
            <w:vAlign w:val="center"/>
          </w:tcPr>
          <w:p>
            <w:pPr>
              <w:pStyle w:val="42"/>
            </w:pPr>
          </w:p>
        </w:tc>
        <w:tc>
          <w:tcPr>
            <w:tcW w:w="538" w:type="pct"/>
            <w:vAlign w:val="center"/>
          </w:tcPr>
          <w:p>
            <w:pPr>
              <w:pStyle w:val="42"/>
            </w:pPr>
            <w:r>
              <w:t>73.80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70</w:t>
            </w:r>
          </w:p>
        </w:tc>
        <w:tc>
          <w:tcPr>
            <w:tcW w:w="2007" w:type="pct"/>
            <w:vAlign w:val="center"/>
          </w:tcPr>
          <w:p>
            <w:pPr>
              <w:pStyle w:val="42"/>
            </w:pPr>
            <w:r>
              <w:t>重庆富尔家动物药业公司</w:t>
            </w:r>
          </w:p>
        </w:tc>
        <w:tc>
          <w:tcPr>
            <w:tcW w:w="507" w:type="pct"/>
            <w:vAlign w:val="center"/>
          </w:tcPr>
          <w:p>
            <w:pPr>
              <w:pStyle w:val="42"/>
            </w:pPr>
          </w:p>
        </w:tc>
        <w:tc>
          <w:tcPr>
            <w:tcW w:w="626" w:type="pct"/>
            <w:vAlign w:val="center"/>
          </w:tcPr>
          <w:p>
            <w:pPr>
              <w:pStyle w:val="42"/>
            </w:pPr>
            <w:r>
              <w:t>14</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71</w:t>
            </w:r>
          </w:p>
        </w:tc>
        <w:tc>
          <w:tcPr>
            <w:tcW w:w="2007" w:type="pct"/>
            <w:vAlign w:val="center"/>
          </w:tcPr>
          <w:p>
            <w:pPr>
              <w:pStyle w:val="42"/>
            </w:pPr>
            <w:r>
              <w:t>重庆市长寿通威饲料有限公司</w:t>
            </w:r>
          </w:p>
        </w:tc>
        <w:tc>
          <w:tcPr>
            <w:tcW w:w="507" w:type="pct"/>
            <w:vAlign w:val="center"/>
          </w:tcPr>
          <w:p>
            <w:pPr>
              <w:pStyle w:val="42"/>
            </w:pPr>
          </w:p>
        </w:tc>
        <w:tc>
          <w:tcPr>
            <w:tcW w:w="626" w:type="pct"/>
            <w:vAlign w:val="center"/>
          </w:tcPr>
          <w:p>
            <w:pPr>
              <w:pStyle w:val="42"/>
            </w:pPr>
            <w:r>
              <w:t>10</w:t>
            </w:r>
          </w:p>
        </w:tc>
        <w:tc>
          <w:tcPr>
            <w:tcW w:w="538" w:type="pct"/>
            <w:vAlign w:val="center"/>
          </w:tcPr>
          <w:p>
            <w:pPr>
              <w:pStyle w:val="42"/>
            </w:pPr>
            <w:r>
              <w:t>16.50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72</w:t>
            </w:r>
          </w:p>
        </w:tc>
        <w:tc>
          <w:tcPr>
            <w:tcW w:w="2007" w:type="pct"/>
            <w:vAlign w:val="center"/>
          </w:tcPr>
          <w:p>
            <w:pPr>
              <w:pStyle w:val="42"/>
            </w:pPr>
            <w:r>
              <w:t>重庆凯茵橡胶有限公司</w:t>
            </w:r>
          </w:p>
        </w:tc>
        <w:tc>
          <w:tcPr>
            <w:tcW w:w="507" w:type="pct"/>
            <w:vAlign w:val="center"/>
          </w:tcPr>
          <w:p>
            <w:pPr>
              <w:pStyle w:val="42"/>
            </w:pPr>
            <w:r>
              <w:t>0.60</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277" w:type="pct"/>
            <w:vAlign w:val="center"/>
          </w:tcPr>
          <w:p>
            <w:pPr>
              <w:pStyle w:val="42"/>
            </w:pPr>
            <w:r>
              <w:t>73</w:t>
            </w:r>
          </w:p>
        </w:tc>
        <w:tc>
          <w:tcPr>
            <w:tcW w:w="2007" w:type="pct"/>
            <w:vAlign w:val="center"/>
          </w:tcPr>
          <w:p>
            <w:pPr>
              <w:pStyle w:val="42"/>
            </w:pPr>
            <w:r>
              <w:t>重庆冬润果蔬饮品有限公司</w:t>
            </w:r>
          </w:p>
        </w:tc>
        <w:tc>
          <w:tcPr>
            <w:tcW w:w="507" w:type="pct"/>
            <w:vAlign w:val="center"/>
          </w:tcPr>
          <w:p>
            <w:pPr>
              <w:pStyle w:val="42"/>
            </w:pPr>
          </w:p>
        </w:tc>
        <w:tc>
          <w:tcPr>
            <w:tcW w:w="626" w:type="pct"/>
            <w:vAlign w:val="center"/>
          </w:tcPr>
          <w:p>
            <w:pPr>
              <w:pStyle w:val="42"/>
            </w:pPr>
            <w:r>
              <w:t>11000</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74</w:t>
            </w:r>
          </w:p>
        </w:tc>
        <w:tc>
          <w:tcPr>
            <w:tcW w:w="2007" w:type="pct"/>
            <w:vAlign w:val="center"/>
          </w:tcPr>
          <w:p>
            <w:pPr>
              <w:pStyle w:val="42"/>
            </w:pPr>
            <w:r>
              <w:t>天圣</w:t>
            </w:r>
          </w:p>
        </w:tc>
        <w:tc>
          <w:tcPr>
            <w:tcW w:w="507" w:type="pct"/>
            <w:vAlign w:val="center"/>
          </w:tcPr>
          <w:p>
            <w:pPr>
              <w:pStyle w:val="42"/>
            </w:pPr>
            <w:r>
              <w:t>1</w:t>
            </w:r>
          </w:p>
        </w:tc>
        <w:tc>
          <w:tcPr>
            <w:tcW w:w="626" w:type="pct"/>
            <w:vAlign w:val="center"/>
          </w:tcPr>
          <w:p>
            <w:pPr>
              <w:pStyle w:val="42"/>
            </w:pPr>
            <w:r>
              <w:t>0.10</w:t>
            </w:r>
          </w:p>
        </w:tc>
        <w:tc>
          <w:tcPr>
            <w:tcW w:w="538" w:type="pct"/>
            <w:vAlign w:val="center"/>
          </w:tcPr>
          <w:p>
            <w:pPr>
              <w:pStyle w:val="42"/>
            </w:pPr>
            <w:r>
              <w:t>54</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77" w:type="pct"/>
            <w:vAlign w:val="center"/>
          </w:tcPr>
          <w:p>
            <w:pPr>
              <w:pStyle w:val="42"/>
            </w:pPr>
            <w:r>
              <w:t>75</w:t>
            </w:r>
          </w:p>
        </w:tc>
        <w:tc>
          <w:tcPr>
            <w:tcW w:w="2007" w:type="pct"/>
            <w:vAlign w:val="center"/>
          </w:tcPr>
          <w:p>
            <w:pPr>
              <w:pStyle w:val="42"/>
            </w:pPr>
            <w:r>
              <w:t>重庆镁禾环保科技有限公司年产1000万套镁合金脱漆项目</w:t>
            </w:r>
          </w:p>
        </w:tc>
        <w:tc>
          <w:tcPr>
            <w:tcW w:w="507" w:type="pct"/>
            <w:vAlign w:val="center"/>
          </w:tcPr>
          <w:p>
            <w:pPr>
              <w:pStyle w:val="42"/>
            </w:pPr>
            <w:r>
              <w:t>17.1</w:t>
            </w:r>
          </w:p>
        </w:tc>
        <w:tc>
          <w:tcPr>
            <w:tcW w:w="626" w:type="pct"/>
            <w:vAlign w:val="center"/>
          </w:tcPr>
          <w:p>
            <w:pPr>
              <w:pStyle w:val="42"/>
            </w:pPr>
            <w:r>
              <w:t>11</w:t>
            </w:r>
          </w:p>
        </w:tc>
        <w:tc>
          <w:tcPr>
            <w:tcW w:w="538" w:type="pct"/>
            <w:vAlign w:val="center"/>
          </w:tcPr>
          <w:p>
            <w:pPr>
              <w:pStyle w:val="42"/>
            </w:pPr>
            <w:r>
              <w:t>3</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76</w:t>
            </w:r>
          </w:p>
        </w:tc>
        <w:tc>
          <w:tcPr>
            <w:tcW w:w="2007" w:type="pct"/>
            <w:vAlign w:val="center"/>
          </w:tcPr>
          <w:p>
            <w:pPr>
              <w:pStyle w:val="42"/>
            </w:pPr>
            <w:r>
              <w:t>重庆峰圣石化有限公司</w:t>
            </w:r>
          </w:p>
        </w:tc>
        <w:tc>
          <w:tcPr>
            <w:tcW w:w="507" w:type="pct"/>
            <w:vAlign w:val="center"/>
          </w:tcPr>
          <w:p>
            <w:pPr>
              <w:pStyle w:val="42"/>
            </w:pPr>
            <w:r>
              <w:t>103.5</w:t>
            </w:r>
          </w:p>
        </w:tc>
        <w:tc>
          <w:tcPr>
            <w:tcW w:w="626" w:type="pct"/>
            <w:vAlign w:val="center"/>
          </w:tcPr>
          <w:p>
            <w:pPr>
              <w:pStyle w:val="42"/>
            </w:pPr>
          </w:p>
        </w:tc>
        <w:tc>
          <w:tcPr>
            <w:tcW w:w="538" w:type="pct"/>
            <w:vAlign w:val="center"/>
          </w:tcPr>
          <w:p>
            <w:pPr>
              <w:pStyle w:val="42"/>
            </w:pPr>
            <w:r>
              <w:t>10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77" w:type="pct"/>
            <w:vAlign w:val="center"/>
          </w:tcPr>
          <w:p>
            <w:pPr>
              <w:pStyle w:val="42"/>
            </w:pPr>
            <w:r>
              <w:t>77</w:t>
            </w:r>
          </w:p>
        </w:tc>
        <w:tc>
          <w:tcPr>
            <w:tcW w:w="2007" w:type="pct"/>
            <w:vAlign w:val="center"/>
          </w:tcPr>
          <w:p>
            <w:pPr>
              <w:pStyle w:val="42"/>
            </w:pPr>
            <w:r>
              <w:t>重庆金圆顺涂装科技有限公司</w:t>
            </w:r>
          </w:p>
        </w:tc>
        <w:tc>
          <w:tcPr>
            <w:tcW w:w="507" w:type="pct"/>
            <w:vAlign w:val="center"/>
          </w:tcPr>
          <w:p>
            <w:pPr>
              <w:pStyle w:val="42"/>
            </w:pPr>
          </w:p>
        </w:tc>
        <w:tc>
          <w:tcPr>
            <w:tcW w:w="626" w:type="pct"/>
            <w:vAlign w:val="center"/>
          </w:tcPr>
          <w:p>
            <w:pPr>
              <w:pStyle w:val="42"/>
            </w:pPr>
            <w:r>
              <w:t>8.037</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 w:type="pct"/>
            <w:vAlign w:val="center"/>
          </w:tcPr>
          <w:p>
            <w:pPr>
              <w:pStyle w:val="42"/>
            </w:pPr>
            <w:r>
              <w:t>78</w:t>
            </w:r>
          </w:p>
        </w:tc>
        <w:tc>
          <w:tcPr>
            <w:tcW w:w="2007" w:type="pct"/>
            <w:vAlign w:val="center"/>
          </w:tcPr>
          <w:p>
            <w:pPr>
              <w:pStyle w:val="42"/>
            </w:pPr>
            <w:r>
              <w:t>重庆钢铁集团建设工程有限公司</w:t>
            </w:r>
          </w:p>
        </w:tc>
        <w:tc>
          <w:tcPr>
            <w:tcW w:w="507" w:type="pct"/>
            <w:vAlign w:val="center"/>
          </w:tcPr>
          <w:p>
            <w:pPr>
              <w:pStyle w:val="42"/>
            </w:pPr>
            <w:r>
              <w:t>35.68</w:t>
            </w:r>
          </w:p>
        </w:tc>
        <w:tc>
          <w:tcPr>
            <w:tcW w:w="626" w:type="pct"/>
            <w:vAlign w:val="center"/>
          </w:tcPr>
          <w:p>
            <w:pPr>
              <w:pStyle w:val="42"/>
            </w:pPr>
            <w:r>
              <w:t>3298.69</w:t>
            </w:r>
          </w:p>
        </w:tc>
        <w:tc>
          <w:tcPr>
            <w:tcW w:w="538" w:type="pct"/>
            <w:vAlign w:val="center"/>
          </w:tcPr>
          <w:p>
            <w:pPr>
              <w:pStyle w:val="42"/>
            </w:pPr>
            <w:r>
              <w:t>60.6</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79</w:t>
            </w:r>
          </w:p>
        </w:tc>
        <w:tc>
          <w:tcPr>
            <w:tcW w:w="2007" w:type="pct"/>
            <w:vAlign w:val="center"/>
          </w:tcPr>
          <w:p>
            <w:pPr>
              <w:pStyle w:val="42"/>
            </w:pPr>
            <w:r>
              <w:t>重庆云天化纽米科技股份有限公司</w:t>
            </w:r>
          </w:p>
        </w:tc>
        <w:tc>
          <w:tcPr>
            <w:tcW w:w="507" w:type="pct"/>
            <w:vAlign w:val="center"/>
          </w:tcPr>
          <w:p>
            <w:pPr>
              <w:pStyle w:val="42"/>
            </w:pPr>
            <w:r>
              <w:t>1537.9</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77" w:type="pct"/>
            <w:vAlign w:val="center"/>
          </w:tcPr>
          <w:p>
            <w:pPr>
              <w:pStyle w:val="42"/>
            </w:pPr>
            <w:r>
              <w:t>80</w:t>
            </w:r>
          </w:p>
        </w:tc>
        <w:tc>
          <w:tcPr>
            <w:tcW w:w="2007" w:type="pct"/>
            <w:vAlign w:val="center"/>
          </w:tcPr>
          <w:p>
            <w:pPr>
              <w:pStyle w:val="42"/>
            </w:pPr>
            <w:r>
              <w:t>立邦涂料（重庆）化工有限公司</w:t>
            </w:r>
          </w:p>
        </w:tc>
        <w:tc>
          <w:tcPr>
            <w:tcW w:w="507" w:type="pct"/>
            <w:vAlign w:val="center"/>
          </w:tcPr>
          <w:p>
            <w:pPr>
              <w:pStyle w:val="42"/>
            </w:pPr>
            <w:r>
              <w:t>317.809</w:t>
            </w:r>
          </w:p>
        </w:tc>
        <w:tc>
          <w:tcPr>
            <w:tcW w:w="626" w:type="pct"/>
            <w:vAlign w:val="center"/>
          </w:tcPr>
          <w:p>
            <w:pPr>
              <w:pStyle w:val="42"/>
            </w:pPr>
          </w:p>
        </w:tc>
        <w:tc>
          <w:tcPr>
            <w:tcW w:w="538" w:type="pct"/>
            <w:vAlign w:val="center"/>
          </w:tcPr>
          <w:p>
            <w:pPr>
              <w:pStyle w:val="42"/>
            </w:pPr>
            <w:r>
              <w:t>9.75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77" w:type="pct"/>
            <w:vAlign w:val="center"/>
          </w:tcPr>
          <w:p>
            <w:pPr>
              <w:pStyle w:val="42"/>
            </w:pPr>
            <w:r>
              <w:t>81</w:t>
            </w:r>
          </w:p>
        </w:tc>
        <w:tc>
          <w:tcPr>
            <w:tcW w:w="2007" w:type="pct"/>
            <w:vAlign w:val="center"/>
          </w:tcPr>
          <w:p>
            <w:pPr>
              <w:pStyle w:val="42"/>
            </w:pPr>
            <w:r>
              <w:t>中国石化集团四川维尼纶厂</w:t>
            </w:r>
          </w:p>
        </w:tc>
        <w:tc>
          <w:tcPr>
            <w:tcW w:w="507" w:type="pct"/>
            <w:vAlign w:val="center"/>
          </w:tcPr>
          <w:p>
            <w:pPr>
              <w:pStyle w:val="42"/>
            </w:pPr>
            <w:r>
              <w:t>0.00085</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77" w:type="pct"/>
            <w:vAlign w:val="center"/>
          </w:tcPr>
          <w:p>
            <w:pPr>
              <w:pStyle w:val="42"/>
            </w:pPr>
            <w:r>
              <w:t>82</w:t>
            </w:r>
          </w:p>
        </w:tc>
        <w:tc>
          <w:tcPr>
            <w:tcW w:w="2007" w:type="pct"/>
            <w:vAlign w:val="center"/>
          </w:tcPr>
          <w:p>
            <w:pPr>
              <w:pStyle w:val="42"/>
            </w:pPr>
            <w:r>
              <w:t>福安药业集团重庆博圣制药有限公司新建原料药项目</w:t>
            </w:r>
          </w:p>
        </w:tc>
        <w:tc>
          <w:tcPr>
            <w:tcW w:w="507" w:type="pct"/>
            <w:vAlign w:val="center"/>
          </w:tcPr>
          <w:p>
            <w:pPr>
              <w:pStyle w:val="42"/>
            </w:pPr>
            <w:r>
              <w:t>1949.62</w:t>
            </w:r>
          </w:p>
        </w:tc>
        <w:tc>
          <w:tcPr>
            <w:tcW w:w="626" w:type="pct"/>
            <w:vAlign w:val="center"/>
          </w:tcPr>
          <w:p>
            <w:pPr>
              <w:pStyle w:val="42"/>
            </w:pPr>
          </w:p>
        </w:tc>
        <w:tc>
          <w:tcPr>
            <w:tcW w:w="538" w:type="pct"/>
            <w:vAlign w:val="center"/>
          </w:tcPr>
          <w:p>
            <w:pPr>
              <w:pStyle w:val="42"/>
            </w:pPr>
            <w:r>
              <w:t>45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277" w:type="pct"/>
            <w:vAlign w:val="center"/>
          </w:tcPr>
          <w:p>
            <w:pPr>
              <w:pStyle w:val="42"/>
            </w:pPr>
            <w:r>
              <w:t>83</w:t>
            </w:r>
          </w:p>
        </w:tc>
        <w:tc>
          <w:tcPr>
            <w:tcW w:w="2007" w:type="pct"/>
            <w:vAlign w:val="center"/>
          </w:tcPr>
          <w:p>
            <w:pPr>
              <w:pStyle w:val="42"/>
            </w:pPr>
            <w:r>
              <w:t>重庆长天药业有限公司化学原料药GMP 生产基地建设项目</w:t>
            </w:r>
          </w:p>
        </w:tc>
        <w:tc>
          <w:tcPr>
            <w:tcW w:w="507" w:type="pct"/>
            <w:vAlign w:val="center"/>
          </w:tcPr>
          <w:p>
            <w:pPr>
              <w:pStyle w:val="42"/>
            </w:pPr>
            <w:r>
              <w:t>533.3502</w:t>
            </w:r>
          </w:p>
        </w:tc>
        <w:tc>
          <w:tcPr>
            <w:tcW w:w="626" w:type="pct"/>
            <w:vAlign w:val="center"/>
          </w:tcPr>
          <w:p>
            <w:pPr>
              <w:pStyle w:val="42"/>
            </w:pPr>
          </w:p>
        </w:tc>
        <w:tc>
          <w:tcPr>
            <w:tcW w:w="538" w:type="pct"/>
            <w:vAlign w:val="center"/>
          </w:tcPr>
          <w:p>
            <w:pPr>
              <w:pStyle w:val="42"/>
            </w:pPr>
            <w:r>
              <w:t>30</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84</w:t>
            </w:r>
          </w:p>
        </w:tc>
        <w:tc>
          <w:tcPr>
            <w:tcW w:w="2007" w:type="pct"/>
            <w:vAlign w:val="center"/>
          </w:tcPr>
          <w:p>
            <w:pPr>
              <w:pStyle w:val="42"/>
            </w:pPr>
            <w:r>
              <w:t>重庆晟弘化学有限公司年产15000吨金属表面处理剂、防冻液及玻璃水建设项目</w:t>
            </w:r>
          </w:p>
        </w:tc>
        <w:tc>
          <w:tcPr>
            <w:tcW w:w="507" w:type="pct"/>
            <w:vAlign w:val="center"/>
          </w:tcPr>
          <w:p>
            <w:pPr>
              <w:pStyle w:val="42"/>
            </w:pPr>
            <w:r>
              <w:t>18.288</w:t>
            </w:r>
          </w:p>
        </w:tc>
        <w:tc>
          <w:tcPr>
            <w:tcW w:w="626" w:type="pct"/>
            <w:vAlign w:val="center"/>
          </w:tcPr>
          <w:p>
            <w:pPr>
              <w:pStyle w:val="42"/>
            </w:pPr>
            <w:r>
              <w:t>2</w:t>
            </w:r>
          </w:p>
        </w:tc>
        <w:tc>
          <w:tcPr>
            <w:tcW w:w="538" w:type="pct"/>
            <w:vAlign w:val="center"/>
          </w:tcPr>
          <w:p>
            <w:pPr>
              <w:pStyle w:val="42"/>
            </w:pPr>
            <w:r>
              <w:t>1.875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85</w:t>
            </w:r>
          </w:p>
        </w:tc>
        <w:tc>
          <w:tcPr>
            <w:tcW w:w="2007" w:type="pct"/>
            <w:vAlign w:val="center"/>
          </w:tcPr>
          <w:p>
            <w:pPr>
              <w:pStyle w:val="42"/>
            </w:pPr>
            <w:r>
              <w:t>重庆英斯凯化工有限公司卡立普多医药中间体MPP和莫沙必利中间体J01及cGMP平台更新升级项目（一期）</w:t>
            </w:r>
          </w:p>
        </w:tc>
        <w:tc>
          <w:tcPr>
            <w:tcW w:w="507" w:type="pct"/>
            <w:vAlign w:val="center"/>
          </w:tcPr>
          <w:p>
            <w:pPr>
              <w:pStyle w:val="42"/>
            </w:pPr>
            <w:r>
              <w:t>2201.52</w:t>
            </w:r>
          </w:p>
        </w:tc>
        <w:tc>
          <w:tcPr>
            <w:tcW w:w="626" w:type="pct"/>
            <w:vAlign w:val="center"/>
          </w:tcPr>
          <w:p>
            <w:pPr>
              <w:pStyle w:val="42"/>
            </w:pPr>
          </w:p>
        </w:tc>
        <w:tc>
          <w:tcPr>
            <w:tcW w:w="538" w:type="pct"/>
            <w:vAlign w:val="center"/>
          </w:tcPr>
          <w:p>
            <w:pPr>
              <w:pStyle w:val="42"/>
            </w:pPr>
            <w:r>
              <w:t>39.9</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86</w:t>
            </w:r>
          </w:p>
        </w:tc>
        <w:tc>
          <w:tcPr>
            <w:tcW w:w="2007" w:type="pct"/>
            <w:vAlign w:val="center"/>
          </w:tcPr>
          <w:p>
            <w:pPr>
              <w:pStyle w:val="42"/>
            </w:pPr>
            <w:r>
              <w:t>重庆誉铋机械设备有限公司年产60 套矿山设备及1 万吨钢结构件项目</w:t>
            </w:r>
          </w:p>
        </w:tc>
        <w:tc>
          <w:tcPr>
            <w:tcW w:w="507" w:type="pct"/>
            <w:vAlign w:val="center"/>
          </w:tcPr>
          <w:p>
            <w:pPr>
              <w:pStyle w:val="42"/>
            </w:pPr>
            <w:r>
              <w:t>540.35</w:t>
            </w:r>
          </w:p>
        </w:tc>
        <w:tc>
          <w:tcPr>
            <w:tcW w:w="626" w:type="pct"/>
            <w:vAlign w:val="center"/>
          </w:tcPr>
          <w:p>
            <w:pPr>
              <w:pStyle w:val="42"/>
            </w:pPr>
            <w:r>
              <w:t>15.02</w:t>
            </w:r>
          </w:p>
        </w:tc>
        <w:tc>
          <w:tcPr>
            <w:tcW w:w="538" w:type="pct"/>
            <w:vAlign w:val="center"/>
          </w:tcPr>
          <w:p>
            <w:pPr>
              <w:pStyle w:val="42"/>
            </w:pPr>
            <w:r>
              <w:t>12</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7" w:type="pct"/>
            <w:vAlign w:val="center"/>
          </w:tcPr>
          <w:p>
            <w:pPr>
              <w:pStyle w:val="42"/>
            </w:pPr>
            <w:r>
              <w:t>87</w:t>
            </w:r>
          </w:p>
        </w:tc>
        <w:tc>
          <w:tcPr>
            <w:tcW w:w="2007" w:type="pct"/>
            <w:vAlign w:val="center"/>
          </w:tcPr>
          <w:p>
            <w:pPr>
              <w:pStyle w:val="42"/>
            </w:pPr>
            <w:r>
              <w:t>重庆市中润化学有限公司有机溶剂NMP生产与回收利用（一期）</w:t>
            </w:r>
          </w:p>
        </w:tc>
        <w:tc>
          <w:tcPr>
            <w:tcW w:w="507" w:type="pct"/>
            <w:vAlign w:val="center"/>
          </w:tcPr>
          <w:p>
            <w:pPr>
              <w:pStyle w:val="42"/>
            </w:pPr>
            <w:r>
              <w:t>864.24</w:t>
            </w:r>
          </w:p>
        </w:tc>
        <w:tc>
          <w:tcPr>
            <w:tcW w:w="626" w:type="pct"/>
            <w:vAlign w:val="center"/>
          </w:tcPr>
          <w:p>
            <w:pPr>
              <w:pStyle w:val="42"/>
            </w:pPr>
            <w:r>
              <w:t>3000</w:t>
            </w:r>
          </w:p>
        </w:tc>
        <w:tc>
          <w:tcPr>
            <w:tcW w:w="538" w:type="pct"/>
            <w:vAlign w:val="center"/>
          </w:tcPr>
          <w:p>
            <w:pPr>
              <w:pStyle w:val="42"/>
            </w:pPr>
            <w:r>
              <w:t>7.5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77" w:type="pct"/>
            <w:vAlign w:val="center"/>
          </w:tcPr>
          <w:p>
            <w:pPr>
              <w:pStyle w:val="42"/>
            </w:pPr>
            <w:r>
              <w:t>88</w:t>
            </w:r>
          </w:p>
        </w:tc>
        <w:tc>
          <w:tcPr>
            <w:tcW w:w="2007" w:type="pct"/>
            <w:vAlign w:val="center"/>
          </w:tcPr>
          <w:p>
            <w:pPr>
              <w:pStyle w:val="42"/>
            </w:pPr>
            <w:r>
              <w:t>重庆博俊工业科技有限公司汽车零部件、模具生产线建设项目</w:t>
            </w:r>
          </w:p>
        </w:tc>
        <w:tc>
          <w:tcPr>
            <w:tcW w:w="507" w:type="pct"/>
            <w:vAlign w:val="center"/>
          </w:tcPr>
          <w:p>
            <w:pPr>
              <w:pStyle w:val="42"/>
            </w:pPr>
            <w:r>
              <w:t>29.84</w:t>
            </w:r>
          </w:p>
        </w:tc>
        <w:tc>
          <w:tcPr>
            <w:tcW w:w="626" w:type="pct"/>
            <w:vAlign w:val="center"/>
          </w:tcPr>
          <w:p>
            <w:pPr>
              <w:pStyle w:val="42"/>
            </w:pPr>
            <w:r>
              <w:t>36600</w:t>
            </w:r>
          </w:p>
        </w:tc>
        <w:tc>
          <w:tcPr>
            <w:tcW w:w="538" w:type="pct"/>
            <w:vAlign w:val="center"/>
          </w:tcPr>
          <w:p>
            <w:pPr>
              <w:pStyle w:val="42"/>
            </w:pPr>
            <w:r>
              <w:t>37.8</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77" w:type="pct"/>
            <w:vAlign w:val="center"/>
          </w:tcPr>
          <w:p>
            <w:pPr>
              <w:pStyle w:val="42"/>
            </w:pPr>
            <w:r>
              <w:t>89</w:t>
            </w:r>
          </w:p>
        </w:tc>
        <w:tc>
          <w:tcPr>
            <w:tcW w:w="2007" w:type="pct"/>
            <w:vAlign w:val="center"/>
          </w:tcPr>
          <w:p>
            <w:pPr>
              <w:pStyle w:val="42"/>
            </w:pPr>
            <w:r>
              <w:t>重庆大禹防水科技发展有限公司年产7000万m</w:t>
            </w:r>
            <w:r>
              <w:rPr>
                <w:vertAlign w:val="superscript"/>
              </w:rPr>
              <w:t>2</w:t>
            </w:r>
            <w:r>
              <w:t>防水材料及2万吨防水涂料项目</w:t>
            </w:r>
          </w:p>
        </w:tc>
        <w:tc>
          <w:tcPr>
            <w:tcW w:w="507" w:type="pct"/>
            <w:vAlign w:val="center"/>
          </w:tcPr>
          <w:p>
            <w:pPr>
              <w:pStyle w:val="42"/>
            </w:pPr>
            <w:r>
              <w:t>18.27</w:t>
            </w:r>
          </w:p>
        </w:tc>
        <w:tc>
          <w:tcPr>
            <w:tcW w:w="626" w:type="pct"/>
            <w:vAlign w:val="center"/>
          </w:tcPr>
          <w:p>
            <w:pPr>
              <w:pStyle w:val="42"/>
            </w:pPr>
            <w:r>
              <w:t>343.79</w:t>
            </w:r>
          </w:p>
        </w:tc>
        <w:tc>
          <w:tcPr>
            <w:tcW w:w="538" w:type="pct"/>
            <w:vAlign w:val="center"/>
          </w:tcPr>
          <w:p>
            <w:pPr>
              <w:pStyle w:val="42"/>
            </w:pPr>
            <w:r>
              <w:t>9</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90</w:t>
            </w:r>
          </w:p>
        </w:tc>
        <w:tc>
          <w:tcPr>
            <w:tcW w:w="2007" w:type="pct"/>
            <w:vAlign w:val="center"/>
          </w:tcPr>
          <w:p>
            <w:pPr>
              <w:pStyle w:val="42"/>
            </w:pPr>
            <w:r>
              <w:t>重庆世环催化技术有限公司年产1000吨治理N</w:t>
            </w:r>
            <w:r>
              <w:rPr>
                <w:vertAlign w:val="subscript"/>
              </w:rPr>
              <w:t>2</w:t>
            </w:r>
            <w:r>
              <w:t>O催化剂及年产5000吨低温脱硫脱硝催化剂项目</w:t>
            </w:r>
          </w:p>
        </w:tc>
        <w:tc>
          <w:tcPr>
            <w:tcW w:w="507" w:type="pct"/>
            <w:vAlign w:val="center"/>
          </w:tcPr>
          <w:p>
            <w:pPr>
              <w:pStyle w:val="42"/>
            </w:pPr>
            <w:r>
              <w:t>60.73</w:t>
            </w:r>
          </w:p>
        </w:tc>
        <w:tc>
          <w:tcPr>
            <w:tcW w:w="626" w:type="pct"/>
            <w:vAlign w:val="center"/>
          </w:tcPr>
          <w:p>
            <w:pPr>
              <w:pStyle w:val="42"/>
            </w:pPr>
            <w:r>
              <w:t>1</w:t>
            </w:r>
          </w:p>
        </w:tc>
        <w:tc>
          <w:tcPr>
            <w:tcW w:w="538" w:type="pct"/>
            <w:vAlign w:val="center"/>
          </w:tcPr>
          <w:p>
            <w:pPr>
              <w:pStyle w:val="42"/>
            </w:pPr>
            <w:r>
              <w:t>63.5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77" w:type="pct"/>
            <w:vAlign w:val="center"/>
          </w:tcPr>
          <w:p>
            <w:pPr>
              <w:pStyle w:val="42"/>
            </w:pPr>
            <w:r>
              <w:t>91</w:t>
            </w:r>
          </w:p>
        </w:tc>
        <w:tc>
          <w:tcPr>
            <w:tcW w:w="2007" w:type="pct"/>
            <w:vAlign w:val="center"/>
          </w:tcPr>
          <w:p>
            <w:pPr>
              <w:pStyle w:val="42"/>
            </w:pPr>
            <w:r>
              <w:t>重庆鸿融化工新材料有限公司4000吨沥青仓储项目</w:t>
            </w:r>
          </w:p>
        </w:tc>
        <w:tc>
          <w:tcPr>
            <w:tcW w:w="507" w:type="pct"/>
            <w:vAlign w:val="center"/>
          </w:tcPr>
          <w:p>
            <w:pPr>
              <w:pStyle w:val="42"/>
            </w:pPr>
            <w:r>
              <w:t>36</w:t>
            </w:r>
          </w:p>
        </w:tc>
        <w:tc>
          <w:tcPr>
            <w:tcW w:w="626" w:type="pct"/>
            <w:vAlign w:val="center"/>
          </w:tcPr>
          <w:p>
            <w:pPr>
              <w:pStyle w:val="42"/>
            </w:pPr>
          </w:p>
        </w:tc>
        <w:tc>
          <w:tcPr>
            <w:tcW w:w="538" w:type="pct"/>
            <w:vAlign w:val="center"/>
          </w:tcPr>
          <w:p>
            <w:pPr>
              <w:pStyle w:val="42"/>
            </w:pPr>
            <w:r>
              <w:t>1.925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92</w:t>
            </w:r>
          </w:p>
        </w:tc>
        <w:tc>
          <w:tcPr>
            <w:tcW w:w="2007" w:type="pct"/>
            <w:vAlign w:val="center"/>
          </w:tcPr>
          <w:p>
            <w:pPr>
              <w:pStyle w:val="42"/>
            </w:pPr>
            <w:r>
              <w:t>重庆丰铭炜烨汽车零部件有限公司年产90 万套仪表板、扰流板、保险杠等汽车零部件项目</w:t>
            </w:r>
          </w:p>
        </w:tc>
        <w:tc>
          <w:tcPr>
            <w:tcW w:w="507" w:type="pct"/>
            <w:vAlign w:val="center"/>
          </w:tcPr>
          <w:p>
            <w:pPr>
              <w:pStyle w:val="42"/>
            </w:pPr>
            <w:r>
              <w:t>155.15</w:t>
            </w:r>
          </w:p>
        </w:tc>
        <w:tc>
          <w:tcPr>
            <w:tcW w:w="626" w:type="pct"/>
            <w:vAlign w:val="center"/>
          </w:tcPr>
          <w:p>
            <w:pPr>
              <w:pStyle w:val="42"/>
            </w:pPr>
            <w:r>
              <w:t>50</w:t>
            </w:r>
          </w:p>
        </w:tc>
        <w:tc>
          <w:tcPr>
            <w:tcW w:w="538" w:type="pct"/>
            <w:vAlign w:val="center"/>
          </w:tcPr>
          <w:p>
            <w:pPr>
              <w:pStyle w:val="42"/>
            </w:pPr>
            <w:r>
              <w:t>6.76</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277" w:type="pct"/>
            <w:vAlign w:val="center"/>
          </w:tcPr>
          <w:p>
            <w:pPr>
              <w:pStyle w:val="42"/>
            </w:pPr>
            <w:r>
              <w:t>93</w:t>
            </w:r>
          </w:p>
        </w:tc>
        <w:tc>
          <w:tcPr>
            <w:tcW w:w="2007" w:type="pct"/>
            <w:vAlign w:val="center"/>
          </w:tcPr>
          <w:p>
            <w:pPr>
              <w:pStyle w:val="42"/>
            </w:pPr>
            <w:r>
              <w:t>重庆莱美隆宇药业有限公司年产800kg埃索美拉唑项目</w:t>
            </w:r>
          </w:p>
        </w:tc>
        <w:tc>
          <w:tcPr>
            <w:tcW w:w="507" w:type="pct"/>
            <w:vAlign w:val="center"/>
          </w:tcPr>
          <w:p>
            <w:pPr>
              <w:pStyle w:val="42"/>
            </w:pPr>
            <w:r>
              <w:t>99.61</w:t>
            </w:r>
          </w:p>
        </w:tc>
        <w:tc>
          <w:tcPr>
            <w:tcW w:w="626" w:type="pct"/>
            <w:vAlign w:val="center"/>
          </w:tcPr>
          <w:p>
            <w:pPr>
              <w:pStyle w:val="42"/>
            </w:pP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94</w:t>
            </w:r>
          </w:p>
        </w:tc>
        <w:tc>
          <w:tcPr>
            <w:tcW w:w="2007" w:type="pct"/>
            <w:vAlign w:val="center"/>
          </w:tcPr>
          <w:p>
            <w:pPr>
              <w:pStyle w:val="42"/>
            </w:pPr>
            <w:r>
              <w:t>重庆安格龙翔制药有限公司年产20吨盐酸克林霉素棕榈酸酯原料扩建项目</w:t>
            </w:r>
          </w:p>
        </w:tc>
        <w:tc>
          <w:tcPr>
            <w:tcW w:w="507" w:type="pct"/>
            <w:vAlign w:val="center"/>
          </w:tcPr>
          <w:p>
            <w:pPr>
              <w:pStyle w:val="42"/>
            </w:pPr>
            <w:r>
              <w:t>269.717</w:t>
            </w:r>
          </w:p>
        </w:tc>
        <w:tc>
          <w:tcPr>
            <w:tcW w:w="626" w:type="pct"/>
            <w:vAlign w:val="center"/>
          </w:tcPr>
          <w:p>
            <w:pPr>
              <w:pStyle w:val="42"/>
            </w:pPr>
            <w:r>
              <w:t>1</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95</w:t>
            </w:r>
          </w:p>
        </w:tc>
        <w:tc>
          <w:tcPr>
            <w:tcW w:w="2007" w:type="pct"/>
            <w:vAlign w:val="center"/>
          </w:tcPr>
          <w:p>
            <w:pPr>
              <w:pStyle w:val="42"/>
            </w:pPr>
            <w:r>
              <w:t>重庆宏大化工科技有限公司年产60万吨（35%）双氧水项目一期工程配套7000Nm</w:t>
            </w:r>
            <w:r>
              <w:rPr>
                <w:vertAlign w:val="superscript"/>
              </w:rPr>
              <w:t>3</w:t>
            </w:r>
            <w:r>
              <w:t>/h天然气制氢暨20000t/a食品级二氧化碳项目</w:t>
            </w:r>
          </w:p>
        </w:tc>
        <w:tc>
          <w:tcPr>
            <w:tcW w:w="507" w:type="pct"/>
            <w:vAlign w:val="center"/>
          </w:tcPr>
          <w:p>
            <w:pPr>
              <w:pStyle w:val="42"/>
            </w:pPr>
            <w:r>
              <w:t>0</w:t>
            </w:r>
          </w:p>
        </w:tc>
        <w:tc>
          <w:tcPr>
            <w:tcW w:w="626" w:type="pct"/>
            <w:vAlign w:val="center"/>
          </w:tcPr>
          <w:p>
            <w:pPr>
              <w:pStyle w:val="42"/>
            </w:pPr>
            <w:r>
              <w:t>288.86</w:t>
            </w:r>
          </w:p>
        </w:tc>
        <w:tc>
          <w:tcPr>
            <w:tcW w:w="538" w:type="pct"/>
            <w:vAlign w:val="center"/>
          </w:tcPr>
          <w:p>
            <w:pPr>
              <w:pStyle w:val="42"/>
            </w:pPr>
            <w:r>
              <w:t>1.6</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96</w:t>
            </w:r>
          </w:p>
        </w:tc>
        <w:tc>
          <w:tcPr>
            <w:tcW w:w="2007" w:type="pct"/>
            <w:vAlign w:val="center"/>
          </w:tcPr>
          <w:p>
            <w:pPr>
              <w:pStyle w:val="42"/>
            </w:pPr>
            <w:r>
              <w:t>重庆紫光国际化工有限责任公司年产8000吨原甲酸三甲酯（TMOF）技改项目</w:t>
            </w:r>
          </w:p>
        </w:tc>
        <w:tc>
          <w:tcPr>
            <w:tcW w:w="507" w:type="pct"/>
            <w:vAlign w:val="center"/>
          </w:tcPr>
          <w:p>
            <w:pPr>
              <w:pStyle w:val="42"/>
            </w:pPr>
            <w:r>
              <w:t>369</w:t>
            </w:r>
          </w:p>
        </w:tc>
        <w:tc>
          <w:tcPr>
            <w:tcW w:w="626" w:type="pct"/>
            <w:vAlign w:val="center"/>
          </w:tcPr>
          <w:p>
            <w:pPr>
              <w:pStyle w:val="42"/>
            </w:pPr>
            <w:r>
              <w:t>3</w:t>
            </w:r>
          </w:p>
        </w:tc>
        <w:tc>
          <w:tcPr>
            <w:tcW w:w="538" w:type="pct"/>
            <w:vAlign w:val="center"/>
          </w:tcPr>
          <w:p>
            <w:pPr>
              <w:pStyle w:val="42"/>
            </w:pP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Align w:val="center"/>
          </w:tcPr>
          <w:p>
            <w:pPr>
              <w:pStyle w:val="42"/>
            </w:pPr>
            <w:r>
              <w:t>97</w:t>
            </w:r>
          </w:p>
        </w:tc>
        <w:tc>
          <w:tcPr>
            <w:tcW w:w="2007" w:type="pct"/>
            <w:vAlign w:val="center"/>
          </w:tcPr>
          <w:p>
            <w:pPr>
              <w:pStyle w:val="42"/>
            </w:pPr>
            <w:r>
              <w:t>重庆农药化工（集团）有限公司重庆农药化工（集团）有限公司高端精细化学品系列升级改造项目-2000吨/年吡唑醚菌酯原药项目和丙硫菌唑等五个农药原药项目（吡蚜酮、乙螨唑项目）</w:t>
            </w:r>
          </w:p>
        </w:tc>
        <w:tc>
          <w:tcPr>
            <w:tcW w:w="507" w:type="pct"/>
            <w:vAlign w:val="center"/>
          </w:tcPr>
          <w:p>
            <w:pPr>
              <w:pStyle w:val="42"/>
            </w:pPr>
            <w:r>
              <w:t>6694.9</w:t>
            </w:r>
          </w:p>
        </w:tc>
        <w:tc>
          <w:tcPr>
            <w:tcW w:w="626" w:type="pct"/>
            <w:vAlign w:val="center"/>
          </w:tcPr>
          <w:p>
            <w:pPr>
              <w:pStyle w:val="42"/>
            </w:pPr>
          </w:p>
        </w:tc>
        <w:tc>
          <w:tcPr>
            <w:tcW w:w="538" w:type="pct"/>
            <w:vAlign w:val="center"/>
          </w:tcPr>
          <w:p>
            <w:pPr>
              <w:pStyle w:val="42"/>
            </w:pPr>
            <w:r>
              <w:t>4.5</w:t>
            </w:r>
          </w:p>
        </w:tc>
        <w:tc>
          <w:tcPr>
            <w:tcW w:w="1045"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2284" w:type="pct"/>
            <w:gridSpan w:val="2"/>
            <w:vAlign w:val="center"/>
          </w:tcPr>
          <w:p>
            <w:pPr>
              <w:pStyle w:val="42"/>
            </w:pPr>
            <w:r>
              <w:rPr>
                <w:rFonts w:hint="eastAsia"/>
              </w:rPr>
              <w:t>合计</w:t>
            </w:r>
          </w:p>
        </w:tc>
        <w:tc>
          <w:tcPr>
            <w:tcW w:w="507" w:type="pct"/>
            <w:vAlign w:val="center"/>
          </w:tcPr>
          <w:p>
            <w:pPr>
              <w:pStyle w:val="42"/>
            </w:pPr>
            <w:r>
              <w:t>34204.375</w:t>
            </w:r>
          </w:p>
        </w:tc>
        <w:tc>
          <w:tcPr>
            <w:tcW w:w="626" w:type="pct"/>
            <w:vAlign w:val="center"/>
          </w:tcPr>
          <w:p>
            <w:pPr>
              <w:pStyle w:val="42"/>
            </w:pPr>
            <w:r>
              <w:t>1066435</w:t>
            </w:r>
          </w:p>
        </w:tc>
        <w:tc>
          <w:tcPr>
            <w:tcW w:w="538" w:type="pct"/>
            <w:vAlign w:val="center"/>
          </w:tcPr>
          <w:p>
            <w:pPr>
              <w:pStyle w:val="42"/>
            </w:pPr>
            <w:r>
              <w:t>3086.344</w:t>
            </w:r>
          </w:p>
        </w:tc>
        <w:tc>
          <w:tcPr>
            <w:tcW w:w="1045" w:type="pct"/>
            <w:vMerge w:val="continue"/>
            <w:vAlign w:val="center"/>
          </w:tcPr>
          <w:p>
            <w:pPr>
              <w:pStyle w:val="42"/>
            </w:pPr>
          </w:p>
        </w:tc>
      </w:tr>
    </w:tbl>
    <w:p>
      <w:pPr>
        <w:pStyle w:val="41"/>
        <w:spacing w:before="156" w:after="156"/>
      </w:pPr>
    </w:p>
    <w:p>
      <w:pPr>
        <w:pStyle w:val="41"/>
        <w:spacing w:before="156" w:after="156"/>
      </w:pPr>
    </w:p>
    <w:p>
      <w:pPr>
        <w:ind w:firstLine="480"/>
        <w:sectPr>
          <w:pgSz w:w="16838" w:h="11906" w:orient="landscape"/>
          <w:pgMar w:top="1800" w:right="1440" w:bottom="1800" w:left="1440" w:header="851" w:footer="992" w:gutter="0"/>
          <w:cols w:space="425" w:num="1"/>
          <w:docGrid w:type="lines" w:linePitch="326" w:charSpace="0"/>
        </w:sectPr>
      </w:pPr>
    </w:p>
    <w:p>
      <w:pPr>
        <w:pStyle w:val="3"/>
        <w:spacing w:before="156" w:after="156"/>
      </w:pPr>
      <w:bookmarkStart w:id="107" w:name="_Toc84844279"/>
      <w:r>
        <w:rPr>
          <w:rFonts w:hint="eastAsia"/>
        </w:rPr>
        <w:t>4.4环境质量现状评价</w:t>
      </w:r>
      <w:bookmarkEnd w:id="107"/>
    </w:p>
    <w:p>
      <w:pPr>
        <w:pStyle w:val="4"/>
        <w:spacing w:before="156" w:after="156"/>
      </w:pPr>
      <w:bookmarkStart w:id="108" w:name="_Toc84844280"/>
      <w:r>
        <w:rPr>
          <w:rFonts w:hint="eastAsia"/>
        </w:rPr>
        <w:t>4.4.1大气环境质量现状与评价</w:t>
      </w:r>
      <w:bookmarkEnd w:id="108"/>
    </w:p>
    <w:p>
      <w:pPr>
        <w:ind w:firstLine="480"/>
      </w:pPr>
      <w:r>
        <w:rPr>
          <w:rFonts w:hint="eastAsia"/>
        </w:rPr>
        <w:t>（1）空气质量达标区判定</w:t>
      </w:r>
    </w:p>
    <w:p>
      <w:pPr>
        <w:ind w:firstLine="480"/>
      </w:pPr>
      <w:r>
        <w:rPr>
          <w:rFonts w:hint="eastAsia"/>
        </w:rPr>
        <w:t>本次评价引用</w:t>
      </w:r>
      <w:r>
        <w:t>《20</w:t>
      </w:r>
      <w:r>
        <w:rPr>
          <w:rFonts w:hint="eastAsia"/>
        </w:rPr>
        <w:t>20</w:t>
      </w:r>
      <w:r>
        <w:t>重庆市</w:t>
      </w:r>
      <w:r>
        <w:rPr>
          <w:rFonts w:hint="eastAsia"/>
        </w:rPr>
        <w:t>生态</w:t>
      </w:r>
      <w:r>
        <w:t>环境状况公报》对常规因子SO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t>进行区域达标判定。区域环境空气质量达标判定详见下表</w:t>
      </w:r>
      <w:r>
        <w:rPr>
          <w:rFonts w:hint="eastAsia"/>
        </w:rPr>
        <w:t>4</w:t>
      </w:r>
      <w:r>
        <w:t>.4.1-1。</w:t>
      </w:r>
    </w:p>
    <w:p>
      <w:pPr>
        <w:ind w:firstLine="480"/>
      </w:pPr>
      <w:r>
        <w:t>具体的计算公式如下：</w:t>
      </w:r>
    </w:p>
    <w:p>
      <w:pPr>
        <w:ind w:firstLine="0" w:firstLineChars="0"/>
        <w:jc w:val="center"/>
      </w:pPr>
      <w:r>
        <w:t>P</w:t>
      </w:r>
      <w:r>
        <w:rPr>
          <w:vertAlign w:val="subscript"/>
        </w:rPr>
        <w:t>i</w:t>
      </w:r>
      <w:r>
        <w:t>=C</w:t>
      </w:r>
      <w:r>
        <w:rPr>
          <w:vertAlign w:val="subscript"/>
        </w:rPr>
        <w:t>i</w:t>
      </w:r>
      <w:r>
        <w:t>/C</w:t>
      </w:r>
      <w:r>
        <w:rPr>
          <w:vertAlign w:val="subscript"/>
        </w:rPr>
        <w:t>0i</w:t>
      </w:r>
      <w:r>
        <w:t>×100%</w:t>
      </w:r>
    </w:p>
    <w:p>
      <w:pPr>
        <w:ind w:firstLine="480"/>
      </w:pPr>
      <w:r>
        <w:t>式中：</w:t>
      </w:r>
    </w:p>
    <w:p>
      <w:pPr>
        <w:ind w:firstLine="480"/>
      </w:pPr>
      <w:r>
        <w:t>P</w:t>
      </w:r>
      <w:r>
        <w:rPr>
          <w:vertAlign w:val="subscript"/>
        </w:rPr>
        <w:t>i</w:t>
      </w:r>
      <w:r>
        <w:t>—第i个污染物的地面浓度占标率，%；</w:t>
      </w:r>
    </w:p>
    <w:p>
      <w:pPr>
        <w:ind w:firstLine="480"/>
      </w:pPr>
      <w:r>
        <w:t>C</w:t>
      </w:r>
      <w:r>
        <w:rPr>
          <w:vertAlign w:val="subscript"/>
        </w:rPr>
        <w:t>i</w:t>
      </w:r>
      <w:r>
        <w:t>—第i个污染物的实测浓度(mg/m</w:t>
      </w:r>
      <w:r>
        <w:rPr>
          <w:vertAlign w:val="superscript"/>
        </w:rPr>
        <w:t>3</w:t>
      </w:r>
      <w:r>
        <w:t>)；</w:t>
      </w:r>
    </w:p>
    <w:p>
      <w:pPr>
        <w:ind w:firstLine="480"/>
      </w:pPr>
      <w:r>
        <w:t>C</w:t>
      </w:r>
      <w:r>
        <w:rPr>
          <w:vertAlign w:val="subscript"/>
        </w:rPr>
        <w:t>0i</w:t>
      </w:r>
      <w:r>
        <w:t>—第i个污染物的环境空气质量标准(mg/m</w:t>
      </w:r>
      <w:r>
        <w:rPr>
          <w:vertAlign w:val="superscript"/>
        </w:rPr>
        <w:t>3</w:t>
      </w:r>
      <w:r>
        <w:t>)。</w:t>
      </w:r>
    </w:p>
    <w:p>
      <w:pPr>
        <w:pStyle w:val="41"/>
      </w:pPr>
      <w:r>
        <w:t>表</w:t>
      </w:r>
      <w:r>
        <w:rPr>
          <w:rFonts w:hint="eastAsia"/>
        </w:rPr>
        <w:t>4</w:t>
      </w:r>
      <w:r>
        <w:t xml:space="preserve">.4.1-1 </w:t>
      </w:r>
      <w:r>
        <w:rPr>
          <w:rFonts w:hint="eastAsia"/>
        </w:rPr>
        <w:t>空气质量达标区判定情况一览表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62"/>
        <w:gridCol w:w="1198"/>
        <w:gridCol w:w="1146"/>
        <w:gridCol w:w="140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t>污染物</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t>年评价指标</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t>现状浓度（μg/m</w:t>
            </w:r>
            <w:r>
              <w:rPr>
                <w:vertAlign w:val="superscript"/>
              </w:rPr>
              <w:t>3</w:t>
            </w:r>
            <w:r>
              <w:t>）</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t>标准值（μg/m</w:t>
            </w:r>
            <w:r>
              <w:rPr>
                <w:vertAlign w:val="superscript"/>
              </w:rPr>
              <w:t>3</w:t>
            </w:r>
            <w:r>
              <w:t>）</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最大浓度占</w:t>
            </w:r>
          </w:p>
          <w:p>
            <w:pPr>
              <w:pStyle w:val="42"/>
            </w:pPr>
            <w:r>
              <w:rPr>
                <w:rFonts w:hint="eastAsia"/>
              </w:rPr>
              <w:t>标率（%）</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SO</w:t>
            </w:r>
            <w:r>
              <w:rPr>
                <w:rFonts w:hint="eastAsia"/>
                <w:vertAlign w:val="subscript"/>
              </w:rPr>
              <w:t>2</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年平均浓度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12</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60</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20</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NO</w:t>
            </w:r>
            <w:r>
              <w:rPr>
                <w:rFonts w:hint="eastAsia"/>
                <w:vertAlign w:val="subscript"/>
              </w:rPr>
              <w:t>2</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年平均浓度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24</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40</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60</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PM</w:t>
            </w:r>
            <w:r>
              <w:rPr>
                <w:rFonts w:hint="eastAsia"/>
                <w:vertAlign w:val="subscript"/>
              </w:rPr>
              <w:t>10</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年平均浓度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48</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70</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68.6</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PM</w:t>
            </w:r>
            <w:r>
              <w:rPr>
                <w:rFonts w:hint="eastAsia"/>
                <w:vertAlign w:val="subscript"/>
              </w:rPr>
              <w:t>2.5</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年平均浓度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31</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35</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88.6</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CO</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24h平均质量浓度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1200</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4000</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30</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O</w:t>
            </w:r>
            <w:r>
              <w:rPr>
                <w:rFonts w:hint="eastAsia"/>
                <w:vertAlign w:val="subscript"/>
              </w:rPr>
              <w:t>3</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日8h平均质量浓度</w:t>
            </w:r>
          </w:p>
        </w:tc>
        <w:tc>
          <w:tcPr>
            <w:tcW w:w="11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140</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160</w:t>
            </w:r>
          </w:p>
        </w:tc>
        <w:tc>
          <w:tcPr>
            <w:tcW w:w="140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87.5</w:t>
            </w:r>
          </w:p>
        </w:tc>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2"/>
            </w:pPr>
            <w:r>
              <w:rPr>
                <w:rFonts w:hint="eastAsia"/>
              </w:rPr>
              <w:t>达标</w:t>
            </w:r>
          </w:p>
        </w:tc>
      </w:tr>
    </w:tbl>
    <w:p>
      <w:pPr>
        <w:ind w:firstLine="480"/>
      </w:pPr>
      <w:r>
        <w:t>由上表可知</w:t>
      </w:r>
      <w:r>
        <w:rPr>
          <w:rFonts w:hint="eastAsia"/>
        </w:rPr>
        <w:t>长寿区</w:t>
      </w:r>
      <w:r>
        <w:t>SO</w:t>
      </w:r>
      <w:r>
        <w:rPr>
          <w:vertAlign w:val="subscript"/>
        </w:rPr>
        <w:t>2</w:t>
      </w:r>
      <w:r>
        <w:t>、NO</w:t>
      </w:r>
      <w:r>
        <w:rPr>
          <w:vertAlign w:val="subscript"/>
        </w:rPr>
        <w:t>2</w:t>
      </w:r>
      <w:r>
        <w:t>、PM</w:t>
      </w:r>
      <w:r>
        <w:rPr>
          <w:vertAlign w:val="subscript"/>
        </w:rPr>
        <w:t>10</w:t>
      </w:r>
      <w:r>
        <w:t>、PM</w:t>
      </w:r>
      <w:r>
        <w:rPr>
          <w:vertAlign w:val="subscript"/>
        </w:rPr>
        <w:t>2.5</w:t>
      </w:r>
      <w:r>
        <w:t>、CO、O</w:t>
      </w:r>
      <w:r>
        <w:rPr>
          <w:vertAlign w:val="subscript"/>
        </w:rPr>
        <w:t>3</w:t>
      </w:r>
      <w:r>
        <w:rPr>
          <w:rFonts w:hint="eastAsia"/>
        </w:rPr>
        <w:t>均</w:t>
      </w:r>
      <w:r>
        <w:t>满足</w:t>
      </w:r>
      <w:r>
        <w:rPr>
          <w:rFonts w:hint="eastAsia"/>
        </w:rPr>
        <w:t>《环境空气质量标准》（GB3095-2012）二级标准</w:t>
      </w:r>
      <w:r>
        <w:t>，环境空气质量达标，属于达标区。</w:t>
      </w:r>
    </w:p>
    <w:p>
      <w:pPr>
        <w:ind w:firstLine="480"/>
      </w:pPr>
      <w:r>
        <w:rPr>
          <w:rFonts w:hint="eastAsia"/>
        </w:rPr>
        <w:t>（2）大气环境质量现状评价</w:t>
      </w:r>
    </w:p>
    <w:p>
      <w:pPr>
        <w:ind w:firstLine="480"/>
      </w:pPr>
      <w:r>
        <w:rPr>
          <w:rFonts w:hint="eastAsia"/>
        </w:rPr>
        <w:t>拟建项目位于重庆（长寿）经济技术开发区晏家组团，根据本工程特点和地理位置，污染物环境质量现状评价可采用3年内所在区域已有有效监测数据进行分析评价。本工程特征因子氨、非甲烷总烃引用《监测报告》（渝环（监）字[2020]第PJ1-3号）中A4管委会办公区对面附近和A8云天化聚甲醛项目位置附近数据进行环境空气质量现状评价。</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监测资料引用合理性分析：本次评价所引用环境空气监测点A4管委会办公区对面附近和A8云天化聚甲醛项目位置附近均位于拟建项目大气环境评价范围内，且同属于一个园区；监测时间为2020年4月22日~28日，监测期间至今区域内环境质量现状变化不大，因此，本次评价所引用环境监测数据能反映区域内环境质量现状，引用合理可行。</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监测布点：本次评价监测布点情况详见下表4.4-2和附图6监测布点图。</w:t>
      </w:r>
    </w:p>
    <w:p>
      <w:pPr>
        <w:pStyle w:val="41"/>
      </w:pPr>
      <w:r>
        <w:rPr>
          <w:rFonts w:hint="eastAsia"/>
        </w:rPr>
        <w:t>表4.4-2 环境空气监测布点情况一览表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07"/>
        <w:gridCol w:w="1045"/>
        <w:gridCol w:w="2834"/>
        <w:gridCol w:w="89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6" w:type="pct"/>
            <w:vMerge w:val="restart"/>
            <w:vAlign w:val="center"/>
          </w:tcPr>
          <w:p>
            <w:pPr>
              <w:pStyle w:val="42"/>
              <w:rPr>
                <w:sz w:val="18"/>
                <w:szCs w:val="18"/>
              </w:rPr>
            </w:pPr>
            <w:r>
              <w:rPr>
                <w:sz w:val="18"/>
                <w:szCs w:val="18"/>
              </w:rPr>
              <w:t>编号</w:t>
            </w:r>
          </w:p>
        </w:tc>
        <w:tc>
          <w:tcPr>
            <w:tcW w:w="884" w:type="pct"/>
            <w:vMerge w:val="restart"/>
            <w:vAlign w:val="center"/>
          </w:tcPr>
          <w:p>
            <w:pPr>
              <w:pStyle w:val="42"/>
              <w:rPr>
                <w:sz w:val="18"/>
                <w:szCs w:val="18"/>
              </w:rPr>
            </w:pPr>
            <w:r>
              <w:rPr>
                <w:sz w:val="18"/>
                <w:szCs w:val="18"/>
              </w:rPr>
              <w:t>监测点名称</w:t>
            </w:r>
          </w:p>
        </w:tc>
        <w:tc>
          <w:tcPr>
            <w:tcW w:w="2799" w:type="pct"/>
            <w:gridSpan w:val="3"/>
            <w:vAlign w:val="center"/>
          </w:tcPr>
          <w:p>
            <w:pPr>
              <w:pStyle w:val="42"/>
              <w:rPr>
                <w:sz w:val="18"/>
                <w:szCs w:val="18"/>
              </w:rPr>
            </w:pPr>
            <w:r>
              <w:rPr>
                <w:sz w:val="18"/>
                <w:szCs w:val="18"/>
              </w:rPr>
              <w:t>监测项目</w:t>
            </w:r>
          </w:p>
        </w:tc>
        <w:tc>
          <w:tcPr>
            <w:tcW w:w="921" w:type="pct"/>
            <w:vMerge w:val="restart"/>
            <w:vAlign w:val="center"/>
          </w:tcPr>
          <w:p>
            <w:pPr>
              <w:pStyle w:val="42"/>
              <w:rPr>
                <w:sz w:val="18"/>
                <w:szCs w:val="18"/>
              </w:rPr>
            </w:pPr>
            <w:r>
              <w:rPr>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6" w:type="pct"/>
            <w:vMerge w:val="continue"/>
            <w:vAlign w:val="center"/>
          </w:tcPr>
          <w:p>
            <w:pPr>
              <w:pStyle w:val="42"/>
              <w:rPr>
                <w:sz w:val="18"/>
                <w:szCs w:val="18"/>
              </w:rPr>
            </w:pPr>
          </w:p>
        </w:tc>
        <w:tc>
          <w:tcPr>
            <w:tcW w:w="884" w:type="pct"/>
            <w:vMerge w:val="continue"/>
            <w:vAlign w:val="center"/>
          </w:tcPr>
          <w:p>
            <w:pPr>
              <w:pStyle w:val="42"/>
              <w:rPr>
                <w:sz w:val="18"/>
                <w:szCs w:val="18"/>
              </w:rPr>
            </w:pPr>
          </w:p>
        </w:tc>
        <w:tc>
          <w:tcPr>
            <w:tcW w:w="613" w:type="pct"/>
            <w:vAlign w:val="center"/>
          </w:tcPr>
          <w:p>
            <w:pPr>
              <w:pStyle w:val="42"/>
              <w:rPr>
                <w:sz w:val="18"/>
                <w:szCs w:val="18"/>
              </w:rPr>
            </w:pPr>
            <w:r>
              <w:rPr>
                <w:rFonts w:hint="eastAsia"/>
                <w:sz w:val="18"/>
                <w:szCs w:val="18"/>
              </w:rPr>
              <w:t>日均值</w:t>
            </w:r>
          </w:p>
        </w:tc>
        <w:tc>
          <w:tcPr>
            <w:tcW w:w="1663" w:type="pct"/>
            <w:vAlign w:val="center"/>
          </w:tcPr>
          <w:p>
            <w:pPr>
              <w:pStyle w:val="42"/>
              <w:rPr>
                <w:sz w:val="18"/>
                <w:szCs w:val="18"/>
              </w:rPr>
            </w:pPr>
            <w:r>
              <w:rPr>
                <w:rFonts w:hint="eastAsia"/>
                <w:sz w:val="18"/>
                <w:szCs w:val="18"/>
              </w:rPr>
              <w:t>1</w:t>
            </w:r>
            <w:r>
              <w:rPr>
                <w:sz w:val="18"/>
                <w:szCs w:val="18"/>
              </w:rPr>
              <w:t>小时</w:t>
            </w:r>
            <w:r>
              <w:rPr>
                <w:rFonts w:hint="eastAsia"/>
                <w:sz w:val="18"/>
                <w:szCs w:val="18"/>
              </w:rPr>
              <w:t>平均</w:t>
            </w:r>
            <w:r>
              <w:rPr>
                <w:sz w:val="18"/>
                <w:szCs w:val="18"/>
              </w:rPr>
              <w:t>值</w:t>
            </w:r>
          </w:p>
        </w:tc>
        <w:tc>
          <w:tcPr>
            <w:tcW w:w="523" w:type="pct"/>
            <w:vAlign w:val="center"/>
          </w:tcPr>
          <w:p>
            <w:pPr>
              <w:pStyle w:val="42"/>
              <w:rPr>
                <w:sz w:val="18"/>
                <w:szCs w:val="18"/>
              </w:rPr>
            </w:pPr>
            <w:r>
              <w:rPr>
                <w:rFonts w:hint="eastAsia"/>
                <w:sz w:val="18"/>
                <w:szCs w:val="18"/>
              </w:rPr>
              <w:t>8小时值</w:t>
            </w:r>
          </w:p>
        </w:tc>
        <w:tc>
          <w:tcPr>
            <w:tcW w:w="921"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6" w:type="pct"/>
            <w:vAlign w:val="center"/>
          </w:tcPr>
          <w:p>
            <w:pPr>
              <w:pStyle w:val="42"/>
              <w:rPr>
                <w:sz w:val="18"/>
                <w:szCs w:val="18"/>
              </w:rPr>
            </w:pPr>
            <w:r>
              <w:rPr>
                <w:sz w:val="18"/>
                <w:szCs w:val="18"/>
              </w:rPr>
              <w:t>A</w:t>
            </w:r>
            <w:r>
              <w:rPr>
                <w:rFonts w:hint="eastAsia"/>
                <w:sz w:val="18"/>
                <w:szCs w:val="18"/>
              </w:rPr>
              <w:t>4</w:t>
            </w:r>
          </w:p>
        </w:tc>
        <w:tc>
          <w:tcPr>
            <w:tcW w:w="884" w:type="pct"/>
            <w:vAlign w:val="center"/>
          </w:tcPr>
          <w:p>
            <w:pPr>
              <w:pStyle w:val="42"/>
              <w:rPr>
                <w:sz w:val="18"/>
                <w:szCs w:val="18"/>
              </w:rPr>
            </w:pPr>
            <w:r>
              <w:rPr>
                <w:rFonts w:hint="eastAsia"/>
                <w:sz w:val="18"/>
                <w:szCs w:val="18"/>
              </w:rPr>
              <w:t>管委会办公区对面附近</w:t>
            </w:r>
          </w:p>
        </w:tc>
        <w:tc>
          <w:tcPr>
            <w:tcW w:w="613" w:type="pct"/>
            <w:vAlign w:val="center"/>
          </w:tcPr>
          <w:p>
            <w:pPr>
              <w:pStyle w:val="42"/>
              <w:rPr>
                <w:sz w:val="18"/>
                <w:szCs w:val="18"/>
              </w:rPr>
            </w:pPr>
            <w:r>
              <w:rPr>
                <w:rFonts w:hint="eastAsia"/>
                <w:sz w:val="18"/>
                <w:szCs w:val="18"/>
              </w:rPr>
              <w:t>/</w:t>
            </w:r>
          </w:p>
        </w:tc>
        <w:tc>
          <w:tcPr>
            <w:tcW w:w="1663" w:type="pct"/>
            <w:vAlign w:val="center"/>
          </w:tcPr>
          <w:p>
            <w:pPr>
              <w:pStyle w:val="42"/>
              <w:rPr>
                <w:sz w:val="18"/>
                <w:szCs w:val="18"/>
              </w:rPr>
            </w:pPr>
            <w:r>
              <w:rPr>
                <w:rFonts w:hint="eastAsia"/>
                <w:sz w:val="18"/>
                <w:szCs w:val="18"/>
              </w:rPr>
              <w:t>氨</w:t>
            </w:r>
            <w:r>
              <w:rPr>
                <w:sz w:val="18"/>
                <w:szCs w:val="18"/>
              </w:rPr>
              <w:t>、非甲烷总烃</w:t>
            </w:r>
          </w:p>
        </w:tc>
        <w:tc>
          <w:tcPr>
            <w:tcW w:w="523" w:type="pct"/>
            <w:vAlign w:val="center"/>
          </w:tcPr>
          <w:p>
            <w:pPr>
              <w:pStyle w:val="42"/>
              <w:rPr>
                <w:sz w:val="18"/>
                <w:szCs w:val="18"/>
              </w:rPr>
            </w:pPr>
            <w:r>
              <w:rPr>
                <w:rFonts w:hint="eastAsia"/>
                <w:sz w:val="18"/>
                <w:szCs w:val="18"/>
              </w:rPr>
              <w:t>TVOC</w:t>
            </w:r>
          </w:p>
        </w:tc>
        <w:tc>
          <w:tcPr>
            <w:tcW w:w="921" w:type="pct"/>
            <w:vMerge w:val="restart"/>
            <w:vAlign w:val="center"/>
          </w:tcPr>
          <w:p>
            <w:pPr>
              <w:pStyle w:val="42"/>
              <w:rPr>
                <w:sz w:val="18"/>
                <w:szCs w:val="18"/>
              </w:rPr>
            </w:pPr>
            <w:r>
              <w:rPr>
                <w:rFonts w:hint="eastAsia"/>
                <w:sz w:val="18"/>
                <w:szCs w:val="18"/>
              </w:rPr>
              <w:t>2020年4月22日~28日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6" w:type="pct"/>
            <w:vAlign w:val="center"/>
          </w:tcPr>
          <w:p>
            <w:pPr>
              <w:pStyle w:val="42"/>
              <w:rPr>
                <w:sz w:val="18"/>
                <w:szCs w:val="18"/>
              </w:rPr>
            </w:pPr>
            <w:r>
              <w:rPr>
                <w:sz w:val="18"/>
                <w:szCs w:val="18"/>
              </w:rPr>
              <w:t>A</w:t>
            </w:r>
            <w:r>
              <w:rPr>
                <w:rFonts w:hint="eastAsia"/>
                <w:sz w:val="18"/>
                <w:szCs w:val="18"/>
              </w:rPr>
              <w:t>8</w:t>
            </w:r>
          </w:p>
        </w:tc>
        <w:tc>
          <w:tcPr>
            <w:tcW w:w="884" w:type="pct"/>
            <w:vAlign w:val="center"/>
          </w:tcPr>
          <w:p>
            <w:pPr>
              <w:pStyle w:val="42"/>
              <w:rPr>
                <w:sz w:val="18"/>
                <w:szCs w:val="18"/>
              </w:rPr>
            </w:pPr>
            <w:r>
              <w:rPr>
                <w:rFonts w:hint="eastAsia"/>
                <w:sz w:val="18"/>
                <w:szCs w:val="18"/>
              </w:rPr>
              <w:t>云天化聚甲醛项目位置附近</w:t>
            </w:r>
          </w:p>
        </w:tc>
        <w:tc>
          <w:tcPr>
            <w:tcW w:w="613" w:type="pct"/>
            <w:vAlign w:val="center"/>
          </w:tcPr>
          <w:p>
            <w:pPr>
              <w:pStyle w:val="42"/>
              <w:rPr>
                <w:sz w:val="18"/>
                <w:szCs w:val="18"/>
              </w:rPr>
            </w:pPr>
            <w:r>
              <w:rPr>
                <w:rFonts w:hint="eastAsia"/>
                <w:sz w:val="18"/>
                <w:szCs w:val="18"/>
              </w:rPr>
              <w:t>/</w:t>
            </w:r>
          </w:p>
        </w:tc>
        <w:tc>
          <w:tcPr>
            <w:tcW w:w="1663" w:type="pct"/>
            <w:vAlign w:val="center"/>
          </w:tcPr>
          <w:p>
            <w:pPr>
              <w:pStyle w:val="42"/>
              <w:rPr>
                <w:sz w:val="18"/>
                <w:szCs w:val="18"/>
              </w:rPr>
            </w:pPr>
            <w:r>
              <w:rPr>
                <w:rFonts w:hint="eastAsia"/>
                <w:sz w:val="18"/>
                <w:szCs w:val="18"/>
              </w:rPr>
              <w:t>氨</w:t>
            </w:r>
            <w:r>
              <w:rPr>
                <w:sz w:val="18"/>
                <w:szCs w:val="18"/>
              </w:rPr>
              <w:t>、非甲烷总烃</w:t>
            </w:r>
          </w:p>
        </w:tc>
        <w:tc>
          <w:tcPr>
            <w:tcW w:w="523" w:type="pct"/>
            <w:vAlign w:val="center"/>
          </w:tcPr>
          <w:p>
            <w:pPr>
              <w:pStyle w:val="42"/>
              <w:rPr>
                <w:sz w:val="18"/>
                <w:szCs w:val="18"/>
              </w:rPr>
            </w:pPr>
            <w:r>
              <w:rPr>
                <w:rFonts w:hint="eastAsia"/>
                <w:sz w:val="18"/>
                <w:szCs w:val="18"/>
              </w:rPr>
              <w:t>TVOC</w:t>
            </w:r>
          </w:p>
        </w:tc>
        <w:tc>
          <w:tcPr>
            <w:tcW w:w="921" w:type="pct"/>
            <w:vMerge w:val="continue"/>
            <w:vAlign w:val="center"/>
          </w:tcPr>
          <w:p>
            <w:pPr>
              <w:pStyle w:val="42"/>
              <w:rPr>
                <w:sz w:val="18"/>
                <w:szCs w:val="18"/>
              </w:rPr>
            </w:pPr>
          </w:p>
        </w:tc>
      </w:tr>
    </w:tbl>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监测时段和频次：监测点监测采样均按《环境空气质量标准》（GB3095-2012）要求进行，连续监测7天。氨、非甲烷总烃监测小时值；TVOC监测8小时评价值。</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评价方法：根据《环境影响评价技术导则大气环境》，可通过计算污染物的占标率对其进行现状评价，具体的计算公式如下：</w:t>
      </w:r>
    </w:p>
    <w:p>
      <w:pPr>
        <w:spacing w:before="156" w:after="156"/>
        <w:ind w:firstLine="480"/>
        <w:jc w:val="center"/>
      </w:pPr>
      <w:r>
        <w:t>P</w:t>
      </w:r>
      <w:r>
        <w:rPr>
          <w:vertAlign w:val="subscript"/>
        </w:rPr>
        <w:t>i</w:t>
      </w:r>
      <w:r>
        <w:t>=C</w:t>
      </w:r>
      <w:r>
        <w:rPr>
          <w:vertAlign w:val="subscript"/>
        </w:rPr>
        <w:t>i</w:t>
      </w:r>
      <w:r>
        <w:t>/C</w:t>
      </w:r>
      <w:r>
        <w:rPr>
          <w:vertAlign w:val="subscript"/>
        </w:rPr>
        <w:t>0i</w:t>
      </w:r>
      <w:r>
        <w:t>×100%</w:t>
      </w:r>
    </w:p>
    <w:p>
      <w:pPr>
        <w:ind w:firstLine="480"/>
      </w:pPr>
      <w:r>
        <w:rPr>
          <w:rFonts w:hint="eastAsia"/>
        </w:rPr>
        <w:t>式中：</w:t>
      </w:r>
    </w:p>
    <w:p>
      <w:pPr>
        <w:ind w:firstLine="480"/>
      </w:pPr>
      <w:r>
        <w:rPr>
          <w:rFonts w:hint="eastAsia"/>
        </w:rPr>
        <w:t>P</w:t>
      </w:r>
      <w:r>
        <w:rPr>
          <w:rFonts w:hint="eastAsia"/>
          <w:vertAlign w:val="subscript"/>
        </w:rPr>
        <w:t>i</w:t>
      </w:r>
      <w:r>
        <w:rPr>
          <w:rFonts w:hint="eastAsia"/>
        </w:rPr>
        <w:t>—第i个污染物的地面浓度占标率，%；</w:t>
      </w:r>
    </w:p>
    <w:p>
      <w:pPr>
        <w:ind w:firstLine="480"/>
      </w:pPr>
      <w:r>
        <w:rPr>
          <w:rFonts w:hint="eastAsia"/>
        </w:rPr>
        <w:t>C</w:t>
      </w:r>
      <w:r>
        <w:rPr>
          <w:rFonts w:hint="eastAsia"/>
          <w:vertAlign w:val="subscript"/>
        </w:rPr>
        <w:t>i</w:t>
      </w:r>
      <w:r>
        <w:rPr>
          <w:rFonts w:hint="eastAsia"/>
        </w:rPr>
        <w:t>—第i个污染物的实测浓度(mg/m</w:t>
      </w:r>
      <w:r>
        <w:rPr>
          <w:rFonts w:hint="eastAsia"/>
          <w:vertAlign w:val="superscript"/>
        </w:rPr>
        <w:t>3</w:t>
      </w:r>
      <w:r>
        <w:rPr>
          <w:rFonts w:hint="eastAsia"/>
        </w:rPr>
        <w:t>)；</w:t>
      </w:r>
    </w:p>
    <w:p>
      <w:pPr>
        <w:ind w:firstLine="480"/>
      </w:pPr>
      <w:r>
        <w:rPr>
          <w:rFonts w:hint="eastAsia"/>
        </w:rPr>
        <w:t>C</w:t>
      </w:r>
      <w:r>
        <w:rPr>
          <w:rFonts w:hint="eastAsia"/>
          <w:vertAlign w:val="subscript"/>
        </w:rPr>
        <w:t>0i</w:t>
      </w:r>
      <w:r>
        <w:rPr>
          <w:rFonts w:hint="eastAsia"/>
        </w:rPr>
        <w:t>—第i个污染物的环境空气质量标准(mg/m</w:t>
      </w:r>
      <w:r>
        <w:rPr>
          <w:rFonts w:hint="eastAsia"/>
          <w:vertAlign w:val="superscript"/>
        </w:rPr>
        <w:t>3</w:t>
      </w:r>
      <w:r>
        <w:rPr>
          <w:rFonts w:hint="eastAsia"/>
        </w:rPr>
        <w:t>)。</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监测结果及现状评价分析：环境空气质量现状监测结果及现状评价分析详见下表4.4-3。</w:t>
      </w:r>
    </w:p>
    <w:p>
      <w:pPr>
        <w:ind w:firstLine="480"/>
      </w:pPr>
      <w:r>
        <w:rPr>
          <w:rFonts w:hint="eastAsia"/>
        </w:rPr>
        <w:t>由表4.4-3可知，项目所在地各监测点的氨小时平均值浓度值和TVOC8小时平均值均满足《环境影响评价技术导则大气环境》（HJ/2.2-2018）附录D浓度参考限值；非甲烷总烃小时平均浓度监测结果满足《环境空气质量非甲烷总烃限值》（DB13/1577-2012）要求。项目所在地环境空气质量现状较好。</w:t>
      </w:r>
    </w:p>
    <w:p>
      <w:pPr>
        <w:pStyle w:val="4"/>
        <w:spacing w:before="156" w:after="156"/>
      </w:pPr>
      <w:bookmarkStart w:id="109" w:name="_Toc84844281"/>
      <w:r>
        <w:rPr>
          <w:rFonts w:hint="eastAsia"/>
        </w:rPr>
        <w:t>4.4.2地表水环境质量现状评价</w:t>
      </w:r>
      <w:bookmarkEnd w:id="109"/>
    </w:p>
    <w:p>
      <w:pPr>
        <w:ind w:firstLine="480"/>
      </w:pPr>
      <w:r>
        <w:rPr>
          <w:rFonts w:hint="eastAsia"/>
        </w:rPr>
        <w:t>拟建项目位于重庆（长寿）经济技术开发区内，根据工程特点和地理位置，地表水环境质量现状评价采用3年内所在区域已有有效监测数据进行分析。</w:t>
      </w:r>
    </w:p>
    <w:p>
      <w:pPr>
        <w:ind w:firstLine="480"/>
      </w:pPr>
      <w:r>
        <w:rPr>
          <w:rFonts w:hint="eastAsia"/>
        </w:rPr>
        <w:t>本次评价引用《监测报告》（渝环（监）字[2020]第PJ1-1号）中1#扇沱断面和2#三峡水务长寿排水公司排口下游长江大桥附近断面进行区域地表水环境质量现状评价。</w:t>
      </w:r>
    </w:p>
    <w:p>
      <w:pPr>
        <w:ind w:firstLine="480"/>
      </w:pPr>
      <w:r>
        <w:rPr>
          <w:rFonts w:hint="eastAsia"/>
        </w:rPr>
        <w:t>本评价引用监测断面均在拟建项目评价范围内，监测时间为2020年6月，监测时间至今区域内尚没有新增排放同类污染物的较大污染源，地表水环境质量现状变化不大。因此，本次评价引用监测数据能反应区域内地表水环境质量现状，地表水监测资料引用合理可行。</w:t>
      </w:r>
    </w:p>
    <w:p>
      <w:pPr>
        <w:ind w:firstLine="480"/>
      </w:pPr>
      <w:r>
        <w:rPr>
          <w:rFonts w:hint="eastAsia"/>
        </w:rPr>
        <w:t>①监测断面：1#扇沱断面，2#三峡水务长寿排水公司排口下游长江大桥附近断面。具体详见监测布点图。</w:t>
      </w:r>
    </w:p>
    <w:p>
      <w:pPr>
        <w:ind w:firstLine="480"/>
      </w:pPr>
      <w:r>
        <w:rPr>
          <w:rFonts w:hint="eastAsia"/>
        </w:rPr>
        <w:t>②监测时间和监测频次：2020年6月，连续监测3天，每天监测1次。</w:t>
      </w:r>
    </w:p>
    <w:p>
      <w:pPr>
        <w:ind w:firstLine="480"/>
      </w:pPr>
      <w:r>
        <w:rPr>
          <w:rFonts w:hint="eastAsia"/>
        </w:rPr>
        <w:t>③监测项目：水温、pH、COD、BOD</w:t>
      </w:r>
      <w:r>
        <w:rPr>
          <w:rFonts w:hint="eastAsia"/>
          <w:vertAlign w:val="subscript"/>
        </w:rPr>
        <w:t>5</w:t>
      </w:r>
      <w:r>
        <w:rPr>
          <w:rFonts w:hint="eastAsia"/>
        </w:rPr>
        <w:t>、NH</w:t>
      </w:r>
      <w:r>
        <w:rPr>
          <w:rFonts w:hint="eastAsia"/>
          <w:vertAlign w:val="subscript"/>
        </w:rPr>
        <w:t>3</w:t>
      </w:r>
      <w:r>
        <w:rPr>
          <w:rFonts w:hint="eastAsia"/>
        </w:rPr>
        <w:t>-N、总磷、总氮、石油类。</w:t>
      </w:r>
    </w:p>
    <w:p>
      <w:pPr>
        <w:ind w:firstLine="480"/>
      </w:pPr>
      <w:r>
        <w:rPr>
          <w:rFonts w:hint="eastAsia"/>
        </w:rPr>
        <w:t>④评价方法：根据《环境影响评价技术导则 地表水环境》（HJ 2.3-2018），地表水环境质量现状评价，采用水质指数法评价方法。</w:t>
      </w:r>
    </w:p>
    <w:p>
      <w:pPr>
        <w:ind w:firstLine="480"/>
      </w:pPr>
      <w:r>
        <w:rPr>
          <w:rFonts w:hint="eastAsia"/>
        </w:rPr>
        <w:t>一般性水质因子的指数计算公式：</w:t>
      </w:r>
    </w:p>
    <w:p>
      <w:pPr>
        <w:spacing w:before="120" w:after="120"/>
        <w:ind w:firstLine="480"/>
        <w:jc w:val="center"/>
      </w:pPr>
      <w:r>
        <w:t>S</w:t>
      </w:r>
      <w:r>
        <w:rPr>
          <w:i/>
          <w:vertAlign w:val="subscript"/>
        </w:rPr>
        <w:t>i,j</w:t>
      </w:r>
      <w:r>
        <w:t>=C</w:t>
      </w:r>
      <w:r>
        <w:rPr>
          <w:i/>
          <w:vertAlign w:val="subscript"/>
        </w:rPr>
        <w:t>i,j</w:t>
      </w:r>
      <w:r>
        <w:t>/C</w:t>
      </w:r>
      <w:r>
        <w:rPr>
          <w:i/>
          <w:vertAlign w:val="subscript"/>
        </w:rPr>
        <w:t>si</w:t>
      </w:r>
    </w:p>
    <w:p>
      <w:pPr>
        <w:ind w:firstLine="480"/>
      </w:pPr>
      <w:r>
        <w:rPr>
          <w:rFonts w:hint="eastAsia"/>
        </w:rPr>
        <w:t>式中：</w:t>
      </w:r>
    </w:p>
    <w:p>
      <w:pPr>
        <w:ind w:firstLine="480"/>
      </w:pPr>
      <w:r>
        <w:rPr>
          <w:rFonts w:hint="eastAsia"/>
        </w:rPr>
        <w:t>S</w:t>
      </w:r>
      <w:r>
        <w:rPr>
          <w:rFonts w:hint="eastAsia"/>
          <w:vertAlign w:val="subscript"/>
        </w:rPr>
        <w:t>i,j</w:t>
      </w:r>
      <w:r>
        <w:rPr>
          <w:rFonts w:hint="eastAsia"/>
        </w:rPr>
        <w:t>—评价因子i的水质指数，大于1表明该水质因子超标；</w:t>
      </w:r>
    </w:p>
    <w:p>
      <w:pPr>
        <w:ind w:firstLine="480"/>
      </w:pPr>
      <w:r>
        <w:rPr>
          <w:rFonts w:hint="eastAsia"/>
        </w:rPr>
        <w:t>C</w:t>
      </w:r>
      <w:r>
        <w:rPr>
          <w:rFonts w:hint="eastAsia"/>
          <w:vertAlign w:val="subscript"/>
        </w:rPr>
        <w:t>i,j</w:t>
      </w:r>
      <w:r>
        <w:rPr>
          <w:rFonts w:hint="eastAsia"/>
        </w:rPr>
        <w:t>—评价因子i在j点的实测统计代表值，mg/L；</w:t>
      </w:r>
    </w:p>
    <w:p>
      <w:pPr>
        <w:ind w:firstLine="480"/>
      </w:pPr>
      <w:r>
        <w:rPr>
          <w:rFonts w:hint="eastAsia"/>
        </w:rPr>
        <w:t>Csi—评价因子i的水质评价标准限值，mg/L。</w:t>
      </w:r>
    </w:p>
    <w:p>
      <w:pPr>
        <w:ind w:firstLine="480"/>
      </w:pPr>
      <w:r>
        <w:rPr>
          <w:rFonts w:hint="eastAsia"/>
        </w:rPr>
        <w:t>pH值的指数计算公式：</w:t>
      </w:r>
    </w:p>
    <w:p>
      <w:pPr>
        <w:pStyle w:val="41"/>
      </w:pPr>
      <w:r>
        <w:object>
          <v:shape id="_x0000_i1026" o:spt="75" type="#_x0000_t75" style="height:37.35pt;width:86.95pt;" o:ole="t" filled="f" coordsize="21600,21600">
            <v:path/>
            <v:fill on="f" focussize="0,0"/>
            <v:stroke/>
            <v:imagedata r:id="rId55" o:title=""/>
            <o:lock v:ext="edit" aspectratio="t"/>
            <w10:wrap type="none"/>
            <w10:anchorlock/>
          </v:shape>
          <o:OLEObject Type="Embed" ProgID="Equation.3" ShapeID="_x0000_i1026" DrawAspect="Content" ObjectID="_1468075726" r:id="rId54">
            <o:LockedField>false</o:LockedField>
          </o:OLEObject>
        </w:object>
      </w:r>
      <w:r>
        <w:rPr>
          <w:rFonts w:hint="eastAsia"/>
        </w:rPr>
        <w:t xml:space="preserve">         </w:t>
      </w:r>
      <w:r>
        <w:t xml:space="preserve"> pH</w:t>
      </w:r>
      <w:r>
        <w:rPr>
          <w:vertAlign w:val="subscript"/>
        </w:rPr>
        <w:t>j</w:t>
      </w:r>
      <w:r>
        <w:t>＞7.0</w:t>
      </w:r>
    </w:p>
    <w:p>
      <w:pPr>
        <w:pStyle w:val="41"/>
      </w:pPr>
      <w:r>
        <w:object>
          <v:shape id="_x0000_i1027" o:spt="75" type="#_x0000_t75" style="height:37.35pt;width:88.3pt;" o:ole="t" filled="f" coordsize="21600,21600">
            <v:path/>
            <v:fill on="f" focussize="0,0"/>
            <v:stroke/>
            <v:imagedata r:id="rId57" o:title=""/>
            <o:lock v:ext="edit" aspectratio="t"/>
            <w10:wrap type="none"/>
            <w10:anchorlock/>
          </v:shape>
          <o:OLEObject Type="Embed" ProgID="Equation.3" ShapeID="_x0000_i1027" DrawAspect="Content" ObjectID="_1468075727" r:id="rId56">
            <o:LockedField>false</o:LockedField>
          </o:OLEObject>
        </w:object>
      </w:r>
      <w:r>
        <w:rPr>
          <w:rFonts w:hint="eastAsia"/>
        </w:rPr>
        <w:t xml:space="preserve">         </w:t>
      </w:r>
      <w:r>
        <w:t>pH</w:t>
      </w:r>
      <w:r>
        <w:rPr>
          <w:vertAlign w:val="subscript"/>
        </w:rPr>
        <w:t>j</w:t>
      </w:r>
      <w:r>
        <w:t>≤7.0</w:t>
      </w:r>
    </w:p>
    <w:p>
      <w:pPr>
        <w:ind w:firstLine="480"/>
      </w:pPr>
      <w:r>
        <w:rPr>
          <w:rFonts w:hint="eastAsia"/>
        </w:rPr>
        <w:t>式中：</w:t>
      </w:r>
    </w:p>
    <w:p>
      <w:pPr>
        <w:ind w:firstLine="480"/>
      </w:pPr>
      <w:r>
        <w:rPr>
          <w:rFonts w:hint="eastAsia"/>
        </w:rPr>
        <w:t>S</w:t>
      </w:r>
      <w:r>
        <w:rPr>
          <w:rFonts w:hint="eastAsia"/>
          <w:vertAlign w:val="subscript"/>
        </w:rPr>
        <w:t>pH</w:t>
      </w:r>
      <w:r>
        <w:rPr>
          <w:rFonts w:hint="eastAsia"/>
        </w:rPr>
        <w:t>—pH的指数，大于1表明该水质因子超标；</w:t>
      </w:r>
    </w:p>
    <w:p>
      <w:pPr>
        <w:ind w:firstLine="480"/>
      </w:pPr>
      <w:r>
        <w:rPr>
          <w:rFonts w:hint="eastAsia"/>
        </w:rPr>
        <w:t>pH</w:t>
      </w:r>
      <w:r>
        <w:rPr>
          <w:rFonts w:hint="eastAsia"/>
          <w:vertAlign w:val="subscript"/>
        </w:rPr>
        <w:t>j</w:t>
      </w:r>
      <w:r>
        <w:rPr>
          <w:rFonts w:hint="eastAsia"/>
        </w:rPr>
        <w:t>—pH值实测统计代表值；</w:t>
      </w:r>
    </w:p>
    <w:p>
      <w:pPr>
        <w:ind w:firstLine="480"/>
      </w:pPr>
      <w:r>
        <w:rPr>
          <w:rFonts w:hint="eastAsia"/>
        </w:rPr>
        <w:t>pH</w:t>
      </w:r>
      <w:r>
        <w:rPr>
          <w:rFonts w:hint="eastAsia"/>
          <w:vertAlign w:val="subscript"/>
        </w:rPr>
        <w:t>su</w:t>
      </w:r>
      <w:r>
        <w:rPr>
          <w:rFonts w:hint="eastAsia"/>
        </w:rPr>
        <w:t>—评价标准中pH的上限值；</w:t>
      </w:r>
    </w:p>
    <w:p>
      <w:pPr>
        <w:ind w:firstLine="480"/>
      </w:pPr>
      <w:r>
        <w:rPr>
          <w:rFonts w:hint="eastAsia"/>
        </w:rPr>
        <w:t>pH</w:t>
      </w:r>
      <w:r>
        <w:rPr>
          <w:rFonts w:hint="eastAsia"/>
          <w:vertAlign w:val="subscript"/>
        </w:rPr>
        <w:t>sd</w:t>
      </w:r>
      <w:r>
        <w:rPr>
          <w:rFonts w:hint="eastAsia"/>
        </w:rPr>
        <w:t xml:space="preserve">—评价标准中pH的下限值。 </w:t>
      </w:r>
    </w:p>
    <w:p>
      <w:pPr>
        <w:ind w:firstLine="480"/>
      </w:pPr>
      <w:r>
        <w:rPr>
          <w:rFonts w:hint="eastAsia"/>
        </w:rPr>
        <w:t>⑤环境质量现状分析及评价</w:t>
      </w:r>
    </w:p>
    <w:p>
      <w:pPr>
        <w:ind w:firstLine="480"/>
      </w:pPr>
      <w:r>
        <w:rPr>
          <w:rFonts w:hint="eastAsia"/>
        </w:rPr>
        <w:t>监测及评价结果统计见表4.4-5。</w:t>
      </w:r>
    </w:p>
    <w:p>
      <w:pPr>
        <w:ind w:firstLine="480"/>
        <w:sectPr>
          <w:pgSz w:w="11906" w:h="16838"/>
          <w:pgMar w:top="1440" w:right="1800" w:bottom="1440" w:left="1800" w:header="851" w:footer="992" w:gutter="0"/>
          <w:cols w:space="425" w:num="1"/>
          <w:docGrid w:type="lines" w:linePitch="312" w:charSpace="0"/>
        </w:sectPr>
      </w:pPr>
      <w:r>
        <w:rPr>
          <w:rFonts w:hint="eastAsia"/>
        </w:rPr>
        <w:t>由统计表4.4-4可知，1#扇沱断面和2#三峡水务长寿排水公司排口下游长江大桥附近断面各项监测指标S</w:t>
      </w:r>
      <w:r>
        <w:rPr>
          <w:rFonts w:hint="eastAsia"/>
          <w:vertAlign w:val="subscript"/>
        </w:rPr>
        <w:t>i</w:t>
      </w:r>
      <w:r>
        <w:rPr>
          <w:rFonts w:hint="eastAsia"/>
        </w:rPr>
        <w:t>值均小于1，满足《地表水环境质量标准》（GB3838-2002）III标准的要求。各监测断面均有一定的环境容量。</w:t>
      </w:r>
    </w:p>
    <w:p>
      <w:pPr>
        <w:pStyle w:val="41"/>
      </w:pPr>
      <w:r>
        <w:rPr>
          <w:rFonts w:hint="eastAsia"/>
        </w:rPr>
        <w:t>表4.4-3 环境空气质量监测结果统计表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179"/>
        <w:gridCol w:w="1393"/>
        <w:gridCol w:w="1244"/>
        <w:gridCol w:w="1954"/>
        <w:gridCol w:w="2367"/>
        <w:gridCol w:w="1668"/>
        <w:gridCol w:w="1259"/>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155" w:type="dxa"/>
            <w:shd w:val="clear" w:color="auto" w:fill="auto"/>
            <w:vAlign w:val="center"/>
          </w:tcPr>
          <w:p>
            <w:pPr>
              <w:pStyle w:val="42"/>
            </w:pPr>
            <w:r>
              <w:t>点位名称</w:t>
            </w:r>
          </w:p>
        </w:tc>
        <w:tc>
          <w:tcPr>
            <w:tcW w:w="2179" w:type="dxa"/>
            <w:shd w:val="clear" w:color="auto" w:fill="auto"/>
            <w:vAlign w:val="center"/>
          </w:tcPr>
          <w:p>
            <w:pPr>
              <w:pStyle w:val="42"/>
            </w:pPr>
            <w:r>
              <w:t>监测点坐标</w:t>
            </w:r>
          </w:p>
        </w:tc>
        <w:tc>
          <w:tcPr>
            <w:tcW w:w="1393" w:type="dxa"/>
            <w:shd w:val="clear" w:color="auto" w:fill="auto"/>
            <w:vAlign w:val="center"/>
          </w:tcPr>
          <w:p>
            <w:pPr>
              <w:pStyle w:val="42"/>
            </w:pPr>
            <w:r>
              <w:t>污染物</w:t>
            </w:r>
          </w:p>
        </w:tc>
        <w:tc>
          <w:tcPr>
            <w:tcW w:w="1244" w:type="dxa"/>
            <w:shd w:val="clear" w:color="auto" w:fill="auto"/>
            <w:vAlign w:val="center"/>
          </w:tcPr>
          <w:p>
            <w:pPr>
              <w:pStyle w:val="42"/>
            </w:pPr>
            <w:r>
              <w:t>年评价指标</w:t>
            </w:r>
          </w:p>
        </w:tc>
        <w:tc>
          <w:tcPr>
            <w:tcW w:w="1954" w:type="dxa"/>
            <w:shd w:val="clear" w:color="auto" w:fill="auto"/>
            <w:vAlign w:val="center"/>
          </w:tcPr>
          <w:p>
            <w:pPr>
              <w:pStyle w:val="42"/>
            </w:pPr>
            <w:r>
              <w:t>评价标准（mg/m</w:t>
            </w:r>
            <w:r>
              <w:rPr>
                <w:vertAlign w:val="superscript"/>
              </w:rPr>
              <w:t>3</w:t>
            </w:r>
            <w:r>
              <w:t>）</w:t>
            </w:r>
          </w:p>
        </w:tc>
        <w:tc>
          <w:tcPr>
            <w:tcW w:w="2367" w:type="dxa"/>
            <w:shd w:val="clear" w:color="auto" w:fill="auto"/>
            <w:vAlign w:val="center"/>
          </w:tcPr>
          <w:p>
            <w:pPr>
              <w:pStyle w:val="42"/>
            </w:pPr>
            <w:r>
              <w:t>现状浓度（mg/m</w:t>
            </w:r>
            <w:r>
              <w:rPr>
                <w:vertAlign w:val="superscript"/>
              </w:rPr>
              <w:t>3</w:t>
            </w:r>
            <w:r>
              <w:t>）</w:t>
            </w:r>
          </w:p>
        </w:tc>
        <w:tc>
          <w:tcPr>
            <w:tcW w:w="1668" w:type="dxa"/>
            <w:shd w:val="clear" w:color="auto" w:fill="auto"/>
            <w:vAlign w:val="center"/>
          </w:tcPr>
          <w:p>
            <w:pPr>
              <w:pStyle w:val="42"/>
            </w:pPr>
            <w:r>
              <w:t>最大浓度占标率（%）</w:t>
            </w:r>
          </w:p>
        </w:tc>
        <w:tc>
          <w:tcPr>
            <w:tcW w:w="1259" w:type="dxa"/>
            <w:shd w:val="clear" w:color="auto" w:fill="auto"/>
            <w:vAlign w:val="center"/>
          </w:tcPr>
          <w:p>
            <w:pPr>
              <w:pStyle w:val="42"/>
            </w:pPr>
            <w:r>
              <w:t>超标率（%）</w:t>
            </w:r>
          </w:p>
        </w:tc>
        <w:tc>
          <w:tcPr>
            <w:tcW w:w="729" w:type="dxa"/>
            <w:shd w:val="clear" w:color="auto" w:fill="auto"/>
            <w:vAlign w:val="center"/>
          </w:tcPr>
          <w:p>
            <w:pPr>
              <w:pStyle w:val="42"/>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155" w:type="dxa"/>
            <w:vMerge w:val="restart"/>
            <w:shd w:val="clear" w:color="auto" w:fill="auto"/>
            <w:vAlign w:val="center"/>
          </w:tcPr>
          <w:p>
            <w:pPr>
              <w:pStyle w:val="42"/>
            </w:pPr>
            <w:r>
              <w:rPr>
                <w:rFonts w:hint="eastAsia"/>
              </w:rPr>
              <w:t>A8云天化聚甲醛项目位置附近</w:t>
            </w:r>
          </w:p>
        </w:tc>
        <w:tc>
          <w:tcPr>
            <w:tcW w:w="2179" w:type="dxa"/>
            <w:vMerge w:val="restart"/>
            <w:shd w:val="clear" w:color="auto" w:fill="auto"/>
            <w:vAlign w:val="center"/>
          </w:tcPr>
          <w:p>
            <w:pPr>
              <w:pStyle w:val="42"/>
            </w:pPr>
            <w:r>
              <w:rPr>
                <w:rFonts w:eastAsiaTheme="minorEastAsia"/>
              </w:rPr>
              <w:t>N29.8</w:t>
            </w:r>
            <w:r>
              <w:rPr>
                <w:rFonts w:hint="eastAsia" w:eastAsiaTheme="minorEastAsia"/>
              </w:rPr>
              <w:t>09984，</w:t>
            </w:r>
            <w:r>
              <w:rPr>
                <w:rFonts w:eastAsiaTheme="minorEastAsia"/>
              </w:rPr>
              <w:t>E106.99</w:t>
            </w:r>
            <w:r>
              <w:rPr>
                <w:rFonts w:hint="eastAsia" w:eastAsiaTheme="minorEastAsia"/>
              </w:rPr>
              <w:t>8274</w:t>
            </w:r>
          </w:p>
        </w:tc>
        <w:tc>
          <w:tcPr>
            <w:tcW w:w="1393" w:type="dxa"/>
            <w:shd w:val="clear" w:color="auto" w:fill="auto"/>
            <w:vAlign w:val="center"/>
          </w:tcPr>
          <w:p>
            <w:pPr>
              <w:pStyle w:val="42"/>
            </w:pPr>
            <w:r>
              <w:rPr>
                <w:rFonts w:hint="eastAsia"/>
              </w:rPr>
              <w:t>氨</w:t>
            </w:r>
          </w:p>
        </w:tc>
        <w:tc>
          <w:tcPr>
            <w:tcW w:w="1244" w:type="dxa"/>
            <w:shd w:val="clear" w:color="auto" w:fill="auto"/>
            <w:vAlign w:val="center"/>
          </w:tcPr>
          <w:p>
            <w:pPr>
              <w:pStyle w:val="42"/>
            </w:pPr>
            <w:r>
              <w:t>小时值</w:t>
            </w:r>
          </w:p>
        </w:tc>
        <w:tc>
          <w:tcPr>
            <w:tcW w:w="1954" w:type="dxa"/>
            <w:shd w:val="clear" w:color="auto" w:fill="auto"/>
            <w:vAlign w:val="center"/>
          </w:tcPr>
          <w:p>
            <w:pPr>
              <w:pStyle w:val="42"/>
            </w:pPr>
            <w:r>
              <w:rPr>
                <w:rFonts w:hint="eastAsia"/>
              </w:rPr>
              <w:t>0.2</w:t>
            </w:r>
          </w:p>
        </w:tc>
        <w:tc>
          <w:tcPr>
            <w:tcW w:w="2367" w:type="dxa"/>
            <w:shd w:val="clear" w:color="auto" w:fill="auto"/>
            <w:vAlign w:val="center"/>
          </w:tcPr>
          <w:p>
            <w:pPr>
              <w:pStyle w:val="42"/>
            </w:pPr>
            <w:r>
              <w:rPr>
                <w:rFonts w:hint="eastAsia"/>
              </w:rPr>
              <w:t>3.68</w:t>
            </w:r>
            <w:r>
              <w:rPr>
                <w:rFonts w:hint="eastAsia" w:ascii="宋体" w:hAnsi="宋体"/>
              </w:rPr>
              <w:t>×</w:t>
            </w:r>
            <w:r>
              <w:rPr>
                <w:rFonts w:hint="eastAsia"/>
              </w:rPr>
              <w:t>10</w:t>
            </w:r>
            <w:r>
              <w:rPr>
                <w:rFonts w:hint="eastAsia"/>
                <w:vertAlign w:val="superscript"/>
              </w:rPr>
              <w:t>-2</w:t>
            </w:r>
            <w:r>
              <w:rPr>
                <w:rFonts w:hint="eastAsia"/>
              </w:rPr>
              <w:t>~6.34</w:t>
            </w:r>
            <w:r>
              <w:rPr>
                <w:rFonts w:hint="eastAsia" w:ascii="宋体" w:hAnsi="宋体"/>
              </w:rPr>
              <w:t>×</w:t>
            </w:r>
            <w:r>
              <w:rPr>
                <w:rFonts w:hint="eastAsia"/>
              </w:rPr>
              <w:t>10</w:t>
            </w:r>
            <w:r>
              <w:rPr>
                <w:rFonts w:hint="eastAsia"/>
                <w:vertAlign w:val="superscript"/>
              </w:rPr>
              <w:t>-2</w:t>
            </w:r>
          </w:p>
        </w:tc>
        <w:tc>
          <w:tcPr>
            <w:tcW w:w="1668" w:type="dxa"/>
            <w:shd w:val="clear" w:color="auto" w:fill="auto"/>
            <w:vAlign w:val="center"/>
          </w:tcPr>
          <w:p>
            <w:pPr>
              <w:pStyle w:val="42"/>
            </w:pPr>
            <w:r>
              <w:rPr>
                <w:rFonts w:hint="eastAsia"/>
              </w:rPr>
              <w:t>31.7</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55" w:type="dxa"/>
            <w:vMerge w:val="continue"/>
            <w:shd w:val="clear" w:color="auto" w:fill="auto"/>
            <w:vAlign w:val="center"/>
          </w:tcPr>
          <w:p>
            <w:pPr>
              <w:pStyle w:val="42"/>
            </w:pPr>
          </w:p>
        </w:tc>
        <w:tc>
          <w:tcPr>
            <w:tcW w:w="2179" w:type="dxa"/>
            <w:vMerge w:val="continue"/>
            <w:shd w:val="clear" w:color="auto" w:fill="auto"/>
            <w:vAlign w:val="center"/>
          </w:tcPr>
          <w:p>
            <w:pPr>
              <w:pStyle w:val="42"/>
            </w:pPr>
          </w:p>
        </w:tc>
        <w:tc>
          <w:tcPr>
            <w:tcW w:w="1393" w:type="dxa"/>
            <w:shd w:val="clear" w:color="auto" w:fill="auto"/>
            <w:vAlign w:val="center"/>
          </w:tcPr>
          <w:p>
            <w:pPr>
              <w:pStyle w:val="42"/>
            </w:pPr>
            <w:r>
              <w:t>非甲烷总烃</w:t>
            </w:r>
          </w:p>
        </w:tc>
        <w:tc>
          <w:tcPr>
            <w:tcW w:w="1244" w:type="dxa"/>
            <w:shd w:val="clear" w:color="auto" w:fill="auto"/>
            <w:vAlign w:val="center"/>
          </w:tcPr>
          <w:p>
            <w:pPr>
              <w:pStyle w:val="42"/>
            </w:pPr>
            <w:r>
              <w:t>小时值</w:t>
            </w:r>
          </w:p>
        </w:tc>
        <w:tc>
          <w:tcPr>
            <w:tcW w:w="1954" w:type="dxa"/>
            <w:shd w:val="clear" w:color="auto" w:fill="auto"/>
            <w:vAlign w:val="center"/>
          </w:tcPr>
          <w:p>
            <w:pPr>
              <w:pStyle w:val="42"/>
            </w:pPr>
            <w:r>
              <w:t>2.0</w:t>
            </w:r>
          </w:p>
        </w:tc>
        <w:tc>
          <w:tcPr>
            <w:tcW w:w="2367" w:type="dxa"/>
            <w:shd w:val="clear" w:color="auto" w:fill="auto"/>
            <w:vAlign w:val="center"/>
          </w:tcPr>
          <w:p>
            <w:pPr>
              <w:pStyle w:val="42"/>
            </w:pPr>
            <w:r>
              <w:rPr>
                <w:rFonts w:hint="eastAsia"/>
              </w:rPr>
              <w:t>0.41~0.62</w:t>
            </w:r>
          </w:p>
        </w:tc>
        <w:tc>
          <w:tcPr>
            <w:tcW w:w="1668" w:type="dxa"/>
            <w:shd w:val="clear" w:color="auto" w:fill="auto"/>
            <w:vAlign w:val="center"/>
          </w:tcPr>
          <w:p>
            <w:pPr>
              <w:pStyle w:val="42"/>
            </w:pPr>
            <w:r>
              <w:rPr>
                <w:rFonts w:hint="eastAsia"/>
              </w:rPr>
              <w:t>31.0</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55" w:type="dxa"/>
            <w:vMerge w:val="continue"/>
            <w:shd w:val="clear" w:color="auto" w:fill="auto"/>
            <w:vAlign w:val="center"/>
          </w:tcPr>
          <w:p>
            <w:pPr>
              <w:pStyle w:val="42"/>
            </w:pPr>
          </w:p>
        </w:tc>
        <w:tc>
          <w:tcPr>
            <w:tcW w:w="2179" w:type="dxa"/>
            <w:vMerge w:val="continue"/>
            <w:shd w:val="clear" w:color="auto" w:fill="auto"/>
            <w:vAlign w:val="center"/>
          </w:tcPr>
          <w:p>
            <w:pPr>
              <w:pStyle w:val="42"/>
            </w:pPr>
          </w:p>
        </w:tc>
        <w:tc>
          <w:tcPr>
            <w:tcW w:w="1393" w:type="dxa"/>
            <w:shd w:val="clear" w:color="auto" w:fill="auto"/>
            <w:vAlign w:val="center"/>
          </w:tcPr>
          <w:p>
            <w:pPr>
              <w:pStyle w:val="42"/>
            </w:pPr>
            <w:r>
              <w:t>TVOC</w:t>
            </w:r>
          </w:p>
        </w:tc>
        <w:tc>
          <w:tcPr>
            <w:tcW w:w="1244" w:type="dxa"/>
            <w:shd w:val="clear" w:color="auto" w:fill="auto"/>
            <w:vAlign w:val="center"/>
          </w:tcPr>
          <w:p>
            <w:pPr>
              <w:pStyle w:val="42"/>
            </w:pPr>
            <w:r>
              <w:t>8小时平均</w:t>
            </w:r>
          </w:p>
        </w:tc>
        <w:tc>
          <w:tcPr>
            <w:tcW w:w="1954" w:type="dxa"/>
            <w:shd w:val="clear" w:color="auto" w:fill="auto"/>
            <w:vAlign w:val="center"/>
          </w:tcPr>
          <w:p>
            <w:pPr>
              <w:pStyle w:val="42"/>
            </w:pPr>
            <w:r>
              <w:t>0.6</w:t>
            </w:r>
          </w:p>
        </w:tc>
        <w:tc>
          <w:tcPr>
            <w:tcW w:w="2367" w:type="dxa"/>
            <w:shd w:val="clear" w:color="auto" w:fill="auto"/>
            <w:vAlign w:val="center"/>
          </w:tcPr>
          <w:p>
            <w:pPr>
              <w:pStyle w:val="42"/>
            </w:pPr>
            <w:r>
              <w:rPr>
                <w:rFonts w:hint="eastAsia"/>
              </w:rPr>
              <w:t>0.106~0.404</w:t>
            </w:r>
          </w:p>
        </w:tc>
        <w:tc>
          <w:tcPr>
            <w:tcW w:w="1668" w:type="dxa"/>
            <w:shd w:val="clear" w:color="auto" w:fill="auto"/>
            <w:vAlign w:val="center"/>
          </w:tcPr>
          <w:p>
            <w:pPr>
              <w:pStyle w:val="42"/>
            </w:pPr>
            <w:r>
              <w:rPr>
                <w:rFonts w:hint="eastAsia"/>
              </w:rPr>
              <w:t>67.33</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55" w:type="dxa"/>
            <w:vMerge w:val="restart"/>
            <w:shd w:val="clear" w:color="auto" w:fill="auto"/>
            <w:vAlign w:val="center"/>
          </w:tcPr>
          <w:p>
            <w:pPr>
              <w:pStyle w:val="42"/>
            </w:pPr>
            <w:r>
              <w:rPr>
                <w:rFonts w:hint="eastAsia"/>
              </w:rPr>
              <w:t>A4管委会办公区对面附近</w:t>
            </w:r>
          </w:p>
        </w:tc>
        <w:tc>
          <w:tcPr>
            <w:tcW w:w="2179" w:type="dxa"/>
            <w:vMerge w:val="restart"/>
            <w:shd w:val="clear" w:color="auto" w:fill="auto"/>
            <w:vAlign w:val="center"/>
          </w:tcPr>
          <w:p>
            <w:pPr>
              <w:pStyle w:val="42"/>
            </w:pPr>
            <w:r>
              <w:rPr>
                <w:rFonts w:eastAsiaTheme="minorEastAsia"/>
              </w:rPr>
              <w:t>N29.8</w:t>
            </w:r>
            <w:r>
              <w:rPr>
                <w:rFonts w:hint="eastAsia" w:eastAsiaTheme="minorEastAsia"/>
              </w:rPr>
              <w:t>30397，</w:t>
            </w:r>
            <w:r>
              <w:rPr>
                <w:rFonts w:eastAsiaTheme="minorEastAsia"/>
              </w:rPr>
              <w:t>E10</w:t>
            </w:r>
            <w:r>
              <w:rPr>
                <w:rFonts w:hint="eastAsia" w:eastAsiaTheme="minorEastAsia"/>
              </w:rPr>
              <w:t>7.002180</w:t>
            </w:r>
          </w:p>
        </w:tc>
        <w:tc>
          <w:tcPr>
            <w:tcW w:w="1393" w:type="dxa"/>
            <w:shd w:val="clear" w:color="auto" w:fill="auto"/>
            <w:vAlign w:val="center"/>
          </w:tcPr>
          <w:p>
            <w:pPr>
              <w:pStyle w:val="42"/>
            </w:pPr>
            <w:r>
              <w:rPr>
                <w:rFonts w:hint="eastAsia"/>
              </w:rPr>
              <w:t>氨</w:t>
            </w:r>
          </w:p>
        </w:tc>
        <w:tc>
          <w:tcPr>
            <w:tcW w:w="1244" w:type="dxa"/>
            <w:shd w:val="clear" w:color="auto" w:fill="auto"/>
            <w:vAlign w:val="center"/>
          </w:tcPr>
          <w:p>
            <w:pPr>
              <w:pStyle w:val="42"/>
            </w:pPr>
            <w:r>
              <w:t>小时值</w:t>
            </w:r>
          </w:p>
        </w:tc>
        <w:tc>
          <w:tcPr>
            <w:tcW w:w="1954" w:type="dxa"/>
            <w:shd w:val="clear" w:color="auto" w:fill="auto"/>
            <w:vAlign w:val="center"/>
          </w:tcPr>
          <w:p>
            <w:pPr>
              <w:pStyle w:val="42"/>
            </w:pPr>
            <w:r>
              <w:rPr>
                <w:rFonts w:hint="eastAsia"/>
              </w:rPr>
              <w:t>0.2</w:t>
            </w:r>
          </w:p>
        </w:tc>
        <w:tc>
          <w:tcPr>
            <w:tcW w:w="2367" w:type="dxa"/>
            <w:shd w:val="clear" w:color="auto" w:fill="auto"/>
            <w:vAlign w:val="center"/>
          </w:tcPr>
          <w:p>
            <w:pPr>
              <w:pStyle w:val="42"/>
            </w:pPr>
            <w:r>
              <w:rPr>
                <w:rFonts w:hint="eastAsia"/>
              </w:rPr>
              <w:t>2.81</w:t>
            </w:r>
            <w:r>
              <w:rPr>
                <w:rFonts w:hint="eastAsia" w:ascii="宋体" w:hAnsi="宋体"/>
              </w:rPr>
              <w:t>×</w:t>
            </w:r>
            <w:r>
              <w:rPr>
                <w:rFonts w:hint="eastAsia"/>
              </w:rPr>
              <w:t>10</w:t>
            </w:r>
            <w:r>
              <w:rPr>
                <w:rFonts w:hint="eastAsia"/>
                <w:vertAlign w:val="superscript"/>
              </w:rPr>
              <w:t>-2</w:t>
            </w:r>
            <w:r>
              <w:rPr>
                <w:rFonts w:hint="eastAsia"/>
              </w:rPr>
              <w:t>~5.58</w:t>
            </w:r>
            <w:r>
              <w:rPr>
                <w:rFonts w:hint="eastAsia" w:ascii="宋体" w:hAnsi="宋体"/>
              </w:rPr>
              <w:t>×</w:t>
            </w:r>
            <w:r>
              <w:rPr>
                <w:rFonts w:hint="eastAsia"/>
              </w:rPr>
              <w:t>10</w:t>
            </w:r>
            <w:r>
              <w:rPr>
                <w:rFonts w:hint="eastAsia"/>
                <w:vertAlign w:val="superscript"/>
              </w:rPr>
              <w:t>-2</w:t>
            </w:r>
          </w:p>
        </w:tc>
        <w:tc>
          <w:tcPr>
            <w:tcW w:w="1668" w:type="dxa"/>
            <w:shd w:val="clear" w:color="auto" w:fill="auto"/>
            <w:vAlign w:val="center"/>
          </w:tcPr>
          <w:p>
            <w:pPr>
              <w:pStyle w:val="42"/>
            </w:pPr>
            <w:r>
              <w:rPr>
                <w:rFonts w:hint="eastAsia"/>
              </w:rPr>
              <w:t>27.9</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55" w:type="dxa"/>
            <w:vMerge w:val="continue"/>
            <w:shd w:val="clear" w:color="auto" w:fill="auto"/>
            <w:vAlign w:val="center"/>
          </w:tcPr>
          <w:p>
            <w:pPr>
              <w:pStyle w:val="42"/>
            </w:pPr>
          </w:p>
        </w:tc>
        <w:tc>
          <w:tcPr>
            <w:tcW w:w="2179" w:type="dxa"/>
            <w:vMerge w:val="continue"/>
            <w:shd w:val="clear" w:color="auto" w:fill="auto"/>
            <w:vAlign w:val="center"/>
          </w:tcPr>
          <w:p>
            <w:pPr>
              <w:pStyle w:val="42"/>
            </w:pPr>
          </w:p>
        </w:tc>
        <w:tc>
          <w:tcPr>
            <w:tcW w:w="1393" w:type="dxa"/>
            <w:shd w:val="clear" w:color="auto" w:fill="auto"/>
            <w:vAlign w:val="center"/>
          </w:tcPr>
          <w:p>
            <w:pPr>
              <w:pStyle w:val="42"/>
            </w:pPr>
            <w:r>
              <w:t>非甲烷总烃</w:t>
            </w:r>
          </w:p>
        </w:tc>
        <w:tc>
          <w:tcPr>
            <w:tcW w:w="1244" w:type="dxa"/>
            <w:shd w:val="clear" w:color="auto" w:fill="auto"/>
            <w:vAlign w:val="center"/>
          </w:tcPr>
          <w:p>
            <w:pPr>
              <w:pStyle w:val="42"/>
            </w:pPr>
            <w:r>
              <w:t>小时值</w:t>
            </w:r>
          </w:p>
        </w:tc>
        <w:tc>
          <w:tcPr>
            <w:tcW w:w="1954" w:type="dxa"/>
            <w:shd w:val="clear" w:color="auto" w:fill="auto"/>
            <w:vAlign w:val="center"/>
          </w:tcPr>
          <w:p>
            <w:pPr>
              <w:pStyle w:val="42"/>
            </w:pPr>
            <w:r>
              <w:t>2.0</w:t>
            </w:r>
          </w:p>
        </w:tc>
        <w:tc>
          <w:tcPr>
            <w:tcW w:w="2367" w:type="dxa"/>
            <w:shd w:val="clear" w:color="auto" w:fill="auto"/>
            <w:vAlign w:val="center"/>
          </w:tcPr>
          <w:p>
            <w:pPr>
              <w:pStyle w:val="42"/>
            </w:pPr>
            <w:r>
              <w:rPr>
                <w:rFonts w:hint="eastAsia"/>
              </w:rPr>
              <w:t>0.37~0.64</w:t>
            </w:r>
          </w:p>
        </w:tc>
        <w:tc>
          <w:tcPr>
            <w:tcW w:w="1668" w:type="dxa"/>
            <w:shd w:val="clear" w:color="auto" w:fill="auto"/>
            <w:vAlign w:val="center"/>
          </w:tcPr>
          <w:p>
            <w:pPr>
              <w:pStyle w:val="42"/>
            </w:pPr>
            <w:r>
              <w:rPr>
                <w:rFonts w:hint="eastAsia"/>
              </w:rPr>
              <w:t>32.0</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55" w:type="dxa"/>
            <w:vMerge w:val="continue"/>
            <w:shd w:val="clear" w:color="auto" w:fill="auto"/>
            <w:vAlign w:val="center"/>
          </w:tcPr>
          <w:p>
            <w:pPr>
              <w:pStyle w:val="42"/>
            </w:pPr>
          </w:p>
        </w:tc>
        <w:tc>
          <w:tcPr>
            <w:tcW w:w="2179" w:type="dxa"/>
            <w:vMerge w:val="continue"/>
            <w:shd w:val="clear" w:color="auto" w:fill="auto"/>
            <w:vAlign w:val="center"/>
          </w:tcPr>
          <w:p>
            <w:pPr>
              <w:pStyle w:val="42"/>
            </w:pPr>
          </w:p>
        </w:tc>
        <w:tc>
          <w:tcPr>
            <w:tcW w:w="1393" w:type="dxa"/>
            <w:shd w:val="clear" w:color="auto" w:fill="auto"/>
            <w:vAlign w:val="center"/>
          </w:tcPr>
          <w:p>
            <w:pPr>
              <w:pStyle w:val="42"/>
            </w:pPr>
            <w:r>
              <w:t>TVOC</w:t>
            </w:r>
          </w:p>
        </w:tc>
        <w:tc>
          <w:tcPr>
            <w:tcW w:w="1244" w:type="dxa"/>
            <w:shd w:val="clear" w:color="auto" w:fill="auto"/>
            <w:vAlign w:val="center"/>
          </w:tcPr>
          <w:p>
            <w:pPr>
              <w:pStyle w:val="42"/>
            </w:pPr>
            <w:r>
              <w:t>8小时平均</w:t>
            </w:r>
          </w:p>
        </w:tc>
        <w:tc>
          <w:tcPr>
            <w:tcW w:w="1954" w:type="dxa"/>
            <w:shd w:val="clear" w:color="auto" w:fill="auto"/>
            <w:vAlign w:val="center"/>
          </w:tcPr>
          <w:p>
            <w:pPr>
              <w:pStyle w:val="42"/>
            </w:pPr>
            <w:r>
              <w:t>0.6</w:t>
            </w:r>
          </w:p>
        </w:tc>
        <w:tc>
          <w:tcPr>
            <w:tcW w:w="2367" w:type="dxa"/>
            <w:shd w:val="clear" w:color="auto" w:fill="auto"/>
            <w:vAlign w:val="center"/>
          </w:tcPr>
          <w:p>
            <w:pPr>
              <w:pStyle w:val="42"/>
            </w:pPr>
            <w:r>
              <w:rPr>
                <w:rFonts w:hint="eastAsia"/>
              </w:rPr>
              <w:t>0.062~0.499</w:t>
            </w:r>
          </w:p>
        </w:tc>
        <w:tc>
          <w:tcPr>
            <w:tcW w:w="1668" w:type="dxa"/>
            <w:shd w:val="clear" w:color="auto" w:fill="auto"/>
            <w:vAlign w:val="center"/>
          </w:tcPr>
          <w:p>
            <w:pPr>
              <w:pStyle w:val="42"/>
            </w:pPr>
            <w:r>
              <w:rPr>
                <w:rFonts w:hint="eastAsia"/>
              </w:rPr>
              <w:t>83.17</w:t>
            </w:r>
          </w:p>
        </w:tc>
        <w:tc>
          <w:tcPr>
            <w:tcW w:w="1259" w:type="dxa"/>
            <w:shd w:val="clear" w:color="auto" w:fill="auto"/>
            <w:vAlign w:val="center"/>
          </w:tcPr>
          <w:p>
            <w:pPr>
              <w:pStyle w:val="42"/>
            </w:pPr>
            <w:r>
              <w:rPr>
                <w:rFonts w:hint="eastAsia"/>
              </w:rPr>
              <w:t>0</w:t>
            </w:r>
          </w:p>
        </w:tc>
        <w:tc>
          <w:tcPr>
            <w:tcW w:w="729" w:type="dxa"/>
            <w:shd w:val="clear" w:color="auto" w:fill="auto"/>
            <w:vAlign w:val="center"/>
          </w:tcPr>
          <w:p>
            <w:pPr>
              <w:pStyle w:val="42"/>
            </w:pPr>
            <w:r>
              <w:t>达标</w:t>
            </w:r>
          </w:p>
        </w:tc>
      </w:tr>
    </w:tbl>
    <w:p>
      <w:pPr>
        <w:pStyle w:val="41"/>
      </w:pPr>
      <w:r>
        <w:rPr>
          <w:rFonts w:hint="eastAsia"/>
        </w:rPr>
        <w:t>表4.4-4 地表水环境质量现状监测数据及评价结果一览表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2137"/>
        <w:gridCol w:w="1097"/>
        <w:gridCol w:w="1372"/>
        <w:gridCol w:w="1364"/>
        <w:gridCol w:w="1364"/>
        <w:gridCol w:w="1522"/>
        <w:gridCol w:w="1165"/>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88" w:type="pct"/>
            <w:vAlign w:val="center"/>
          </w:tcPr>
          <w:p>
            <w:pPr>
              <w:pStyle w:val="42"/>
              <w:rPr>
                <w:szCs w:val="21"/>
              </w:rPr>
            </w:pPr>
            <w:r>
              <w:rPr>
                <w:szCs w:val="21"/>
              </w:rPr>
              <w:t>断面</w:t>
            </w:r>
          </w:p>
        </w:tc>
        <w:tc>
          <w:tcPr>
            <w:tcW w:w="753" w:type="pct"/>
            <w:tcBorders>
              <w:tl2br w:val="single" w:color="auto" w:sz="4" w:space="0"/>
            </w:tcBorders>
            <w:vAlign w:val="center"/>
          </w:tcPr>
          <w:p>
            <w:pPr>
              <w:pStyle w:val="42"/>
              <w:rPr>
                <w:szCs w:val="21"/>
              </w:rPr>
            </w:pPr>
            <w:r>
              <w:rPr>
                <w:rFonts w:hint="eastAsia"/>
                <w:szCs w:val="21"/>
              </w:rPr>
              <w:t xml:space="preserve"> </w:t>
            </w:r>
            <w:r>
              <w:rPr>
                <w:szCs w:val="21"/>
              </w:rPr>
              <w:t xml:space="preserve">     监测项目</w:t>
            </w:r>
          </w:p>
          <w:p>
            <w:pPr>
              <w:pStyle w:val="42"/>
              <w:jc w:val="both"/>
              <w:rPr>
                <w:szCs w:val="21"/>
              </w:rPr>
            </w:pPr>
            <w:r>
              <w:rPr>
                <w:szCs w:val="21"/>
              </w:rPr>
              <w:t>指标</w:t>
            </w:r>
          </w:p>
        </w:tc>
        <w:tc>
          <w:tcPr>
            <w:tcW w:w="387" w:type="pct"/>
            <w:vAlign w:val="center"/>
          </w:tcPr>
          <w:p>
            <w:pPr>
              <w:pStyle w:val="42"/>
              <w:rPr>
                <w:szCs w:val="21"/>
              </w:rPr>
            </w:pPr>
            <w:r>
              <w:rPr>
                <w:rFonts w:hint="eastAsia"/>
                <w:szCs w:val="21"/>
              </w:rPr>
              <w:t>水温</w:t>
            </w:r>
          </w:p>
        </w:tc>
        <w:tc>
          <w:tcPr>
            <w:tcW w:w="484" w:type="pct"/>
            <w:vAlign w:val="center"/>
          </w:tcPr>
          <w:p>
            <w:pPr>
              <w:pStyle w:val="42"/>
              <w:rPr>
                <w:szCs w:val="21"/>
              </w:rPr>
            </w:pPr>
            <w:r>
              <w:rPr>
                <w:szCs w:val="21"/>
              </w:rPr>
              <w:t>pH</w:t>
            </w:r>
          </w:p>
        </w:tc>
        <w:tc>
          <w:tcPr>
            <w:tcW w:w="481" w:type="pct"/>
            <w:vAlign w:val="center"/>
          </w:tcPr>
          <w:p>
            <w:pPr>
              <w:pStyle w:val="42"/>
              <w:rPr>
                <w:szCs w:val="21"/>
              </w:rPr>
            </w:pPr>
            <w:r>
              <w:rPr>
                <w:szCs w:val="21"/>
              </w:rPr>
              <w:t>COD</w:t>
            </w:r>
          </w:p>
        </w:tc>
        <w:tc>
          <w:tcPr>
            <w:tcW w:w="481" w:type="pct"/>
            <w:vAlign w:val="center"/>
          </w:tcPr>
          <w:p>
            <w:pPr>
              <w:pStyle w:val="42"/>
              <w:rPr>
                <w:szCs w:val="21"/>
              </w:rPr>
            </w:pPr>
            <w:r>
              <w:rPr>
                <w:szCs w:val="21"/>
              </w:rPr>
              <w:t>BOD</w:t>
            </w:r>
            <w:r>
              <w:rPr>
                <w:szCs w:val="21"/>
                <w:vertAlign w:val="subscript"/>
              </w:rPr>
              <w:t>5</w:t>
            </w:r>
          </w:p>
        </w:tc>
        <w:tc>
          <w:tcPr>
            <w:tcW w:w="537" w:type="pct"/>
            <w:vAlign w:val="center"/>
          </w:tcPr>
          <w:p>
            <w:pPr>
              <w:pStyle w:val="42"/>
              <w:rPr>
                <w:szCs w:val="21"/>
              </w:rPr>
            </w:pPr>
            <w:r>
              <w:rPr>
                <w:szCs w:val="21"/>
              </w:rPr>
              <w:t>NH</w:t>
            </w:r>
            <w:r>
              <w:rPr>
                <w:szCs w:val="21"/>
                <w:vertAlign w:val="subscript"/>
              </w:rPr>
              <w:t>3</w:t>
            </w:r>
            <w:r>
              <w:rPr>
                <w:szCs w:val="21"/>
              </w:rPr>
              <w:t>-N</w:t>
            </w:r>
          </w:p>
        </w:tc>
        <w:tc>
          <w:tcPr>
            <w:tcW w:w="411" w:type="pct"/>
            <w:vAlign w:val="center"/>
          </w:tcPr>
          <w:p>
            <w:pPr>
              <w:pStyle w:val="42"/>
              <w:rPr>
                <w:szCs w:val="21"/>
              </w:rPr>
            </w:pPr>
            <w:r>
              <w:rPr>
                <w:szCs w:val="21"/>
              </w:rPr>
              <w:t>石油类</w:t>
            </w:r>
          </w:p>
        </w:tc>
        <w:tc>
          <w:tcPr>
            <w:tcW w:w="477" w:type="pct"/>
            <w:vAlign w:val="center"/>
          </w:tcPr>
          <w:p>
            <w:pPr>
              <w:pStyle w:val="42"/>
              <w:rPr>
                <w:szCs w:val="21"/>
              </w:rPr>
            </w:pPr>
            <w:r>
              <w:rPr>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88" w:type="pct"/>
            <w:vMerge w:val="restart"/>
            <w:vAlign w:val="center"/>
          </w:tcPr>
          <w:p>
            <w:pPr>
              <w:pStyle w:val="42"/>
              <w:rPr>
                <w:szCs w:val="21"/>
              </w:rPr>
            </w:pPr>
            <w:r>
              <w:rPr>
                <w:rFonts w:hint="eastAsia"/>
                <w:szCs w:val="21"/>
              </w:rPr>
              <w:t>1#扇沱断面</w:t>
            </w:r>
          </w:p>
        </w:tc>
        <w:tc>
          <w:tcPr>
            <w:tcW w:w="753" w:type="pct"/>
            <w:vAlign w:val="center"/>
          </w:tcPr>
          <w:p>
            <w:pPr>
              <w:pStyle w:val="42"/>
              <w:rPr>
                <w:szCs w:val="21"/>
              </w:rPr>
            </w:pPr>
            <w:r>
              <w:rPr>
                <w:szCs w:val="21"/>
              </w:rPr>
              <w:t>监测值</w:t>
            </w:r>
            <w:r>
              <w:rPr>
                <w:rFonts w:hint="eastAsia"/>
                <w:szCs w:val="21"/>
              </w:rPr>
              <w:t>（mg/L）</w:t>
            </w:r>
          </w:p>
        </w:tc>
        <w:tc>
          <w:tcPr>
            <w:tcW w:w="387" w:type="pct"/>
            <w:vAlign w:val="center"/>
          </w:tcPr>
          <w:p>
            <w:pPr>
              <w:pStyle w:val="42"/>
              <w:rPr>
                <w:szCs w:val="21"/>
              </w:rPr>
            </w:pPr>
            <w:r>
              <w:rPr>
                <w:rFonts w:hint="eastAsia"/>
                <w:szCs w:val="21"/>
              </w:rPr>
              <w:t>19.4</w:t>
            </w:r>
          </w:p>
        </w:tc>
        <w:tc>
          <w:tcPr>
            <w:tcW w:w="484" w:type="pct"/>
            <w:vAlign w:val="center"/>
          </w:tcPr>
          <w:p>
            <w:pPr>
              <w:pStyle w:val="42"/>
              <w:rPr>
                <w:szCs w:val="21"/>
              </w:rPr>
            </w:pPr>
            <w:r>
              <w:rPr>
                <w:rFonts w:hint="eastAsia"/>
                <w:szCs w:val="21"/>
              </w:rPr>
              <w:t>8.38~8.62</w:t>
            </w:r>
          </w:p>
        </w:tc>
        <w:tc>
          <w:tcPr>
            <w:tcW w:w="481" w:type="pct"/>
            <w:vAlign w:val="center"/>
          </w:tcPr>
          <w:p>
            <w:pPr>
              <w:pStyle w:val="42"/>
              <w:rPr>
                <w:szCs w:val="21"/>
              </w:rPr>
            </w:pPr>
            <w:r>
              <w:rPr>
                <w:rFonts w:hint="eastAsia"/>
                <w:szCs w:val="21"/>
              </w:rPr>
              <w:t>5~7</w:t>
            </w:r>
          </w:p>
        </w:tc>
        <w:tc>
          <w:tcPr>
            <w:tcW w:w="481" w:type="pct"/>
            <w:vAlign w:val="center"/>
          </w:tcPr>
          <w:p>
            <w:pPr>
              <w:pStyle w:val="42"/>
              <w:rPr>
                <w:szCs w:val="21"/>
              </w:rPr>
            </w:pPr>
            <w:r>
              <w:rPr>
                <w:rFonts w:hint="eastAsia"/>
                <w:szCs w:val="21"/>
              </w:rPr>
              <w:t>0.5L~0.6</w:t>
            </w:r>
          </w:p>
        </w:tc>
        <w:tc>
          <w:tcPr>
            <w:tcW w:w="537" w:type="pct"/>
            <w:vAlign w:val="center"/>
          </w:tcPr>
          <w:p>
            <w:pPr>
              <w:pStyle w:val="42"/>
              <w:rPr>
                <w:szCs w:val="21"/>
              </w:rPr>
            </w:pPr>
            <w:r>
              <w:rPr>
                <w:rFonts w:hint="eastAsia"/>
                <w:szCs w:val="21"/>
              </w:rPr>
              <w:t>0.04~0.05</w:t>
            </w:r>
          </w:p>
        </w:tc>
        <w:tc>
          <w:tcPr>
            <w:tcW w:w="411" w:type="pct"/>
            <w:vAlign w:val="center"/>
          </w:tcPr>
          <w:p>
            <w:pPr>
              <w:pStyle w:val="42"/>
              <w:rPr>
                <w:szCs w:val="21"/>
              </w:rPr>
            </w:pPr>
            <w:r>
              <w:rPr>
                <w:rFonts w:hint="eastAsia"/>
                <w:szCs w:val="21"/>
              </w:rPr>
              <w:t>0.01L</w:t>
            </w:r>
          </w:p>
        </w:tc>
        <w:tc>
          <w:tcPr>
            <w:tcW w:w="477" w:type="pct"/>
            <w:vAlign w:val="center"/>
          </w:tcPr>
          <w:p>
            <w:pPr>
              <w:pStyle w:val="42"/>
              <w:rPr>
                <w:szCs w:val="21"/>
              </w:rPr>
            </w:pPr>
            <w:r>
              <w:rPr>
                <w:rFonts w:hint="eastAsia"/>
                <w:szCs w:val="21"/>
              </w:rPr>
              <w:t>0.05~0.1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88" w:type="pct"/>
            <w:vMerge w:val="continue"/>
            <w:vAlign w:val="center"/>
          </w:tcPr>
          <w:p>
            <w:pPr>
              <w:pStyle w:val="42"/>
              <w:rPr>
                <w:szCs w:val="21"/>
              </w:rPr>
            </w:pPr>
          </w:p>
        </w:tc>
        <w:tc>
          <w:tcPr>
            <w:tcW w:w="753" w:type="pct"/>
            <w:vAlign w:val="center"/>
          </w:tcPr>
          <w:p>
            <w:pPr>
              <w:pStyle w:val="42"/>
              <w:rPr>
                <w:szCs w:val="21"/>
              </w:rPr>
            </w:pPr>
            <w:r>
              <w:rPr>
                <w:szCs w:val="21"/>
              </w:rPr>
              <w:t>Sij值</w:t>
            </w:r>
          </w:p>
        </w:tc>
        <w:tc>
          <w:tcPr>
            <w:tcW w:w="387" w:type="pct"/>
            <w:vAlign w:val="center"/>
          </w:tcPr>
          <w:p>
            <w:pPr>
              <w:pStyle w:val="42"/>
              <w:rPr>
                <w:szCs w:val="21"/>
              </w:rPr>
            </w:pPr>
            <w:r>
              <w:rPr>
                <w:rFonts w:hint="eastAsia"/>
                <w:szCs w:val="21"/>
              </w:rPr>
              <w:t>/</w:t>
            </w:r>
          </w:p>
        </w:tc>
        <w:tc>
          <w:tcPr>
            <w:tcW w:w="484" w:type="pct"/>
            <w:vAlign w:val="center"/>
          </w:tcPr>
          <w:p>
            <w:pPr>
              <w:pStyle w:val="42"/>
              <w:rPr>
                <w:szCs w:val="21"/>
              </w:rPr>
            </w:pPr>
            <w:r>
              <w:rPr>
                <w:rFonts w:hint="eastAsia"/>
                <w:szCs w:val="21"/>
              </w:rPr>
              <w:t>0.69~0.81</w:t>
            </w:r>
          </w:p>
        </w:tc>
        <w:tc>
          <w:tcPr>
            <w:tcW w:w="481" w:type="pct"/>
            <w:vAlign w:val="center"/>
          </w:tcPr>
          <w:p>
            <w:pPr>
              <w:pStyle w:val="42"/>
              <w:rPr>
                <w:szCs w:val="21"/>
              </w:rPr>
            </w:pPr>
            <w:r>
              <w:rPr>
                <w:rFonts w:hint="eastAsia"/>
                <w:szCs w:val="21"/>
              </w:rPr>
              <w:t>0.25~0.35</w:t>
            </w:r>
          </w:p>
        </w:tc>
        <w:tc>
          <w:tcPr>
            <w:tcW w:w="481" w:type="pct"/>
            <w:vAlign w:val="center"/>
          </w:tcPr>
          <w:p>
            <w:pPr>
              <w:pStyle w:val="42"/>
              <w:rPr>
                <w:szCs w:val="21"/>
              </w:rPr>
            </w:pPr>
            <w:r>
              <w:rPr>
                <w:rFonts w:hint="eastAsia"/>
                <w:szCs w:val="21"/>
              </w:rPr>
              <w:t>0.15</w:t>
            </w:r>
          </w:p>
        </w:tc>
        <w:tc>
          <w:tcPr>
            <w:tcW w:w="537" w:type="pct"/>
            <w:vAlign w:val="center"/>
          </w:tcPr>
          <w:p>
            <w:pPr>
              <w:pStyle w:val="42"/>
              <w:rPr>
                <w:szCs w:val="21"/>
              </w:rPr>
            </w:pPr>
            <w:r>
              <w:rPr>
                <w:rFonts w:hint="eastAsia"/>
                <w:szCs w:val="21"/>
              </w:rPr>
              <w:t>0.04~0.05</w:t>
            </w:r>
          </w:p>
        </w:tc>
        <w:tc>
          <w:tcPr>
            <w:tcW w:w="411" w:type="pct"/>
            <w:vAlign w:val="center"/>
          </w:tcPr>
          <w:p>
            <w:pPr>
              <w:pStyle w:val="42"/>
              <w:rPr>
                <w:szCs w:val="21"/>
              </w:rPr>
            </w:pPr>
            <w:r>
              <w:rPr>
                <w:rFonts w:hint="eastAsia"/>
                <w:szCs w:val="21"/>
              </w:rPr>
              <w:t>/</w:t>
            </w:r>
          </w:p>
        </w:tc>
        <w:tc>
          <w:tcPr>
            <w:tcW w:w="477" w:type="pct"/>
            <w:vAlign w:val="center"/>
          </w:tcPr>
          <w:p>
            <w:pPr>
              <w:pStyle w:val="42"/>
              <w:rPr>
                <w:szCs w:val="21"/>
              </w:rPr>
            </w:pPr>
            <w:r>
              <w:rPr>
                <w:rFonts w:hint="eastAsia"/>
                <w:szCs w:val="21"/>
              </w:rPr>
              <w:t>0.25~0.5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88" w:type="pct"/>
            <w:vMerge w:val="restart"/>
            <w:vAlign w:val="center"/>
          </w:tcPr>
          <w:p>
            <w:pPr>
              <w:pStyle w:val="42"/>
              <w:rPr>
                <w:szCs w:val="21"/>
              </w:rPr>
            </w:pPr>
            <w:r>
              <w:rPr>
                <w:rFonts w:hint="eastAsia"/>
                <w:szCs w:val="21"/>
              </w:rPr>
              <w:t>2#三峡水务长寿排水公司排口下游长江大桥附近断面</w:t>
            </w:r>
          </w:p>
        </w:tc>
        <w:tc>
          <w:tcPr>
            <w:tcW w:w="753" w:type="pct"/>
            <w:vAlign w:val="center"/>
          </w:tcPr>
          <w:p>
            <w:pPr>
              <w:pStyle w:val="42"/>
              <w:rPr>
                <w:szCs w:val="21"/>
              </w:rPr>
            </w:pPr>
            <w:r>
              <w:rPr>
                <w:szCs w:val="21"/>
              </w:rPr>
              <w:t>监测值</w:t>
            </w:r>
            <w:r>
              <w:rPr>
                <w:rFonts w:hint="eastAsia"/>
                <w:szCs w:val="21"/>
              </w:rPr>
              <w:t>（mg/L）</w:t>
            </w:r>
          </w:p>
        </w:tc>
        <w:tc>
          <w:tcPr>
            <w:tcW w:w="387" w:type="pct"/>
            <w:vAlign w:val="center"/>
          </w:tcPr>
          <w:p>
            <w:pPr>
              <w:pStyle w:val="42"/>
              <w:rPr>
                <w:szCs w:val="21"/>
              </w:rPr>
            </w:pPr>
            <w:r>
              <w:rPr>
                <w:rFonts w:hint="eastAsia"/>
                <w:szCs w:val="21"/>
              </w:rPr>
              <w:t>/</w:t>
            </w:r>
          </w:p>
        </w:tc>
        <w:tc>
          <w:tcPr>
            <w:tcW w:w="484" w:type="pct"/>
            <w:vAlign w:val="center"/>
          </w:tcPr>
          <w:p>
            <w:pPr>
              <w:pStyle w:val="42"/>
              <w:rPr>
                <w:szCs w:val="21"/>
              </w:rPr>
            </w:pPr>
            <w:r>
              <w:rPr>
                <w:rFonts w:hint="eastAsia"/>
                <w:szCs w:val="21"/>
              </w:rPr>
              <w:t>8.30~8.58</w:t>
            </w:r>
          </w:p>
        </w:tc>
        <w:tc>
          <w:tcPr>
            <w:tcW w:w="481" w:type="pct"/>
            <w:vAlign w:val="center"/>
          </w:tcPr>
          <w:p>
            <w:pPr>
              <w:pStyle w:val="42"/>
              <w:rPr>
                <w:szCs w:val="21"/>
              </w:rPr>
            </w:pPr>
            <w:r>
              <w:rPr>
                <w:rFonts w:hint="eastAsia"/>
                <w:szCs w:val="21"/>
              </w:rPr>
              <w:t>5~12</w:t>
            </w:r>
          </w:p>
        </w:tc>
        <w:tc>
          <w:tcPr>
            <w:tcW w:w="481" w:type="pct"/>
            <w:vAlign w:val="center"/>
          </w:tcPr>
          <w:p>
            <w:pPr>
              <w:pStyle w:val="42"/>
              <w:rPr>
                <w:szCs w:val="21"/>
              </w:rPr>
            </w:pPr>
            <w:r>
              <w:rPr>
                <w:rFonts w:hint="eastAsia"/>
                <w:szCs w:val="21"/>
              </w:rPr>
              <w:t>0.5L~0.6</w:t>
            </w:r>
          </w:p>
        </w:tc>
        <w:tc>
          <w:tcPr>
            <w:tcW w:w="537" w:type="pct"/>
            <w:vAlign w:val="center"/>
          </w:tcPr>
          <w:p>
            <w:pPr>
              <w:pStyle w:val="42"/>
              <w:rPr>
                <w:szCs w:val="21"/>
              </w:rPr>
            </w:pPr>
            <w:r>
              <w:rPr>
                <w:rFonts w:hint="eastAsia"/>
                <w:szCs w:val="21"/>
              </w:rPr>
              <w:t>0.04~0.05</w:t>
            </w:r>
          </w:p>
        </w:tc>
        <w:tc>
          <w:tcPr>
            <w:tcW w:w="411" w:type="pct"/>
            <w:vAlign w:val="center"/>
          </w:tcPr>
          <w:p>
            <w:pPr>
              <w:pStyle w:val="42"/>
              <w:rPr>
                <w:szCs w:val="21"/>
              </w:rPr>
            </w:pPr>
            <w:r>
              <w:rPr>
                <w:rFonts w:hint="eastAsia"/>
                <w:szCs w:val="21"/>
              </w:rPr>
              <w:t>0.01L</w:t>
            </w:r>
          </w:p>
        </w:tc>
        <w:tc>
          <w:tcPr>
            <w:tcW w:w="477" w:type="pct"/>
            <w:vAlign w:val="center"/>
          </w:tcPr>
          <w:p>
            <w:pPr>
              <w:pStyle w:val="42"/>
              <w:rPr>
                <w:szCs w:val="21"/>
              </w:rPr>
            </w:pPr>
            <w:r>
              <w:rPr>
                <w:rFonts w:hint="eastAsia"/>
                <w:szCs w:val="21"/>
              </w:rPr>
              <w:t>0.05~0.09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88" w:type="pct"/>
            <w:vMerge w:val="continue"/>
            <w:vAlign w:val="center"/>
          </w:tcPr>
          <w:p>
            <w:pPr>
              <w:pStyle w:val="42"/>
              <w:rPr>
                <w:szCs w:val="21"/>
              </w:rPr>
            </w:pPr>
          </w:p>
        </w:tc>
        <w:tc>
          <w:tcPr>
            <w:tcW w:w="753" w:type="pct"/>
            <w:vAlign w:val="center"/>
          </w:tcPr>
          <w:p>
            <w:pPr>
              <w:pStyle w:val="42"/>
              <w:rPr>
                <w:szCs w:val="21"/>
              </w:rPr>
            </w:pPr>
            <w:r>
              <w:rPr>
                <w:szCs w:val="21"/>
              </w:rPr>
              <w:t>Sij值</w:t>
            </w:r>
          </w:p>
        </w:tc>
        <w:tc>
          <w:tcPr>
            <w:tcW w:w="387" w:type="pct"/>
            <w:vAlign w:val="center"/>
          </w:tcPr>
          <w:p>
            <w:pPr>
              <w:pStyle w:val="42"/>
              <w:rPr>
                <w:szCs w:val="21"/>
              </w:rPr>
            </w:pPr>
            <w:r>
              <w:rPr>
                <w:rFonts w:hint="eastAsia"/>
                <w:szCs w:val="21"/>
              </w:rPr>
              <w:t>/</w:t>
            </w:r>
          </w:p>
        </w:tc>
        <w:tc>
          <w:tcPr>
            <w:tcW w:w="484" w:type="pct"/>
            <w:vAlign w:val="center"/>
          </w:tcPr>
          <w:p>
            <w:pPr>
              <w:pStyle w:val="42"/>
              <w:rPr>
                <w:szCs w:val="21"/>
              </w:rPr>
            </w:pPr>
            <w:r>
              <w:rPr>
                <w:rFonts w:hint="eastAsia"/>
                <w:szCs w:val="21"/>
              </w:rPr>
              <w:t>0.65~0.79</w:t>
            </w:r>
          </w:p>
        </w:tc>
        <w:tc>
          <w:tcPr>
            <w:tcW w:w="481" w:type="pct"/>
            <w:vAlign w:val="center"/>
          </w:tcPr>
          <w:p>
            <w:pPr>
              <w:pStyle w:val="42"/>
              <w:rPr>
                <w:szCs w:val="21"/>
              </w:rPr>
            </w:pPr>
            <w:r>
              <w:rPr>
                <w:rFonts w:hint="eastAsia"/>
                <w:szCs w:val="21"/>
              </w:rPr>
              <w:t>0.25~0.6</w:t>
            </w:r>
          </w:p>
        </w:tc>
        <w:tc>
          <w:tcPr>
            <w:tcW w:w="481" w:type="pct"/>
            <w:vAlign w:val="center"/>
          </w:tcPr>
          <w:p>
            <w:pPr>
              <w:pStyle w:val="42"/>
              <w:rPr>
                <w:szCs w:val="21"/>
              </w:rPr>
            </w:pPr>
            <w:r>
              <w:rPr>
                <w:rFonts w:hint="eastAsia"/>
                <w:szCs w:val="21"/>
              </w:rPr>
              <w:t>0.15</w:t>
            </w:r>
          </w:p>
        </w:tc>
        <w:tc>
          <w:tcPr>
            <w:tcW w:w="537" w:type="pct"/>
            <w:vAlign w:val="center"/>
          </w:tcPr>
          <w:p>
            <w:pPr>
              <w:pStyle w:val="42"/>
              <w:rPr>
                <w:szCs w:val="21"/>
              </w:rPr>
            </w:pPr>
            <w:r>
              <w:rPr>
                <w:rFonts w:hint="eastAsia"/>
                <w:szCs w:val="21"/>
              </w:rPr>
              <w:t>0.04~0.05</w:t>
            </w:r>
          </w:p>
        </w:tc>
        <w:tc>
          <w:tcPr>
            <w:tcW w:w="411" w:type="pct"/>
            <w:vAlign w:val="center"/>
          </w:tcPr>
          <w:p>
            <w:pPr>
              <w:pStyle w:val="42"/>
              <w:rPr>
                <w:szCs w:val="21"/>
              </w:rPr>
            </w:pPr>
            <w:r>
              <w:rPr>
                <w:rFonts w:hint="eastAsia"/>
                <w:szCs w:val="21"/>
              </w:rPr>
              <w:t>/</w:t>
            </w:r>
          </w:p>
        </w:tc>
        <w:tc>
          <w:tcPr>
            <w:tcW w:w="477" w:type="pct"/>
            <w:vAlign w:val="center"/>
          </w:tcPr>
          <w:p>
            <w:pPr>
              <w:pStyle w:val="42"/>
              <w:rPr>
                <w:szCs w:val="21"/>
              </w:rPr>
            </w:pPr>
            <w:r>
              <w:rPr>
                <w:rFonts w:hint="eastAsia"/>
                <w:szCs w:val="21"/>
              </w:rPr>
              <w:t>0.25~0.45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742" w:type="pct"/>
            <w:gridSpan w:val="2"/>
            <w:vAlign w:val="center"/>
          </w:tcPr>
          <w:p>
            <w:pPr>
              <w:pStyle w:val="42"/>
              <w:rPr>
                <w:szCs w:val="21"/>
              </w:rPr>
            </w:pPr>
            <w:r>
              <w:rPr>
                <w:szCs w:val="21"/>
              </w:rPr>
              <w:t>标准（GB3838-2002）</w:t>
            </w:r>
            <w:r>
              <w:rPr>
                <w:rFonts w:hint="eastAsia" w:ascii="宋体" w:hAnsi="宋体" w:cs="宋体"/>
                <w:szCs w:val="21"/>
              </w:rPr>
              <w:t>Ⅲ</w:t>
            </w:r>
            <w:r>
              <w:rPr>
                <w:szCs w:val="21"/>
              </w:rPr>
              <w:t>类</w:t>
            </w:r>
            <w:r>
              <w:rPr>
                <w:rFonts w:hint="eastAsia"/>
                <w:szCs w:val="21"/>
              </w:rPr>
              <w:t>（mg/L）</w:t>
            </w:r>
          </w:p>
        </w:tc>
        <w:tc>
          <w:tcPr>
            <w:tcW w:w="387" w:type="pct"/>
            <w:vAlign w:val="center"/>
          </w:tcPr>
          <w:p>
            <w:pPr>
              <w:pStyle w:val="42"/>
              <w:rPr>
                <w:szCs w:val="21"/>
              </w:rPr>
            </w:pPr>
            <w:r>
              <w:rPr>
                <w:rFonts w:hint="eastAsia"/>
                <w:szCs w:val="21"/>
              </w:rPr>
              <w:t>/</w:t>
            </w:r>
          </w:p>
        </w:tc>
        <w:tc>
          <w:tcPr>
            <w:tcW w:w="484" w:type="pct"/>
            <w:vAlign w:val="center"/>
          </w:tcPr>
          <w:p>
            <w:pPr>
              <w:pStyle w:val="42"/>
              <w:rPr>
                <w:szCs w:val="21"/>
              </w:rPr>
            </w:pPr>
            <w:r>
              <w:rPr>
                <w:szCs w:val="21"/>
              </w:rPr>
              <w:t>6～9</w:t>
            </w:r>
          </w:p>
        </w:tc>
        <w:tc>
          <w:tcPr>
            <w:tcW w:w="481" w:type="pct"/>
            <w:vAlign w:val="center"/>
          </w:tcPr>
          <w:p>
            <w:pPr>
              <w:pStyle w:val="42"/>
              <w:rPr>
                <w:szCs w:val="21"/>
              </w:rPr>
            </w:pPr>
            <w:r>
              <w:rPr>
                <w:szCs w:val="21"/>
              </w:rPr>
              <w:t>≤20</w:t>
            </w:r>
          </w:p>
        </w:tc>
        <w:tc>
          <w:tcPr>
            <w:tcW w:w="481" w:type="pct"/>
            <w:vAlign w:val="center"/>
          </w:tcPr>
          <w:p>
            <w:pPr>
              <w:pStyle w:val="42"/>
              <w:rPr>
                <w:szCs w:val="21"/>
              </w:rPr>
            </w:pPr>
            <w:r>
              <w:rPr>
                <w:szCs w:val="21"/>
              </w:rPr>
              <w:t>≤4.0</w:t>
            </w:r>
          </w:p>
        </w:tc>
        <w:tc>
          <w:tcPr>
            <w:tcW w:w="537" w:type="pct"/>
            <w:vAlign w:val="center"/>
          </w:tcPr>
          <w:p>
            <w:pPr>
              <w:pStyle w:val="42"/>
              <w:rPr>
                <w:szCs w:val="21"/>
              </w:rPr>
            </w:pPr>
            <w:r>
              <w:rPr>
                <w:szCs w:val="21"/>
              </w:rPr>
              <w:t>≤1.0</w:t>
            </w:r>
          </w:p>
        </w:tc>
        <w:tc>
          <w:tcPr>
            <w:tcW w:w="411" w:type="pct"/>
            <w:vAlign w:val="center"/>
          </w:tcPr>
          <w:p>
            <w:pPr>
              <w:pStyle w:val="42"/>
              <w:rPr>
                <w:szCs w:val="21"/>
              </w:rPr>
            </w:pPr>
            <w:r>
              <w:rPr>
                <w:szCs w:val="21"/>
              </w:rPr>
              <w:t>≤0.05</w:t>
            </w:r>
          </w:p>
        </w:tc>
        <w:tc>
          <w:tcPr>
            <w:tcW w:w="477" w:type="pct"/>
            <w:vAlign w:val="center"/>
          </w:tcPr>
          <w:p>
            <w:pPr>
              <w:pStyle w:val="42"/>
              <w:rPr>
                <w:szCs w:val="21"/>
              </w:rPr>
            </w:pPr>
            <w:r>
              <w:rPr>
                <w:szCs w:val="21"/>
              </w:rPr>
              <w:t>≤0.2</w:t>
            </w:r>
          </w:p>
        </w:tc>
      </w:tr>
    </w:tbl>
    <w:p>
      <w:pPr>
        <w:pStyle w:val="41"/>
        <w:jc w:val="left"/>
        <w:sectPr>
          <w:pgSz w:w="16838" w:h="11906" w:orient="landscape"/>
          <w:pgMar w:top="1800" w:right="1440" w:bottom="1800" w:left="1440" w:header="851" w:footer="992" w:gutter="0"/>
          <w:cols w:space="425" w:num="1"/>
          <w:docGrid w:type="lines" w:linePitch="326" w:charSpace="0"/>
        </w:sectPr>
      </w:pPr>
      <w:r>
        <w:rPr>
          <w:sz w:val="18"/>
          <w:szCs w:val="18"/>
        </w:rPr>
        <w:t>注：“L”表示未检出</w:t>
      </w:r>
    </w:p>
    <w:p>
      <w:pPr>
        <w:pStyle w:val="4"/>
        <w:spacing w:before="156" w:after="156"/>
      </w:pPr>
      <w:bookmarkStart w:id="110" w:name="_Toc84844282"/>
      <w:r>
        <w:rPr>
          <w:rFonts w:hint="eastAsia"/>
        </w:rPr>
        <w:t>4.4.3地下水环境现状监测与评价</w:t>
      </w:r>
      <w:bookmarkEnd w:id="110"/>
    </w:p>
    <w:p>
      <w:pPr>
        <w:ind w:firstLine="480"/>
      </w:pPr>
      <w:r>
        <w:rPr>
          <w:rFonts w:hint="eastAsia"/>
        </w:rPr>
        <w:t>地下水环境质量现状评价采用3年内所在区域已有有效监测数据进行评价。本次评价引用《监测报告》（渝环（监）字【2020】第PJ1-4号）中的数据进行区域地表水环境质量现状评价。地下水监测时间为2020年6月，评价所引用各监测点与拟建项目所在地属于同一水文地质单元，覆盖项目所在区域，分布于项目所在地周边，能反应区域地下水环境质量现状，监测布点具有一定的代表性，能反应项目所在区域地下水环境质量现状，因此地下水监测资料引用合理可行。</w:t>
      </w:r>
    </w:p>
    <w:p>
      <w:pPr>
        <w:ind w:firstLine="480"/>
      </w:pPr>
      <w:r>
        <w:rPr>
          <w:rFonts w:hint="eastAsia"/>
        </w:rPr>
        <w:t>（1）监测布点：地下水监测井位置详见下表4.4-5和监测布点图。</w:t>
      </w:r>
    </w:p>
    <w:p>
      <w:pPr>
        <w:ind w:firstLine="480"/>
      </w:pPr>
      <w:r>
        <w:rPr>
          <w:rFonts w:hint="eastAsia"/>
        </w:rPr>
        <w:t>（2）监测时间及频次：监测1天，监测1次，详见下表4.4-5。</w:t>
      </w:r>
    </w:p>
    <w:p>
      <w:pPr>
        <w:ind w:firstLine="480"/>
      </w:pPr>
      <w:r>
        <w:rPr>
          <w:rFonts w:hint="eastAsia"/>
        </w:rPr>
        <w:t>（3）监测因子：八大离子（K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、氯化物（Cl</w:t>
      </w:r>
      <w:r>
        <w:rPr>
          <w:rFonts w:hint="eastAsia"/>
          <w:vertAlign w:val="superscript"/>
        </w:rPr>
        <w:t>-</w:t>
      </w:r>
      <w:r>
        <w:rPr>
          <w:rFonts w:hint="eastAsia"/>
        </w:rPr>
        <w:t>）、硫酸盐（SO</w:t>
      </w:r>
      <w:r>
        <w:rPr>
          <w:rFonts w:hint="eastAsia"/>
          <w:vertAlign w:val="subscript"/>
        </w:rPr>
        <w:t>4</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）；水温、pH、总硬度（以CaCO</w:t>
      </w:r>
      <w:r>
        <w:rPr>
          <w:rFonts w:hint="eastAsia"/>
          <w:vertAlign w:val="subscript"/>
        </w:rPr>
        <w:t>3</w:t>
      </w:r>
      <w:r>
        <w:rPr>
          <w:rFonts w:hint="eastAsia"/>
        </w:rPr>
        <w:t>计）、溶解性总固体、高锰酸盐指数（耗氧量）、氨氮、硝酸盐、亚硝酸盐、挥发性酚（以苯酚计）、氰化物、砷、汞、铬（六价）、石油类、铅、氟化物、镉、铁、锰。</w:t>
      </w:r>
    </w:p>
    <w:p>
      <w:pPr>
        <w:pStyle w:val="41"/>
      </w:pPr>
      <w:r>
        <w:rPr>
          <w:rFonts w:hint="eastAsia"/>
        </w:rPr>
        <w:t>表4.4-5地下水监测井位置一览表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2"/>
        <w:gridCol w:w="2727"/>
        <w:gridCol w:w="1000"/>
        <w:gridCol w:w="1418"/>
        <w:gridCol w:w="1417"/>
        <w:gridCol w:w="851"/>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12" w:type="dxa"/>
            <w:vMerge w:val="restart"/>
            <w:shd w:val="clear" w:color="auto" w:fill="auto"/>
            <w:vAlign w:val="center"/>
          </w:tcPr>
          <w:p>
            <w:pPr>
              <w:pStyle w:val="42"/>
            </w:pPr>
            <w:r>
              <w:t>编号</w:t>
            </w:r>
          </w:p>
        </w:tc>
        <w:tc>
          <w:tcPr>
            <w:tcW w:w="2727" w:type="dxa"/>
            <w:vMerge w:val="restart"/>
            <w:shd w:val="clear" w:color="auto" w:fill="auto"/>
            <w:vAlign w:val="center"/>
          </w:tcPr>
          <w:p>
            <w:pPr>
              <w:pStyle w:val="42"/>
            </w:pPr>
            <w:r>
              <w:t>点位</w:t>
            </w:r>
          </w:p>
        </w:tc>
        <w:tc>
          <w:tcPr>
            <w:tcW w:w="1000" w:type="dxa"/>
            <w:vMerge w:val="restart"/>
            <w:vAlign w:val="center"/>
          </w:tcPr>
          <w:p>
            <w:pPr>
              <w:pStyle w:val="42"/>
            </w:pPr>
            <w:r>
              <w:t>监测时间</w:t>
            </w:r>
          </w:p>
        </w:tc>
        <w:tc>
          <w:tcPr>
            <w:tcW w:w="2835" w:type="dxa"/>
            <w:gridSpan w:val="2"/>
            <w:vAlign w:val="center"/>
          </w:tcPr>
          <w:p>
            <w:pPr>
              <w:pStyle w:val="42"/>
            </w:pPr>
            <w:r>
              <w:t>经纬度</w:t>
            </w:r>
          </w:p>
        </w:tc>
        <w:tc>
          <w:tcPr>
            <w:tcW w:w="851" w:type="dxa"/>
            <w:vMerge w:val="restart"/>
            <w:vAlign w:val="center"/>
          </w:tcPr>
          <w:p>
            <w:pPr>
              <w:pStyle w:val="42"/>
            </w:pPr>
            <w:r>
              <w:t>监测频次</w:t>
            </w:r>
          </w:p>
        </w:tc>
        <w:tc>
          <w:tcPr>
            <w:tcW w:w="537" w:type="dxa"/>
            <w:vMerge w:val="restart"/>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12" w:type="dxa"/>
            <w:vMerge w:val="continue"/>
            <w:shd w:val="clear" w:color="auto" w:fill="auto"/>
            <w:vAlign w:val="center"/>
          </w:tcPr>
          <w:p>
            <w:pPr>
              <w:pStyle w:val="42"/>
            </w:pPr>
          </w:p>
        </w:tc>
        <w:tc>
          <w:tcPr>
            <w:tcW w:w="2727" w:type="dxa"/>
            <w:vMerge w:val="continue"/>
            <w:shd w:val="clear" w:color="auto" w:fill="auto"/>
            <w:vAlign w:val="center"/>
          </w:tcPr>
          <w:p>
            <w:pPr>
              <w:pStyle w:val="42"/>
            </w:pPr>
          </w:p>
        </w:tc>
        <w:tc>
          <w:tcPr>
            <w:tcW w:w="1000" w:type="dxa"/>
            <w:vMerge w:val="continue"/>
            <w:vAlign w:val="center"/>
          </w:tcPr>
          <w:p>
            <w:pPr>
              <w:pStyle w:val="42"/>
            </w:pPr>
          </w:p>
        </w:tc>
        <w:tc>
          <w:tcPr>
            <w:tcW w:w="1418" w:type="dxa"/>
            <w:vAlign w:val="center"/>
          </w:tcPr>
          <w:p>
            <w:pPr>
              <w:pStyle w:val="42"/>
            </w:pPr>
            <w:r>
              <w:t>经度</w:t>
            </w:r>
          </w:p>
        </w:tc>
        <w:tc>
          <w:tcPr>
            <w:tcW w:w="1417" w:type="dxa"/>
            <w:vAlign w:val="center"/>
          </w:tcPr>
          <w:p>
            <w:pPr>
              <w:pStyle w:val="42"/>
            </w:pPr>
            <w:r>
              <w:t>纬度</w:t>
            </w:r>
          </w:p>
        </w:tc>
        <w:tc>
          <w:tcPr>
            <w:tcW w:w="851" w:type="dxa"/>
            <w:vMerge w:val="continue"/>
            <w:vAlign w:val="center"/>
          </w:tcPr>
          <w:p>
            <w:pPr>
              <w:pStyle w:val="42"/>
            </w:pPr>
          </w:p>
        </w:tc>
        <w:tc>
          <w:tcPr>
            <w:tcW w:w="537"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2" w:type="dxa"/>
            <w:shd w:val="clear" w:color="auto" w:fill="auto"/>
            <w:vAlign w:val="center"/>
          </w:tcPr>
          <w:p>
            <w:pPr>
              <w:pStyle w:val="42"/>
            </w:pPr>
            <w:r>
              <w:rPr>
                <w:rFonts w:hint="eastAsia"/>
              </w:rPr>
              <w:t>8</w:t>
            </w:r>
            <w:r>
              <w:t>#</w:t>
            </w:r>
          </w:p>
        </w:tc>
        <w:tc>
          <w:tcPr>
            <w:tcW w:w="2727" w:type="dxa"/>
            <w:shd w:val="clear" w:color="auto" w:fill="auto"/>
            <w:vAlign w:val="center"/>
          </w:tcPr>
          <w:p>
            <w:pPr>
              <w:pStyle w:val="42"/>
            </w:pPr>
            <w:r>
              <w:rPr>
                <w:rFonts w:hint="eastAsia"/>
              </w:rPr>
              <w:t>正新北侧围墙外</w:t>
            </w:r>
          </w:p>
        </w:tc>
        <w:tc>
          <w:tcPr>
            <w:tcW w:w="1000" w:type="dxa"/>
            <w:vMerge w:val="restart"/>
            <w:vAlign w:val="center"/>
          </w:tcPr>
          <w:p>
            <w:pPr>
              <w:pStyle w:val="42"/>
            </w:pPr>
            <w:r>
              <w:rPr>
                <w:rFonts w:hint="eastAsia"/>
              </w:rPr>
              <w:t>2020.6</w:t>
            </w:r>
          </w:p>
        </w:tc>
        <w:tc>
          <w:tcPr>
            <w:tcW w:w="1418" w:type="dxa"/>
            <w:vAlign w:val="center"/>
          </w:tcPr>
          <w:p>
            <w:pPr>
              <w:pStyle w:val="42"/>
            </w:pPr>
            <w:r>
              <w:rPr>
                <w:rFonts w:hint="eastAsia"/>
              </w:rPr>
              <w:t>107.009454</w:t>
            </w:r>
          </w:p>
        </w:tc>
        <w:tc>
          <w:tcPr>
            <w:tcW w:w="1417" w:type="dxa"/>
            <w:vAlign w:val="center"/>
          </w:tcPr>
          <w:p>
            <w:pPr>
              <w:pStyle w:val="42"/>
            </w:pPr>
            <w:r>
              <w:rPr>
                <w:rFonts w:hint="eastAsia"/>
              </w:rPr>
              <w:t>29.864502</w:t>
            </w:r>
          </w:p>
        </w:tc>
        <w:tc>
          <w:tcPr>
            <w:tcW w:w="851" w:type="dxa"/>
            <w:vMerge w:val="restart"/>
            <w:vAlign w:val="center"/>
          </w:tcPr>
          <w:p>
            <w:pPr>
              <w:pStyle w:val="42"/>
            </w:pPr>
            <w:r>
              <w:t>监测1天，监测1次</w:t>
            </w:r>
          </w:p>
        </w:tc>
        <w:tc>
          <w:tcPr>
            <w:tcW w:w="537" w:type="dxa"/>
            <w:vAlign w:val="center"/>
          </w:tcPr>
          <w:p>
            <w:pPr>
              <w:pStyle w:val="42"/>
            </w:pPr>
            <w:r>
              <w:t>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2" w:type="dxa"/>
            <w:shd w:val="clear" w:color="auto" w:fill="auto"/>
            <w:vAlign w:val="center"/>
          </w:tcPr>
          <w:p>
            <w:pPr>
              <w:pStyle w:val="42"/>
            </w:pPr>
            <w:r>
              <w:rPr>
                <w:rFonts w:hint="eastAsia"/>
              </w:rPr>
              <w:t>9</w:t>
            </w:r>
            <w:r>
              <w:t>#</w:t>
            </w:r>
          </w:p>
        </w:tc>
        <w:tc>
          <w:tcPr>
            <w:tcW w:w="2727" w:type="dxa"/>
            <w:shd w:val="clear" w:color="auto" w:fill="auto"/>
            <w:vAlign w:val="center"/>
          </w:tcPr>
          <w:p>
            <w:pPr>
              <w:pStyle w:val="42"/>
            </w:pPr>
            <w:r>
              <w:rPr>
                <w:rFonts w:hint="eastAsia"/>
              </w:rPr>
              <w:t>河泉水库东南侧</w:t>
            </w:r>
          </w:p>
        </w:tc>
        <w:tc>
          <w:tcPr>
            <w:tcW w:w="1000" w:type="dxa"/>
            <w:vMerge w:val="continue"/>
            <w:vAlign w:val="center"/>
          </w:tcPr>
          <w:p>
            <w:pPr>
              <w:pStyle w:val="42"/>
            </w:pPr>
          </w:p>
        </w:tc>
        <w:tc>
          <w:tcPr>
            <w:tcW w:w="1418" w:type="dxa"/>
            <w:vAlign w:val="center"/>
          </w:tcPr>
          <w:p>
            <w:pPr>
              <w:pStyle w:val="42"/>
            </w:pPr>
            <w:r>
              <w:rPr>
                <w:rFonts w:hint="eastAsia"/>
              </w:rPr>
              <w:t>106.980228</w:t>
            </w:r>
          </w:p>
        </w:tc>
        <w:tc>
          <w:tcPr>
            <w:tcW w:w="1417" w:type="dxa"/>
            <w:vAlign w:val="center"/>
          </w:tcPr>
          <w:p>
            <w:pPr>
              <w:pStyle w:val="42"/>
            </w:pPr>
            <w:r>
              <w:rPr>
                <w:rFonts w:hint="eastAsia"/>
              </w:rPr>
              <w:t>29.848275</w:t>
            </w:r>
          </w:p>
        </w:tc>
        <w:tc>
          <w:tcPr>
            <w:tcW w:w="851" w:type="dxa"/>
            <w:vMerge w:val="continue"/>
            <w:vAlign w:val="center"/>
          </w:tcPr>
          <w:p>
            <w:pPr>
              <w:pStyle w:val="42"/>
            </w:pPr>
          </w:p>
        </w:tc>
        <w:tc>
          <w:tcPr>
            <w:tcW w:w="537" w:type="dxa"/>
            <w:vAlign w:val="center"/>
          </w:tcPr>
          <w:p>
            <w:pPr>
              <w:pStyle w:val="42"/>
            </w:pPr>
            <w:r>
              <w:t>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2" w:type="dxa"/>
            <w:shd w:val="clear" w:color="auto" w:fill="auto"/>
            <w:vAlign w:val="center"/>
          </w:tcPr>
          <w:p>
            <w:pPr>
              <w:pStyle w:val="42"/>
            </w:pPr>
            <w:r>
              <w:rPr>
                <w:rFonts w:hint="eastAsia"/>
              </w:rPr>
              <w:t>25</w:t>
            </w:r>
            <w:r>
              <w:t>#</w:t>
            </w:r>
          </w:p>
        </w:tc>
        <w:tc>
          <w:tcPr>
            <w:tcW w:w="2727" w:type="dxa"/>
            <w:shd w:val="clear" w:color="auto" w:fill="auto"/>
            <w:vAlign w:val="center"/>
          </w:tcPr>
          <w:p>
            <w:pPr>
              <w:pStyle w:val="42"/>
            </w:pPr>
            <w:r>
              <w:rPr>
                <w:rFonts w:hint="eastAsia"/>
              </w:rPr>
              <w:t>亚太纸业1（新恒阳1）</w:t>
            </w:r>
          </w:p>
        </w:tc>
        <w:tc>
          <w:tcPr>
            <w:tcW w:w="1000" w:type="dxa"/>
            <w:vMerge w:val="continue"/>
            <w:vAlign w:val="center"/>
          </w:tcPr>
          <w:p>
            <w:pPr>
              <w:pStyle w:val="42"/>
            </w:pPr>
          </w:p>
        </w:tc>
        <w:tc>
          <w:tcPr>
            <w:tcW w:w="1418" w:type="dxa"/>
            <w:vAlign w:val="center"/>
          </w:tcPr>
          <w:p>
            <w:pPr>
              <w:pStyle w:val="42"/>
            </w:pPr>
            <w:r>
              <w:rPr>
                <w:rFonts w:hint="eastAsia"/>
              </w:rPr>
              <w:t>107.025118</w:t>
            </w:r>
          </w:p>
        </w:tc>
        <w:tc>
          <w:tcPr>
            <w:tcW w:w="1417" w:type="dxa"/>
            <w:vAlign w:val="center"/>
          </w:tcPr>
          <w:p>
            <w:pPr>
              <w:pStyle w:val="42"/>
            </w:pPr>
            <w:r>
              <w:rPr>
                <w:rFonts w:hint="eastAsia"/>
              </w:rPr>
              <w:t>29.821806</w:t>
            </w:r>
          </w:p>
        </w:tc>
        <w:tc>
          <w:tcPr>
            <w:tcW w:w="851" w:type="dxa"/>
            <w:vMerge w:val="continue"/>
            <w:vAlign w:val="center"/>
          </w:tcPr>
          <w:p>
            <w:pPr>
              <w:pStyle w:val="42"/>
            </w:pPr>
          </w:p>
        </w:tc>
        <w:tc>
          <w:tcPr>
            <w:tcW w:w="537" w:type="dxa"/>
            <w:vAlign w:val="center"/>
          </w:tcPr>
          <w:p>
            <w:pPr>
              <w:pStyle w:val="42"/>
            </w:pPr>
            <w:r>
              <w:t>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2" w:type="dxa"/>
            <w:shd w:val="clear" w:color="auto" w:fill="auto"/>
            <w:vAlign w:val="center"/>
          </w:tcPr>
          <w:p>
            <w:pPr>
              <w:pStyle w:val="42"/>
            </w:pPr>
            <w:r>
              <w:rPr>
                <w:rFonts w:hint="eastAsia"/>
              </w:rPr>
              <w:t>24</w:t>
            </w:r>
            <w:r>
              <w:t>#</w:t>
            </w:r>
          </w:p>
        </w:tc>
        <w:tc>
          <w:tcPr>
            <w:tcW w:w="2727" w:type="dxa"/>
            <w:shd w:val="clear" w:color="auto" w:fill="auto"/>
            <w:vAlign w:val="center"/>
          </w:tcPr>
          <w:p>
            <w:pPr>
              <w:pStyle w:val="42"/>
            </w:pPr>
            <w:r>
              <w:rPr>
                <w:rFonts w:hint="eastAsia"/>
              </w:rPr>
              <w:t>晏家重点企业3（博洲环境治理有限公司）</w:t>
            </w:r>
          </w:p>
        </w:tc>
        <w:tc>
          <w:tcPr>
            <w:tcW w:w="1000" w:type="dxa"/>
            <w:vMerge w:val="continue"/>
            <w:vAlign w:val="center"/>
          </w:tcPr>
          <w:p>
            <w:pPr>
              <w:pStyle w:val="42"/>
            </w:pPr>
          </w:p>
        </w:tc>
        <w:tc>
          <w:tcPr>
            <w:tcW w:w="1418" w:type="dxa"/>
            <w:vAlign w:val="center"/>
          </w:tcPr>
          <w:p>
            <w:pPr>
              <w:pStyle w:val="42"/>
            </w:pPr>
            <w:r>
              <w:rPr>
                <w:rFonts w:hint="eastAsia"/>
              </w:rPr>
              <w:t>106.974778</w:t>
            </w:r>
          </w:p>
        </w:tc>
        <w:tc>
          <w:tcPr>
            <w:tcW w:w="1417" w:type="dxa"/>
            <w:vAlign w:val="center"/>
          </w:tcPr>
          <w:p>
            <w:pPr>
              <w:pStyle w:val="42"/>
            </w:pPr>
            <w:r>
              <w:rPr>
                <w:rFonts w:hint="eastAsia"/>
              </w:rPr>
              <w:t>29.819796</w:t>
            </w:r>
          </w:p>
        </w:tc>
        <w:tc>
          <w:tcPr>
            <w:tcW w:w="851" w:type="dxa"/>
            <w:vMerge w:val="continue"/>
            <w:vAlign w:val="center"/>
          </w:tcPr>
          <w:p>
            <w:pPr>
              <w:pStyle w:val="42"/>
            </w:pPr>
          </w:p>
        </w:tc>
        <w:tc>
          <w:tcPr>
            <w:tcW w:w="537" w:type="dxa"/>
            <w:vAlign w:val="center"/>
          </w:tcPr>
          <w:p>
            <w:pPr>
              <w:pStyle w:val="42"/>
            </w:pPr>
            <w:r>
              <w:t>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2" w:type="dxa"/>
            <w:shd w:val="clear" w:color="auto" w:fill="auto"/>
            <w:vAlign w:val="center"/>
          </w:tcPr>
          <w:p>
            <w:pPr>
              <w:pStyle w:val="42"/>
            </w:pPr>
            <w:r>
              <w:rPr>
                <w:rFonts w:hint="eastAsia"/>
              </w:rPr>
              <w:t>11#</w:t>
            </w:r>
          </w:p>
        </w:tc>
        <w:tc>
          <w:tcPr>
            <w:tcW w:w="2727" w:type="dxa"/>
            <w:shd w:val="clear" w:color="auto" w:fill="auto"/>
            <w:vAlign w:val="center"/>
          </w:tcPr>
          <w:p>
            <w:pPr>
              <w:pStyle w:val="42"/>
            </w:pPr>
            <w:r>
              <w:t>海洲化学B区旁</w:t>
            </w:r>
          </w:p>
        </w:tc>
        <w:tc>
          <w:tcPr>
            <w:tcW w:w="1000" w:type="dxa"/>
            <w:vMerge w:val="continue"/>
            <w:vAlign w:val="center"/>
          </w:tcPr>
          <w:p>
            <w:pPr>
              <w:pStyle w:val="42"/>
            </w:pPr>
          </w:p>
        </w:tc>
        <w:tc>
          <w:tcPr>
            <w:tcW w:w="1418" w:type="dxa"/>
            <w:vAlign w:val="center"/>
          </w:tcPr>
          <w:p>
            <w:pPr>
              <w:pStyle w:val="42"/>
            </w:pPr>
            <w:r>
              <w:rPr>
                <w:rFonts w:hint="eastAsia"/>
              </w:rPr>
              <w:t>106.979198</w:t>
            </w:r>
          </w:p>
        </w:tc>
        <w:tc>
          <w:tcPr>
            <w:tcW w:w="1417" w:type="dxa"/>
            <w:vAlign w:val="center"/>
          </w:tcPr>
          <w:p>
            <w:pPr>
              <w:pStyle w:val="42"/>
            </w:pPr>
            <w:r>
              <w:rPr>
                <w:rFonts w:hint="eastAsia"/>
              </w:rPr>
              <w:t>29.815141</w:t>
            </w:r>
          </w:p>
        </w:tc>
        <w:tc>
          <w:tcPr>
            <w:tcW w:w="851" w:type="dxa"/>
            <w:vMerge w:val="continue"/>
            <w:vAlign w:val="center"/>
          </w:tcPr>
          <w:p>
            <w:pPr>
              <w:pStyle w:val="42"/>
            </w:pPr>
          </w:p>
        </w:tc>
        <w:tc>
          <w:tcPr>
            <w:tcW w:w="537" w:type="dxa"/>
            <w:vAlign w:val="center"/>
          </w:tcPr>
          <w:p>
            <w:pPr>
              <w:pStyle w:val="42"/>
            </w:pPr>
            <w:r>
              <w:t>下游</w:t>
            </w:r>
          </w:p>
        </w:tc>
      </w:tr>
    </w:tbl>
    <w:p>
      <w:pPr>
        <w:ind w:firstLine="480"/>
      </w:pPr>
      <w:r>
        <w:rPr>
          <w:rFonts w:hint="eastAsia"/>
        </w:rPr>
        <w:t>（4）环境质量现状分析及评价</w:t>
      </w:r>
    </w:p>
    <w:p>
      <w:pPr>
        <w:ind w:firstLine="480"/>
      </w:pPr>
      <w:r>
        <w:rPr>
          <w:rFonts w:hint="eastAsia"/>
        </w:rPr>
        <w:t>采用标准指数法，对于评价标准为定值的水质因子：</w:t>
      </w:r>
    </w:p>
    <w:p>
      <w:pPr>
        <w:pStyle w:val="41"/>
      </w:pPr>
      <w:r>
        <w:object>
          <v:shape id="_x0000_i1028" o:spt="75" type="#_x0000_t75" style="height:34.65pt;width:41.45pt;" o:ole="t" filled="f" coordsize="21600,21600">
            <v:path/>
            <v:fill on="f" opacity="0f" focussize="0,0"/>
            <v:stroke/>
            <v:imagedata r:id="rId59" chromakey="#FFFFFF" o:title=""/>
            <o:lock v:ext="edit" aspectratio="t"/>
            <w10:wrap type="none"/>
            <w10:anchorlock/>
          </v:shape>
          <o:OLEObject Type="Embed" ProgID="Equation.3" ShapeID="_x0000_i1028" DrawAspect="Content" ObjectID="_1468075728" r:id="rId58">
            <o:LockedField>false</o:LockedField>
          </o:OLEObject>
        </w:object>
      </w:r>
    </w:p>
    <w:p>
      <w:pPr>
        <w:ind w:firstLine="480"/>
      </w:pPr>
      <w:r>
        <w:t>式中：</w:t>
      </w:r>
      <w:r>
        <w:object>
          <v:shape id="_x0000_i1029" o:spt="75" type="#_x0000_t75" style="height:19pt;width:12.9pt;" o:ole="t" filled="f" coordsize="21600,21600">
            <v:path/>
            <v:fill on="f" opacity="0f" focussize="0,0"/>
            <v:stroke/>
            <v:imagedata r:id="rId61" chromakey="#FFFFFF" o:title=""/>
            <o:lock v:ext="edit" aspectratio="t"/>
            <w10:wrap type="none"/>
            <w10:anchorlock/>
          </v:shape>
          <o:OLEObject Type="Embed" ProgID="Equation.3" ShapeID="_x0000_i1029" DrawAspect="Content" ObjectID="_1468075729" r:id="rId60">
            <o:LockedField>false</o:LockedField>
          </o:OLEObject>
        </w:object>
      </w:r>
      <w:r>
        <w:t>－第i个水质因子的标准指数，无量纲；</w:t>
      </w:r>
    </w:p>
    <w:p>
      <w:pPr>
        <w:ind w:firstLine="480"/>
      </w:pPr>
      <w:r>
        <w:object>
          <v:shape id="_x0000_i1030" o:spt="75" type="#_x0000_t75" style="height:19pt;width:14.95pt;" o:ole="t" filled="f" coordsize="21600,21600">
            <v:path/>
            <v:fill on="f" opacity="0f" focussize="0,0"/>
            <v:stroke/>
            <v:imagedata r:id="rId63" chromakey="#FFFFFF" o:title=""/>
            <o:lock v:ext="edit" aspectratio="t"/>
            <w10:wrap type="none"/>
            <w10:anchorlock/>
          </v:shape>
          <o:OLEObject Type="Embed" ProgID="Equation.3" ShapeID="_x0000_i1030" DrawAspect="Content" ObjectID="_1468075730" r:id="rId62">
            <o:LockedField>false</o:LockedField>
          </o:OLEObject>
        </w:object>
      </w:r>
      <w:r>
        <w:t xml:space="preserve"> －第i个水质因子的监测浓度值，mg/L；</w:t>
      </w:r>
    </w:p>
    <w:p>
      <w:pPr>
        <w:ind w:firstLine="480"/>
      </w:pPr>
      <w:r>
        <w:object>
          <v:shape id="_x0000_i1031" o:spt="75" type="#_x0000_t75" style="height:19.7pt;width:19.7pt;" o:ole="t" filled="f" coordsize="21600,21600">
            <v:path/>
            <v:fill on="f" focussize="0,0"/>
            <v:stroke/>
            <v:imagedata r:id="rId65" o:title=""/>
            <o:lock v:ext="edit" aspectratio="t"/>
            <w10:wrap type="none"/>
            <w10:anchorlock/>
          </v:shape>
          <o:OLEObject Type="Embed" ProgID="Equation.3" ShapeID="_x0000_i1031" DrawAspect="Content" ObjectID="_1468075731" r:id="rId64">
            <o:LockedField>false</o:LockedField>
          </o:OLEObject>
        </w:object>
      </w:r>
      <w:r>
        <w:t xml:space="preserve"> －第i个水质因子的标准浓度值，mg/L；。</w:t>
      </w:r>
    </w:p>
    <w:p>
      <w:pPr>
        <w:ind w:firstLine="480"/>
      </w:pPr>
      <w:r>
        <w:t>标准指数＞1，表明该水质因子已超标，标准指数越大，超标</w:t>
      </w:r>
      <w:r>
        <w:rPr>
          <w:rFonts w:hint="eastAsia"/>
        </w:rPr>
        <w:t>越</w:t>
      </w:r>
      <w:r>
        <w:t>严重。</w:t>
      </w:r>
    </w:p>
    <w:p>
      <w:pPr>
        <w:ind w:firstLine="480"/>
      </w:pPr>
      <w:r>
        <w:t>对于评价标准为区间值的水质因子（如pH值）：</w:t>
      </w:r>
    </w:p>
    <w:p>
      <w:pPr>
        <w:pStyle w:val="41"/>
      </w:pPr>
      <w:r>
        <w:object>
          <v:shape id="_x0000_i1032" o:spt="75" type="#_x0000_t75" style="height:37.35pt;width:86.95pt;" o:ole="t" filled="f" coordsize="21600,21600">
            <v:path/>
            <v:fill on="f" focussize="0,0"/>
            <v:stroke/>
            <v:imagedata r:id="rId55" o:title=""/>
            <o:lock v:ext="edit" aspectratio="t"/>
            <w10:wrap type="none"/>
            <w10:anchorlock/>
          </v:shape>
          <o:OLEObject Type="Embed" ProgID="Equation.3" ShapeID="_x0000_i1032" DrawAspect="Content" ObjectID="_1468075732" r:id="rId66">
            <o:LockedField>false</o:LockedField>
          </o:OLEObject>
        </w:object>
      </w:r>
      <w:r>
        <w:rPr>
          <w:rFonts w:hint="eastAsia"/>
        </w:rPr>
        <w:t xml:space="preserve">         </w:t>
      </w:r>
      <w:r>
        <w:t xml:space="preserve"> pH</w:t>
      </w:r>
      <w:r>
        <w:rPr>
          <w:vertAlign w:val="subscript"/>
        </w:rPr>
        <w:t>j</w:t>
      </w:r>
      <w:r>
        <w:t>＞7.0</w:t>
      </w:r>
    </w:p>
    <w:p>
      <w:pPr>
        <w:pStyle w:val="41"/>
      </w:pPr>
      <w:r>
        <w:object>
          <v:shape id="_x0000_i1033" o:spt="75" type="#_x0000_t75" style="height:37.35pt;width:88.3pt;" o:ole="t" filled="f" coordsize="21600,21600">
            <v:path/>
            <v:fill on="f" focussize="0,0"/>
            <v:stroke/>
            <v:imagedata r:id="rId57" o:title=""/>
            <o:lock v:ext="edit" aspectratio="t"/>
            <w10:wrap type="none"/>
            <w10:anchorlock/>
          </v:shape>
          <o:OLEObject Type="Embed" ProgID="Equation.3" ShapeID="_x0000_i1033" DrawAspect="Content" ObjectID="_1468075733" r:id="rId67">
            <o:LockedField>false</o:LockedField>
          </o:OLEObject>
        </w:object>
      </w:r>
      <w:r>
        <w:rPr>
          <w:rFonts w:hint="eastAsia"/>
        </w:rPr>
        <w:t xml:space="preserve">         </w:t>
      </w:r>
      <w:r>
        <w:t>pH</w:t>
      </w:r>
      <w:r>
        <w:rPr>
          <w:vertAlign w:val="subscript"/>
        </w:rPr>
        <w:t>j</w:t>
      </w:r>
      <w:r>
        <w:t>≤7.0</w:t>
      </w:r>
    </w:p>
    <w:p>
      <w:pPr>
        <w:ind w:firstLine="480"/>
      </w:pPr>
      <w:r>
        <w:t>式中：</w:t>
      </w:r>
      <w:r>
        <w:object>
          <v:shape id="_x0000_i1034" o:spt="75" type="#_x0000_t75" style="height:19.7pt;width:22.4pt;" o:ole="t" filled="f" coordsize="21600,21600">
            <v:path/>
            <v:fill on="f" focussize="0,0"/>
            <v:stroke/>
            <v:imagedata r:id="rId69" o:title=""/>
            <o:lock v:ext="edit" aspectratio="t"/>
            <w10:wrap type="none"/>
            <w10:anchorlock/>
          </v:shape>
          <o:OLEObject Type="Embed" ProgID="Equation.3" ShapeID="_x0000_i1034" DrawAspect="Content" ObjectID="_1468075734" r:id="rId68">
            <o:LockedField>false</o:LockedField>
          </o:OLEObject>
        </w:object>
      </w:r>
      <w:r>
        <w:rPr>
          <w:rFonts w:hint="eastAsia"/>
        </w:rPr>
        <w:t>——</w:t>
      </w:r>
      <w:r>
        <w:t>pH的标准指数，无量纲；</w:t>
      </w:r>
    </w:p>
    <w:p>
      <w:pPr>
        <w:ind w:firstLine="1200" w:firstLineChars="500"/>
      </w:pPr>
      <w:r>
        <w:t>pH</w:t>
      </w:r>
      <w:r>
        <w:rPr>
          <w:rFonts w:hint="eastAsia"/>
        </w:rPr>
        <w:t>——</w:t>
      </w:r>
      <w:r>
        <w:t>pH监测值；</w:t>
      </w:r>
    </w:p>
    <w:p>
      <w:pPr>
        <w:ind w:firstLine="1132" w:firstLineChars="472"/>
      </w:pPr>
      <w:r>
        <w:rPr>
          <w:position w:val="-12"/>
        </w:rPr>
        <w:object>
          <v:shape id="_x0000_i1035" o:spt="75" type="#_x0000_t75" style="height:19.7pt;width:27.15pt;" o:ole="t" filled="f" coordsize="21600,21600">
            <v:path/>
            <v:fill on="f" focussize="0,0"/>
            <v:stroke/>
            <v:imagedata r:id="rId71" o:title=""/>
            <o:lock v:ext="edit" aspectratio="t"/>
            <w10:wrap type="none"/>
            <w10:anchorlock/>
          </v:shape>
          <o:OLEObject Type="Embed" ProgID="Equation.3" ShapeID="_x0000_i1035" DrawAspect="Content" ObjectID="_1468075735" r:id="rId70">
            <o:LockedField>false</o:LockedField>
          </o:OLEObject>
        </w:object>
      </w:r>
      <w:r>
        <w:rPr>
          <w:rFonts w:hint="eastAsia"/>
        </w:rPr>
        <w:t>——</w:t>
      </w:r>
      <w:r>
        <w:t>标准中pH的上限值；</w:t>
      </w:r>
    </w:p>
    <w:p>
      <w:pPr>
        <w:ind w:firstLine="1080" w:firstLineChars="450"/>
      </w:pPr>
      <w:r>
        <w:rPr>
          <w:position w:val="-10"/>
        </w:rPr>
        <w:object>
          <v:shape id="_x0000_i1036" o:spt="75" type="#_x0000_t75" style="height:16.3pt;width:29.9pt;" o:ole="t" filled="f" coordsize="21600,21600">
            <v:path/>
            <v:fill on="f" focussize="0,0"/>
            <v:stroke/>
            <v:imagedata r:id="rId73" o:title=""/>
            <o:lock v:ext="edit" aspectratio="t"/>
            <w10:wrap type="none"/>
            <w10:anchorlock/>
          </v:shape>
          <o:OLEObject Type="Embed" ProgID="Equation.3" ShapeID="_x0000_i1036" DrawAspect="Content" ObjectID="_1468075736" r:id="rId72">
            <o:LockedField>false</o:LockedField>
          </o:OLEObject>
        </w:object>
      </w:r>
      <w:r>
        <w:rPr>
          <w:rFonts w:hint="eastAsia"/>
        </w:rPr>
        <w:t>——</w:t>
      </w:r>
      <w:r>
        <w:t>标准中pH的下限值。</w:t>
      </w:r>
    </w:p>
    <w:p>
      <w:pPr>
        <w:ind w:firstLine="480"/>
      </w:pPr>
      <w:r>
        <w:rPr>
          <w:rFonts w:hint="eastAsia"/>
        </w:rPr>
        <w:t>采用标准指数法评价，以《地下水质量标准》(GB/T14848-2017)中的Ⅲ类标准为评价标准，以地下水实测值和评价标准相比，计算各项污染物的污染指数，监测及评价结果统计见表4.4-6和表4.4-7。</w:t>
      </w:r>
    </w:p>
    <w:p>
      <w:pPr>
        <w:ind w:firstLine="480"/>
      </w:pPr>
      <w:r>
        <w:rPr>
          <w:rFonts w:hint="eastAsia"/>
        </w:rPr>
        <w:t>由表4.4-6可知，评价区域内地下水的钾、钠、钙、镁等八大离子含量均在正常范围内，确定该调查区地下水类型为HCO</w:t>
      </w:r>
      <w:r>
        <w:rPr>
          <w:rFonts w:hint="eastAsia"/>
          <w:vertAlign w:val="subscript"/>
        </w:rPr>
        <w:t>3</w:t>
      </w:r>
      <w:r>
        <w:rPr>
          <w:rFonts w:hint="eastAsia"/>
        </w:rPr>
        <w:t>-Ca•Mg型水；由表4.4-7可知，评价引用各监测点各项监测指标的Pi值均不大于1，各监测指标均满足《地下水质量标准》（GB/T14848-2017）III类标准要求，项目所在区域地下水环境质量较好。</w:t>
      </w:r>
    </w:p>
    <w:p>
      <w:pPr>
        <w:ind w:firstLine="480"/>
        <w:sectPr>
          <w:pgSz w:w="11906" w:h="16838"/>
          <w:pgMar w:top="1440" w:right="1800" w:bottom="1440" w:left="1800" w:header="851" w:footer="992" w:gutter="0"/>
          <w:cols w:space="425" w:num="1"/>
          <w:docGrid w:type="lines" w:linePitch="312" w:charSpace="0"/>
        </w:sectPr>
      </w:pPr>
    </w:p>
    <w:p>
      <w:pPr>
        <w:pStyle w:val="41"/>
      </w:pPr>
      <w:r>
        <w:rPr>
          <w:rFonts w:hint="eastAsia"/>
        </w:rPr>
        <w:t>表4.4-6  地下水中八大离子环境质量现状监测结果单位：mg/L</w:t>
      </w:r>
    </w:p>
    <w:tbl>
      <w:tblPr>
        <w:tblStyle w:val="33"/>
        <w:tblW w:w="140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49"/>
        <w:gridCol w:w="992"/>
        <w:gridCol w:w="1102"/>
        <w:gridCol w:w="1130"/>
        <w:gridCol w:w="1250"/>
        <w:gridCol w:w="1250"/>
        <w:gridCol w:w="1250"/>
        <w:gridCol w:w="1248"/>
        <w:gridCol w:w="1245"/>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41" w:type="dxa"/>
            <w:gridSpan w:val="2"/>
            <w:vAlign w:val="center"/>
          </w:tcPr>
          <w:p>
            <w:pPr>
              <w:pStyle w:val="42"/>
            </w:pPr>
            <w:r>
              <w:t>监测项目、监测点位</w:t>
            </w:r>
          </w:p>
        </w:tc>
        <w:tc>
          <w:tcPr>
            <w:tcW w:w="1102" w:type="dxa"/>
            <w:vAlign w:val="center"/>
          </w:tcPr>
          <w:p>
            <w:pPr>
              <w:pStyle w:val="42"/>
            </w:pPr>
            <w:r>
              <w:t>K</w:t>
            </w:r>
            <w:r>
              <w:rPr>
                <w:vertAlign w:val="superscript"/>
              </w:rPr>
              <w:t>+</w:t>
            </w:r>
          </w:p>
        </w:tc>
        <w:tc>
          <w:tcPr>
            <w:tcW w:w="1130" w:type="dxa"/>
            <w:vAlign w:val="center"/>
          </w:tcPr>
          <w:p>
            <w:pPr>
              <w:pStyle w:val="42"/>
            </w:pPr>
            <w:r>
              <w:t>Na</w:t>
            </w:r>
            <w:r>
              <w:rPr>
                <w:vertAlign w:val="superscript"/>
              </w:rPr>
              <w:t>+</w:t>
            </w:r>
          </w:p>
        </w:tc>
        <w:tc>
          <w:tcPr>
            <w:tcW w:w="1250" w:type="dxa"/>
            <w:vAlign w:val="center"/>
          </w:tcPr>
          <w:p>
            <w:pPr>
              <w:pStyle w:val="42"/>
            </w:pPr>
            <w:r>
              <w:t>Ca</w:t>
            </w:r>
            <w:r>
              <w:rPr>
                <w:vertAlign w:val="superscript"/>
              </w:rPr>
              <w:t>2+</w:t>
            </w:r>
          </w:p>
        </w:tc>
        <w:tc>
          <w:tcPr>
            <w:tcW w:w="1250" w:type="dxa"/>
            <w:vAlign w:val="center"/>
          </w:tcPr>
          <w:p>
            <w:pPr>
              <w:pStyle w:val="42"/>
            </w:pPr>
            <w:r>
              <w:t>Mg</w:t>
            </w:r>
            <w:r>
              <w:rPr>
                <w:vertAlign w:val="superscript"/>
              </w:rPr>
              <w:t>2+</w:t>
            </w:r>
          </w:p>
        </w:tc>
        <w:tc>
          <w:tcPr>
            <w:tcW w:w="1250" w:type="dxa"/>
            <w:vAlign w:val="center"/>
          </w:tcPr>
          <w:p>
            <w:pPr>
              <w:pStyle w:val="42"/>
            </w:pPr>
            <w:r>
              <w:t>Cl</w:t>
            </w:r>
            <w:r>
              <w:rPr>
                <w:vertAlign w:val="superscript"/>
              </w:rPr>
              <w:t>-</w:t>
            </w:r>
          </w:p>
        </w:tc>
        <w:tc>
          <w:tcPr>
            <w:tcW w:w="1248" w:type="dxa"/>
            <w:vAlign w:val="center"/>
          </w:tcPr>
          <w:p>
            <w:pPr>
              <w:pStyle w:val="42"/>
            </w:pPr>
            <w:r>
              <w:t>SO</w:t>
            </w:r>
            <w:r>
              <w:rPr>
                <w:vertAlign w:val="subscript"/>
              </w:rPr>
              <w:t>4</w:t>
            </w:r>
            <w:r>
              <w:rPr>
                <w:vertAlign w:val="superscript"/>
              </w:rPr>
              <w:t>2-</w:t>
            </w:r>
          </w:p>
        </w:tc>
        <w:tc>
          <w:tcPr>
            <w:tcW w:w="1245" w:type="dxa"/>
            <w:vAlign w:val="center"/>
          </w:tcPr>
          <w:p>
            <w:pPr>
              <w:pStyle w:val="42"/>
            </w:pPr>
            <w:r>
              <w:t>CO</w:t>
            </w:r>
            <w:r>
              <w:rPr>
                <w:vertAlign w:val="subscript"/>
              </w:rPr>
              <w:t>3</w:t>
            </w:r>
            <w:r>
              <w:rPr>
                <w:vertAlign w:val="superscript"/>
              </w:rPr>
              <w:t>-</w:t>
            </w:r>
          </w:p>
        </w:tc>
        <w:tc>
          <w:tcPr>
            <w:tcW w:w="1402" w:type="dxa"/>
            <w:vAlign w:val="center"/>
          </w:tcPr>
          <w:p>
            <w:pPr>
              <w:pStyle w:val="42"/>
            </w:pPr>
            <w:r>
              <w:t>HCO</w:t>
            </w:r>
            <w:r>
              <w:rPr>
                <w:vertAlign w:val="subscript"/>
              </w:rPr>
              <w:t>3</w:t>
            </w:r>
            <w:r>
              <w:rPr>
                <w:vertAlign w:val="superscript"/>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41" w:type="dxa"/>
            <w:gridSpan w:val="2"/>
            <w:vAlign w:val="center"/>
          </w:tcPr>
          <w:p>
            <w:pPr>
              <w:pStyle w:val="42"/>
            </w:pPr>
            <w:r>
              <w:t>标准值</w:t>
            </w:r>
          </w:p>
        </w:tc>
        <w:tc>
          <w:tcPr>
            <w:tcW w:w="1102" w:type="dxa"/>
            <w:vAlign w:val="center"/>
          </w:tcPr>
          <w:p>
            <w:pPr>
              <w:pStyle w:val="42"/>
            </w:pPr>
            <w:r>
              <w:t>100</w:t>
            </w:r>
          </w:p>
        </w:tc>
        <w:tc>
          <w:tcPr>
            <w:tcW w:w="1130" w:type="dxa"/>
            <w:vAlign w:val="center"/>
          </w:tcPr>
          <w:p>
            <w:pPr>
              <w:pStyle w:val="42"/>
            </w:pPr>
            <w:r>
              <w:t>200</w:t>
            </w:r>
          </w:p>
        </w:tc>
        <w:tc>
          <w:tcPr>
            <w:tcW w:w="1250" w:type="dxa"/>
            <w:vAlign w:val="center"/>
          </w:tcPr>
          <w:p>
            <w:pPr>
              <w:pStyle w:val="42"/>
            </w:pPr>
            <w:r>
              <w:t>100</w:t>
            </w:r>
          </w:p>
        </w:tc>
        <w:tc>
          <w:tcPr>
            <w:tcW w:w="1250" w:type="dxa"/>
            <w:vAlign w:val="center"/>
          </w:tcPr>
          <w:p>
            <w:pPr>
              <w:pStyle w:val="42"/>
            </w:pPr>
            <w:r>
              <w:t>100</w:t>
            </w:r>
          </w:p>
        </w:tc>
        <w:tc>
          <w:tcPr>
            <w:tcW w:w="1250" w:type="dxa"/>
            <w:vAlign w:val="center"/>
          </w:tcPr>
          <w:p>
            <w:pPr>
              <w:pStyle w:val="42"/>
            </w:pPr>
            <w:r>
              <w:t>250</w:t>
            </w:r>
          </w:p>
        </w:tc>
        <w:tc>
          <w:tcPr>
            <w:tcW w:w="1248" w:type="dxa"/>
            <w:vAlign w:val="center"/>
          </w:tcPr>
          <w:p>
            <w:pPr>
              <w:pStyle w:val="42"/>
            </w:pPr>
            <w:r>
              <w:t>250</w:t>
            </w:r>
          </w:p>
        </w:tc>
        <w:tc>
          <w:tcPr>
            <w:tcW w:w="1245" w:type="dxa"/>
            <w:vAlign w:val="center"/>
          </w:tcPr>
          <w:p>
            <w:pPr>
              <w:pStyle w:val="42"/>
            </w:pPr>
            <w:r>
              <w:t>/</w:t>
            </w:r>
          </w:p>
        </w:tc>
        <w:tc>
          <w:tcPr>
            <w:tcW w:w="1402" w:type="dxa"/>
            <w:vAlign w:val="center"/>
          </w:tcPr>
          <w:p>
            <w:pPr>
              <w:pStyle w:val="42"/>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149" w:type="dxa"/>
            <w:vAlign w:val="center"/>
          </w:tcPr>
          <w:p>
            <w:pPr>
              <w:pStyle w:val="42"/>
            </w:pPr>
            <w:r>
              <w:rPr>
                <w:rFonts w:hint="eastAsia"/>
              </w:rPr>
              <w:t>8#正新北侧围墙外</w:t>
            </w:r>
          </w:p>
        </w:tc>
        <w:tc>
          <w:tcPr>
            <w:tcW w:w="992" w:type="dxa"/>
            <w:vAlign w:val="center"/>
          </w:tcPr>
          <w:p>
            <w:pPr>
              <w:pStyle w:val="42"/>
            </w:pPr>
            <w:r>
              <w:t>浓度值</w:t>
            </w:r>
          </w:p>
        </w:tc>
        <w:tc>
          <w:tcPr>
            <w:tcW w:w="1102" w:type="dxa"/>
            <w:vAlign w:val="center"/>
          </w:tcPr>
          <w:p>
            <w:pPr>
              <w:pStyle w:val="42"/>
            </w:pPr>
            <w:r>
              <w:rPr>
                <w:rFonts w:hint="eastAsia"/>
              </w:rPr>
              <w:t>1.90</w:t>
            </w:r>
          </w:p>
        </w:tc>
        <w:tc>
          <w:tcPr>
            <w:tcW w:w="1130" w:type="dxa"/>
            <w:vAlign w:val="center"/>
          </w:tcPr>
          <w:p>
            <w:pPr>
              <w:pStyle w:val="42"/>
            </w:pPr>
            <w:r>
              <w:rPr>
                <w:rFonts w:hint="eastAsia"/>
              </w:rPr>
              <w:t>26.3</w:t>
            </w:r>
          </w:p>
        </w:tc>
        <w:tc>
          <w:tcPr>
            <w:tcW w:w="1250" w:type="dxa"/>
            <w:vAlign w:val="center"/>
          </w:tcPr>
          <w:p>
            <w:pPr>
              <w:pStyle w:val="42"/>
            </w:pPr>
            <w:r>
              <w:rPr>
                <w:rFonts w:hint="eastAsia"/>
              </w:rPr>
              <w:t>88.5</w:t>
            </w:r>
          </w:p>
        </w:tc>
        <w:tc>
          <w:tcPr>
            <w:tcW w:w="1250" w:type="dxa"/>
            <w:vAlign w:val="center"/>
          </w:tcPr>
          <w:p>
            <w:pPr>
              <w:pStyle w:val="42"/>
            </w:pPr>
            <w:r>
              <w:rPr>
                <w:rFonts w:hint="eastAsia"/>
              </w:rPr>
              <w:t>22.3</w:t>
            </w:r>
          </w:p>
        </w:tc>
        <w:tc>
          <w:tcPr>
            <w:tcW w:w="1250" w:type="dxa"/>
            <w:vAlign w:val="center"/>
          </w:tcPr>
          <w:p>
            <w:pPr>
              <w:pStyle w:val="42"/>
            </w:pPr>
            <w:r>
              <w:rPr>
                <w:rFonts w:hint="eastAsia"/>
              </w:rPr>
              <w:t>9.55</w:t>
            </w:r>
          </w:p>
        </w:tc>
        <w:tc>
          <w:tcPr>
            <w:tcW w:w="1248" w:type="dxa"/>
            <w:vAlign w:val="center"/>
          </w:tcPr>
          <w:p>
            <w:pPr>
              <w:pStyle w:val="42"/>
            </w:pPr>
            <w:r>
              <w:rPr>
                <w:rFonts w:hint="eastAsia"/>
              </w:rPr>
              <w:t>51.5</w:t>
            </w:r>
          </w:p>
        </w:tc>
        <w:tc>
          <w:tcPr>
            <w:tcW w:w="1245" w:type="dxa"/>
            <w:vAlign w:val="center"/>
          </w:tcPr>
          <w:p>
            <w:pPr>
              <w:pStyle w:val="42"/>
            </w:pPr>
            <w:r>
              <w:rPr>
                <w:rFonts w:hint="eastAsia"/>
              </w:rPr>
              <w:t>0</w:t>
            </w:r>
          </w:p>
        </w:tc>
        <w:tc>
          <w:tcPr>
            <w:tcW w:w="1402" w:type="dxa"/>
            <w:vAlign w:val="center"/>
          </w:tcPr>
          <w:p>
            <w:pPr>
              <w:pStyle w:val="42"/>
            </w:pPr>
            <w:r>
              <w:rPr>
                <w:rFonts w:hint="eastAsia"/>
              </w:rPr>
              <w:t>6.34</w:t>
            </w:r>
            <w:r>
              <w:rPr>
                <w:rFonts w:hint="eastAsia" w:ascii="宋体" w:hAnsi="宋体"/>
              </w:rPr>
              <w:t>×</w:t>
            </w:r>
            <w:r>
              <w:rPr>
                <w:rFonts w:hint="eastAsia"/>
              </w:rPr>
              <w:t>10</w:t>
            </w:r>
            <w:r>
              <w:rPr>
                <w:rFonts w:hint="eastAsia"/>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149" w:type="dxa"/>
            <w:vAlign w:val="center"/>
          </w:tcPr>
          <w:p>
            <w:pPr>
              <w:pStyle w:val="42"/>
            </w:pPr>
            <w:r>
              <w:rPr>
                <w:rFonts w:hint="eastAsia"/>
              </w:rPr>
              <w:t>9#河泉水库东南侧</w:t>
            </w:r>
          </w:p>
        </w:tc>
        <w:tc>
          <w:tcPr>
            <w:tcW w:w="992" w:type="dxa"/>
            <w:vAlign w:val="center"/>
          </w:tcPr>
          <w:p>
            <w:pPr>
              <w:pStyle w:val="42"/>
            </w:pPr>
            <w:r>
              <w:t>浓度值</w:t>
            </w:r>
          </w:p>
        </w:tc>
        <w:tc>
          <w:tcPr>
            <w:tcW w:w="1102" w:type="dxa"/>
            <w:vAlign w:val="center"/>
          </w:tcPr>
          <w:p>
            <w:pPr>
              <w:pStyle w:val="42"/>
            </w:pPr>
            <w:r>
              <w:rPr>
                <w:rFonts w:hint="eastAsia"/>
              </w:rPr>
              <w:t>1.10</w:t>
            </w:r>
          </w:p>
        </w:tc>
        <w:tc>
          <w:tcPr>
            <w:tcW w:w="1130" w:type="dxa"/>
            <w:vAlign w:val="center"/>
          </w:tcPr>
          <w:p>
            <w:pPr>
              <w:pStyle w:val="42"/>
            </w:pPr>
            <w:r>
              <w:rPr>
                <w:rFonts w:hint="eastAsia"/>
              </w:rPr>
              <w:t>25.5</w:t>
            </w:r>
          </w:p>
        </w:tc>
        <w:tc>
          <w:tcPr>
            <w:tcW w:w="1250" w:type="dxa"/>
            <w:vAlign w:val="center"/>
          </w:tcPr>
          <w:p>
            <w:pPr>
              <w:pStyle w:val="42"/>
            </w:pPr>
            <w:r>
              <w:rPr>
                <w:rFonts w:hint="eastAsia"/>
              </w:rPr>
              <w:t>27.9</w:t>
            </w:r>
          </w:p>
        </w:tc>
        <w:tc>
          <w:tcPr>
            <w:tcW w:w="1250" w:type="dxa"/>
            <w:vAlign w:val="center"/>
          </w:tcPr>
          <w:p>
            <w:pPr>
              <w:pStyle w:val="42"/>
            </w:pPr>
            <w:r>
              <w:rPr>
                <w:rFonts w:hint="eastAsia"/>
              </w:rPr>
              <w:t>14.9</w:t>
            </w:r>
          </w:p>
        </w:tc>
        <w:tc>
          <w:tcPr>
            <w:tcW w:w="1250" w:type="dxa"/>
            <w:vAlign w:val="center"/>
          </w:tcPr>
          <w:p>
            <w:pPr>
              <w:pStyle w:val="42"/>
            </w:pPr>
            <w:r>
              <w:rPr>
                <w:rFonts w:hint="eastAsia"/>
              </w:rPr>
              <w:t>7.23</w:t>
            </w:r>
          </w:p>
        </w:tc>
        <w:tc>
          <w:tcPr>
            <w:tcW w:w="1248" w:type="dxa"/>
            <w:vAlign w:val="center"/>
          </w:tcPr>
          <w:p>
            <w:pPr>
              <w:pStyle w:val="42"/>
            </w:pPr>
            <w:r>
              <w:rPr>
                <w:rFonts w:hint="eastAsia"/>
              </w:rPr>
              <w:t>62.6</w:t>
            </w:r>
          </w:p>
        </w:tc>
        <w:tc>
          <w:tcPr>
            <w:tcW w:w="1245" w:type="dxa"/>
            <w:vAlign w:val="center"/>
          </w:tcPr>
          <w:p>
            <w:pPr>
              <w:pStyle w:val="42"/>
            </w:pPr>
            <w:r>
              <w:rPr>
                <w:rFonts w:hint="eastAsia"/>
              </w:rPr>
              <w:t>0</w:t>
            </w:r>
          </w:p>
        </w:tc>
        <w:tc>
          <w:tcPr>
            <w:tcW w:w="1402" w:type="dxa"/>
            <w:vAlign w:val="center"/>
          </w:tcPr>
          <w:p>
            <w:pPr>
              <w:pStyle w:val="42"/>
            </w:pPr>
            <w:r>
              <w:rPr>
                <w:rFonts w:hint="eastAsia"/>
              </w:rPr>
              <w:t>2.49</w:t>
            </w:r>
            <w:r>
              <w:rPr>
                <w:rFonts w:hint="eastAsia" w:ascii="宋体" w:hAnsi="宋体"/>
              </w:rPr>
              <w:t>×</w:t>
            </w:r>
            <w:r>
              <w:rPr>
                <w:rFonts w:hint="eastAsia"/>
              </w:rPr>
              <w:t>10</w:t>
            </w:r>
            <w:r>
              <w:rPr>
                <w:rFonts w:hint="eastAsia"/>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149" w:type="dxa"/>
            <w:vAlign w:val="center"/>
          </w:tcPr>
          <w:p>
            <w:pPr>
              <w:pStyle w:val="42"/>
            </w:pPr>
            <w:r>
              <w:rPr>
                <w:rFonts w:hint="eastAsia"/>
              </w:rPr>
              <w:t>25#亚太纸业1（新恒阳1）</w:t>
            </w:r>
          </w:p>
        </w:tc>
        <w:tc>
          <w:tcPr>
            <w:tcW w:w="992" w:type="dxa"/>
            <w:vAlign w:val="center"/>
          </w:tcPr>
          <w:p>
            <w:pPr>
              <w:pStyle w:val="42"/>
            </w:pPr>
            <w:r>
              <w:t>浓度值</w:t>
            </w:r>
          </w:p>
        </w:tc>
        <w:tc>
          <w:tcPr>
            <w:tcW w:w="1102" w:type="dxa"/>
            <w:vAlign w:val="center"/>
          </w:tcPr>
          <w:p>
            <w:pPr>
              <w:pStyle w:val="42"/>
            </w:pPr>
            <w:r>
              <w:rPr>
                <w:rFonts w:hint="eastAsia"/>
              </w:rPr>
              <w:t>3.14</w:t>
            </w:r>
          </w:p>
        </w:tc>
        <w:tc>
          <w:tcPr>
            <w:tcW w:w="1130" w:type="dxa"/>
            <w:vAlign w:val="center"/>
          </w:tcPr>
          <w:p>
            <w:pPr>
              <w:pStyle w:val="42"/>
            </w:pPr>
            <w:r>
              <w:rPr>
                <w:rFonts w:hint="eastAsia"/>
              </w:rPr>
              <w:t>31.5</w:t>
            </w:r>
          </w:p>
        </w:tc>
        <w:tc>
          <w:tcPr>
            <w:tcW w:w="1250" w:type="dxa"/>
            <w:vAlign w:val="center"/>
          </w:tcPr>
          <w:p>
            <w:pPr>
              <w:pStyle w:val="42"/>
            </w:pPr>
            <w:r>
              <w:rPr>
                <w:rFonts w:hint="eastAsia"/>
              </w:rPr>
              <w:t>48.7</w:t>
            </w:r>
          </w:p>
        </w:tc>
        <w:tc>
          <w:tcPr>
            <w:tcW w:w="1250" w:type="dxa"/>
            <w:vAlign w:val="center"/>
          </w:tcPr>
          <w:p>
            <w:pPr>
              <w:pStyle w:val="42"/>
            </w:pPr>
            <w:r>
              <w:rPr>
                <w:rFonts w:hint="eastAsia"/>
              </w:rPr>
              <w:t>9.89</w:t>
            </w:r>
          </w:p>
        </w:tc>
        <w:tc>
          <w:tcPr>
            <w:tcW w:w="1250" w:type="dxa"/>
            <w:vAlign w:val="center"/>
          </w:tcPr>
          <w:p>
            <w:pPr>
              <w:pStyle w:val="42"/>
            </w:pPr>
            <w:r>
              <w:rPr>
                <w:rFonts w:hint="eastAsia"/>
              </w:rPr>
              <w:t>49</w:t>
            </w:r>
          </w:p>
        </w:tc>
        <w:tc>
          <w:tcPr>
            <w:tcW w:w="1248" w:type="dxa"/>
            <w:vAlign w:val="center"/>
          </w:tcPr>
          <w:p>
            <w:pPr>
              <w:pStyle w:val="42"/>
            </w:pPr>
            <w:r>
              <w:rPr>
                <w:rFonts w:hint="eastAsia"/>
              </w:rPr>
              <w:t>61.1</w:t>
            </w:r>
          </w:p>
        </w:tc>
        <w:tc>
          <w:tcPr>
            <w:tcW w:w="1245" w:type="dxa"/>
            <w:vAlign w:val="center"/>
          </w:tcPr>
          <w:p>
            <w:pPr>
              <w:pStyle w:val="42"/>
            </w:pPr>
            <w:r>
              <w:rPr>
                <w:rFonts w:hint="eastAsia"/>
              </w:rPr>
              <w:t>0</w:t>
            </w:r>
          </w:p>
        </w:tc>
        <w:tc>
          <w:tcPr>
            <w:tcW w:w="1402" w:type="dxa"/>
            <w:vAlign w:val="center"/>
          </w:tcPr>
          <w:p>
            <w:pPr>
              <w:pStyle w:val="42"/>
            </w:pPr>
            <w:r>
              <w:rPr>
                <w:rFonts w:hint="eastAsia"/>
              </w:rPr>
              <w:t>5.00</w:t>
            </w:r>
            <w:r>
              <w:rPr>
                <w:rFonts w:hint="eastAsia" w:ascii="宋体" w:hAnsi="宋体"/>
              </w:rPr>
              <w:t>×</w:t>
            </w:r>
            <w:r>
              <w:rPr>
                <w:rFonts w:hint="eastAsia"/>
              </w:rPr>
              <w:t>10</w:t>
            </w:r>
            <w:r>
              <w:rPr>
                <w:rFonts w:hint="eastAsia"/>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149" w:type="dxa"/>
            <w:vAlign w:val="center"/>
          </w:tcPr>
          <w:p>
            <w:pPr>
              <w:pStyle w:val="42"/>
            </w:pPr>
            <w:r>
              <w:rPr>
                <w:rFonts w:hint="eastAsia"/>
              </w:rPr>
              <w:t>11#</w:t>
            </w:r>
            <w:r>
              <w:t>海洲化学B区旁</w:t>
            </w:r>
          </w:p>
        </w:tc>
        <w:tc>
          <w:tcPr>
            <w:tcW w:w="992" w:type="dxa"/>
            <w:vAlign w:val="center"/>
          </w:tcPr>
          <w:p>
            <w:pPr>
              <w:pStyle w:val="42"/>
            </w:pPr>
            <w:r>
              <w:t>浓度值</w:t>
            </w:r>
          </w:p>
        </w:tc>
        <w:tc>
          <w:tcPr>
            <w:tcW w:w="1102" w:type="dxa"/>
            <w:vAlign w:val="center"/>
          </w:tcPr>
          <w:p>
            <w:pPr>
              <w:pStyle w:val="42"/>
            </w:pPr>
            <w:r>
              <w:rPr>
                <w:rFonts w:hint="eastAsia"/>
              </w:rPr>
              <w:t>1.37</w:t>
            </w:r>
          </w:p>
        </w:tc>
        <w:tc>
          <w:tcPr>
            <w:tcW w:w="1130" w:type="dxa"/>
            <w:vAlign w:val="center"/>
          </w:tcPr>
          <w:p>
            <w:pPr>
              <w:pStyle w:val="42"/>
            </w:pPr>
            <w:r>
              <w:rPr>
                <w:rFonts w:hint="eastAsia"/>
              </w:rPr>
              <w:t>22.2</w:t>
            </w:r>
          </w:p>
        </w:tc>
        <w:tc>
          <w:tcPr>
            <w:tcW w:w="1250" w:type="dxa"/>
            <w:vAlign w:val="center"/>
          </w:tcPr>
          <w:p>
            <w:pPr>
              <w:pStyle w:val="42"/>
            </w:pPr>
            <w:r>
              <w:rPr>
                <w:rFonts w:hint="eastAsia"/>
              </w:rPr>
              <w:t>78</w:t>
            </w:r>
          </w:p>
        </w:tc>
        <w:tc>
          <w:tcPr>
            <w:tcW w:w="1250" w:type="dxa"/>
          </w:tcPr>
          <w:p>
            <w:pPr>
              <w:pStyle w:val="42"/>
            </w:pPr>
            <w:r>
              <w:rPr>
                <w:rFonts w:hint="eastAsia"/>
              </w:rPr>
              <w:t>17.9</w:t>
            </w:r>
          </w:p>
        </w:tc>
        <w:tc>
          <w:tcPr>
            <w:tcW w:w="1250" w:type="dxa"/>
            <w:vAlign w:val="center"/>
          </w:tcPr>
          <w:p>
            <w:pPr>
              <w:pStyle w:val="42"/>
            </w:pPr>
            <w:r>
              <w:rPr>
                <w:rFonts w:hint="eastAsia"/>
              </w:rPr>
              <w:t>23.4</w:t>
            </w:r>
          </w:p>
        </w:tc>
        <w:tc>
          <w:tcPr>
            <w:tcW w:w="1248" w:type="dxa"/>
            <w:vAlign w:val="center"/>
          </w:tcPr>
          <w:p>
            <w:pPr>
              <w:pStyle w:val="42"/>
            </w:pPr>
            <w:r>
              <w:rPr>
                <w:rFonts w:hint="eastAsia"/>
              </w:rPr>
              <w:t>18.3</w:t>
            </w:r>
          </w:p>
        </w:tc>
        <w:tc>
          <w:tcPr>
            <w:tcW w:w="1245" w:type="dxa"/>
          </w:tcPr>
          <w:p>
            <w:pPr>
              <w:pStyle w:val="42"/>
            </w:pPr>
            <w:r>
              <w:rPr>
                <w:rFonts w:hint="eastAsia"/>
              </w:rPr>
              <w:t>0</w:t>
            </w:r>
          </w:p>
        </w:tc>
        <w:tc>
          <w:tcPr>
            <w:tcW w:w="1402" w:type="dxa"/>
          </w:tcPr>
          <w:p>
            <w:pPr>
              <w:pStyle w:val="42"/>
            </w:pPr>
            <w:r>
              <w:rPr>
                <w:rFonts w:hint="eastAsia"/>
              </w:rPr>
              <w:t>6.60×10-3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149" w:type="dxa"/>
            <w:vAlign w:val="center"/>
          </w:tcPr>
          <w:p>
            <w:pPr>
              <w:pStyle w:val="42"/>
            </w:pPr>
            <w:r>
              <w:rPr>
                <w:rFonts w:hint="eastAsia"/>
              </w:rPr>
              <w:t>24#晏家重点企业3（博洲环境治理有限公司）</w:t>
            </w:r>
          </w:p>
        </w:tc>
        <w:tc>
          <w:tcPr>
            <w:tcW w:w="992" w:type="dxa"/>
            <w:vAlign w:val="center"/>
          </w:tcPr>
          <w:p>
            <w:pPr>
              <w:pStyle w:val="42"/>
            </w:pPr>
            <w:r>
              <w:t>浓度值</w:t>
            </w:r>
          </w:p>
        </w:tc>
        <w:tc>
          <w:tcPr>
            <w:tcW w:w="1102" w:type="dxa"/>
            <w:vAlign w:val="center"/>
          </w:tcPr>
          <w:p>
            <w:pPr>
              <w:pStyle w:val="42"/>
            </w:pPr>
            <w:r>
              <w:rPr>
                <w:rFonts w:hint="eastAsia"/>
              </w:rPr>
              <w:t>5.99</w:t>
            </w:r>
          </w:p>
        </w:tc>
        <w:tc>
          <w:tcPr>
            <w:tcW w:w="1130" w:type="dxa"/>
            <w:vAlign w:val="center"/>
          </w:tcPr>
          <w:p>
            <w:pPr>
              <w:pStyle w:val="42"/>
            </w:pPr>
            <w:r>
              <w:rPr>
                <w:rFonts w:hint="eastAsia"/>
              </w:rPr>
              <w:t>16.5</w:t>
            </w:r>
          </w:p>
        </w:tc>
        <w:tc>
          <w:tcPr>
            <w:tcW w:w="1250" w:type="dxa"/>
            <w:vAlign w:val="center"/>
          </w:tcPr>
          <w:p>
            <w:pPr>
              <w:pStyle w:val="42"/>
            </w:pPr>
            <w:r>
              <w:rPr>
                <w:rFonts w:hint="eastAsia"/>
              </w:rPr>
              <w:t>67.8</w:t>
            </w:r>
          </w:p>
        </w:tc>
        <w:tc>
          <w:tcPr>
            <w:tcW w:w="1250" w:type="dxa"/>
            <w:vAlign w:val="center"/>
          </w:tcPr>
          <w:p>
            <w:pPr>
              <w:pStyle w:val="42"/>
            </w:pPr>
            <w:r>
              <w:rPr>
                <w:rFonts w:hint="eastAsia"/>
              </w:rPr>
              <w:t>17.9</w:t>
            </w:r>
          </w:p>
        </w:tc>
        <w:tc>
          <w:tcPr>
            <w:tcW w:w="1250" w:type="dxa"/>
            <w:vAlign w:val="center"/>
          </w:tcPr>
          <w:p>
            <w:pPr>
              <w:pStyle w:val="42"/>
            </w:pPr>
            <w:r>
              <w:rPr>
                <w:rFonts w:hint="eastAsia"/>
              </w:rPr>
              <w:t>24.2</w:t>
            </w:r>
          </w:p>
        </w:tc>
        <w:tc>
          <w:tcPr>
            <w:tcW w:w="1248" w:type="dxa"/>
            <w:vAlign w:val="center"/>
          </w:tcPr>
          <w:p>
            <w:pPr>
              <w:pStyle w:val="42"/>
            </w:pPr>
            <w:r>
              <w:rPr>
                <w:rFonts w:hint="eastAsia"/>
              </w:rPr>
              <w:t>62.2</w:t>
            </w:r>
          </w:p>
        </w:tc>
        <w:tc>
          <w:tcPr>
            <w:tcW w:w="1245" w:type="dxa"/>
            <w:vAlign w:val="center"/>
          </w:tcPr>
          <w:p>
            <w:pPr>
              <w:pStyle w:val="42"/>
            </w:pPr>
            <w:r>
              <w:rPr>
                <w:rFonts w:hint="eastAsia"/>
              </w:rPr>
              <w:t>0</w:t>
            </w:r>
          </w:p>
        </w:tc>
        <w:tc>
          <w:tcPr>
            <w:tcW w:w="1402" w:type="dxa"/>
            <w:vAlign w:val="center"/>
          </w:tcPr>
          <w:p>
            <w:pPr>
              <w:pStyle w:val="42"/>
            </w:pPr>
            <w:r>
              <w:rPr>
                <w:rFonts w:hint="eastAsia"/>
              </w:rPr>
              <w:t>3.50</w:t>
            </w:r>
            <w:r>
              <w:rPr>
                <w:rFonts w:hint="eastAsia" w:ascii="宋体" w:hAnsi="宋体"/>
              </w:rPr>
              <w:t>×</w:t>
            </w:r>
            <w:r>
              <w:rPr>
                <w:rFonts w:hint="eastAsia"/>
              </w:rPr>
              <w:t>10</w:t>
            </w:r>
            <w:r>
              <w:rPr>
                <w:rFonts w:hint="eastAsia"/>
                <w:vertAlign w:val="superscript"/>
              </w:rPr>
              <w:t>-3</w:t>
            </w:r>
          </w:p>
        </w:tc>
      </w:tr>
    </w:tbl>
    <w:p>
      <w:pPr>
        <w:pStyle w:val="41"/>
      </w:pPr>
      <w:r>
        <w:rPr>
          <w:rFonts w:hint="eastAsia"/>
        </w:rPr>
        <w:t>表4.4-7-1地下水环境质量现状监测结果统计表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1452"/>
        <w:gridCol w:w="866"/>
        <w:gridCol w:w="1041"/>
        <w:gridCol w:w="887"/>
        <w:gridCol w:w="887"/>
        <w:gridCol w:w="1023"/>
        <w:gridCol w:w="1057"/>
        <w:gridCol w:w="1219"/>
        <w:gridCol w:w="1398"/>
        <w:gridCol w:w="1398"/>
        <w:gridCol w:w="1052"/>
        <w:gridCol w:w="8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67" w:type="pct"/>
            <w:gridSpan w:val="2"/>
            <w:vMerge w:val="restart"/>
            <w:tcBorders>
              <w:tl2br w:val="single" w:color="auto" w:sz="6" w:space="0"/>
            </w:tcBorders>
            <w:vAlign w:val="center"/>
          </w:tcPr>
          <w:p>
            <w:pPr>
              <w:pStyle w:val="42"/>
            </w:pPr>
            <w:r>
              <w:rPr>
                <w:rFonts w:hint="eastAsia"/>
              </w:rPr>
              <w:t xml:space="preserve"> </w:t>
            </w:r>
            <w:r>
              <w:t xml:space="preserve">        项目单位</w:t>
            </w:r>
          </w:p>
          <w:p>
            <w:pPr>
              <w:pStyle w:val="42"/>
              <w:jc w:val="both"/>
            </w:pPr>
            <w:r>
              <w:t>采样点</w:t>
            </w:r>
          </w:p>
        </w:tc>
        <w:tc>
          <w:tcPr>
            <w:tcW w:w="305" w:type="pct"/>
            <w:vAlign w:val="center"/>
          </w:tcPr>
          <w:p>
            <w:pPr>
              <w:pStyle w:val="42"/>
            </w:pPr>
            <w:r>
              <w:rPr>
                <w:rFonts w:hint="eastAsia"/>
              </w:rPr>
              <w:t>水温</w:t>
            </w:r>
          </w:p>
        </w:tc>
        <w:tc>
          <w:tcPr>
            <w:tcW w:w="367" w:type="pct"/>
            <w:vAlign w:val="center"/>
          </w:tcPr>
          <w:p>
            <w:pPr>
              <w:pStyle w:val="42"/>
            </w:pPr>
            <w:r>
              <w:t>pH</w:t>
            </w:r>
          </w:p>
        </w:tc>
        <w:tc>
          <w:tcPr>
            <w:tcW w:w="313" w:type="pct"/>
            <w:vAlign w:val="center"/>
          </w:tcPr>
          <w:p>
            <w:pPr>
              <w:pStyle w:val="42"/>
            </w:pPr>
            <w:r>
              <w:t>氨氮</w:t>
            </w:r>
          </w:p>
        </w:tc>
        <w:tc>
          <w:tcPr>
            <w:tcW w:w="313" w:type="pct"/>
            <w:vAlign w:val="center"/>
          </w:tcPr>
          <w:p>
            <w:pPr>
              <w:pStyle w:val="42"/>
            </w:pPr>
            <w:r>
              <w:t>硝酸盐</w:t>
            </w:r>
          </w:p>
        </w:tc>
        <w:tc>
          <w:tcPr>
            <w:tcW w:w="361" w:type="pct"/>
            <w:vAlign w:val="center"/>
          </w:tcPr>
          <w:p>
            <w:pPr>
              <w:pStyle w:val="42"/>
            </w:pPr>
            <w:r>
              <w:t>亚硝酸盐</w:t>
            </w:r>
          </w:p>
        </w:tc>
        <w:tc>
          <w:tcPr>
            <w:tcW w:w="373" w:type="pct"/>
            <w:vAlign w:val="center"/>
          </w:tcPr>
          <w:p>
            <w:pPr>
              <w:pStyle w:val="42"/>
            </w:pPr>
            <w:r>
              <w:t>挥发酚</w:t>
            </w:r>
          </w:p>
        </w:tc>
        <w:tc>
          <w:tcPr>
            <w:tcW w:w="430" w:type="pct"/>
            <w:vAlign w:val="center"/>
          </w:tcPr>
          <w:p>
            <w:pPr>
              <w:pStyle w:val="42"/>
            </w:pPr>
            <w:r>
              <w:t>氰化物</w:t>
            </w:r>
          </w:p>
        </w:tc>
        <w:tc>
          <w:tcPr>
            <w:tcW w:w="493" w:type="pct"/>
            <w:vAlign w:val="center"/>
          </w:tcPr>
          <w:p>
            <w:pPr>
              <w:pStyle w:val="42"/>
            </w:pPr>
            <w:r>
              <w:t>砷</w:t>
            </w:r>
          </w:p>
        </w:tc>
        <w:tc>
          <w:tcPr>
            <w:tcW w:w="493" w:type="pct"/>
            <w:vAlign w:val="center"/>
          </w:tcPr>
          <w:p>
            <w:pPr>
              <w:pStyle w:val="42"/>
            </w:pPr>
            <w:r>
              <w:t>汞</w:t>
            </w:r>
          </w:p>
        </w:tc>
        <w:tc>
          <w:tcPr>
            <w:tcW w:w="371" w:type="pct"/>
            <w:vAlign w:val="center"/>
          </w:tcPr>
          <w:p>
            <w:pPr>
              <w:pStyle w:val="42"/>
            </w:pPr>
            <w:r>
              <w:t>铬</w:t>
            </w:r>
            <w:r>
              <w:rPr>
                <w:rFonts w:hint="eastAsia"/>
              </w:rPr>
              <w:t>（</w:t>
            </w:r>
            <w:r>
              <w:t>六价</w:t>
            </w:r>
            <w:r>
              <w:rPr>
                <w:rFonts w:hint="eastAsia"/>
              </w:rPr>
              <w:t>）</w:t>
            </w:r>
          </w:p>
        </w:tc>
        <w:tc>
          <w:tcPr>
            <w:tcW w:w="313" w:type="pct"/>
            <w:vAlign w:val="center"/>
          </w:tcPr>
          <w:p>
            <w:pPr>
              <w:pStyle w:val="42"/>
            </w:pPr>
            <w:r>
              <w:t>总硬度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67" w:type="pct"/>
            <w:gridSpan w:val="2"/>
            <w:vMerge w:val="continue"/>
            <w:tcBorders>
              <w:tl2br w:val="single" w:color="auto" w:sz="6" w:space="0"/>
            </w:tcBorders>
            <w:vAlign w:val="center"/>
          </w:tcPr>
          <w:p>
            <w:pPr>
              <w:pStyle w:val="42"/>
            </w:pPr>
          </w:p>
        </w:tc>
        <w:tc>
          <w:tcPr>
            <w:tcW w:w="305" w:type="pct"/>
            <w:vAlign w:val="center"/>
          </w:tcPr>
          <w:p>
            <w:pPr>
              <w:pStyle w:val="42"/>
            </w:pPr>
            <w:r>
              <w:rPr>
                <w:rFonts w:hint="eastAsia" w:ascii="宋体" w:hAnsi="宋体"/>
              </w:rPr>
              <w:t>℃</w:t>
            </w:r>
          </w:p>
        </w:tc>
        <w:tc>
          <w:tcPr>
            <w:tcW w:w="367" w:type="pct"/>
            <w:vAlign w:val="center"/>
          </w:tcPr>
          <w:p>
            <w:pPr>
              <w:pStyle w:val="42"/>
            </w:pPr>
            <w:r>
              <w:t>/</w:t>
            </w:r>
          </w:p>
        </w:tc>
        <w:tc>
          <w:tcPr>
            <w:tcW w:w="313" w:type="pct"/>
            <w:vAlign w:val="center"/>
          </w:tcPr>
          <w:p>
            <w:pPr>
              <w:pStyle w:val="42"/>
            </w:pPr>
            <w:r>
              <w:t>mg/L</w:t>
            </w:r>
          </w:p>
        </w:tc>
        <w:tc>
          <w:tcPr>
            <w:tcW w:w="313" w:type="pct"/>
            <w:vAlign w:val="center"/>
          </w:tcPr>
          <w:p>
            <w:pPr>
              <w:pStyle w:val="42"/>
            </w:pPr>
            <w:r>
              <w:t>mg/L</w:t>
            </w:r>
          </w:p>
        </w:tc>
        <w:tc>
          <w:tcPr>
            <w:tcW w:w="361" w:type="pct"/>
            <w:vAlign w:val="center"/>
          </w:tcPr>
          <w:p>
            <w:pPr>
              <w:pStyle w:val="42"/>
            </w:pPr>
            <w:r>
              <w:t>mg/L</w:t>
            </w:r>
          </w:p>
        </w:tc>
        <w:tc>
          <w:tcPr>
            <w:tcW w:w="373" w:type="pct"/>
            <w:vAlign w:val="center"/>
          </w:tcPr>
          <w:p>
            <w:pPr>
              <w:pStyle w:val="42"/>
            </w:pPr>
            <w:r>
              <w:t>mg/L</w:t>
            </w:r>
          </w:p>
        </w:tc>
        <w:tc>
          <w:tcPr>
            <w:tcW w:w="430" w:type="pct"/>
            <w:vAlign w:val="center"/>
          </w:tcPr>
          <w:p>
            <w:pPr>
              <w:pStyle w:val="42"/>
            </w:pPr>
            <w:r>
              <w:t>mg/L</w:t>
            </w:r>
          </w:p>
        </w:tc>
        <w:tc>
          <w:tcPr>
            <w:tcW w:w="493" w:type="pct"/>
            <w:vAlign w:val="center"/>
          </w:tcPr>
          <w:p>
            <w:pPr>
              <w:pStyle w:val="42"/>
            </w:pPr>
            <w:r>
              <w:t>mg/L</w:t>
            </w:r>
          </w:p>
        </w:tc>
        <w:tc>
          <w:tcPr>
            <w:tcW w:w="493" w:type="pct"/>
            <w:vAlign w:val="center"/>
          </w:tcPr>
          <w:p>
            <w:pPr>
              <w:pStyle w:val="42"/>
            </w:pPr>
            <w:r>
              <w:t>mg/L</w:t>
            </w:r>
          </w:p>
        </w:tc>
        <w:tc>
          <w:tcPr>
            <w:tcW w:w="371" w:type="pct"/>
            <w:vAlign w:val="center"/>
          </w:tcPr>
          <w:p>
            <w:pPr>
              <w:pStyle w:val="42"/>
            </w:pPr>
            <w:r>
              <w:t>mg/L</w:t>
            </w:r>
          </w:p>
        </w:tc>
        <w:tc>
          <w:tcPr>
            <w:tcW w:w="313" w:type="pct"/>
            <w:vAlign w:val="center"/>
          </w:tcPr>
          <w:p>
            <w:pPr>
              <w:pStyle w:val="42"/>
            </w:pPr>
            <w: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67" w:type="pct"/>
            <w:gridSpan w:val="2"/>
            <w:vAlign w:val="center"/>
          </w:tcPr>
          <w:p>
            <w:pPr>
              <w:pStyle w:val="42"/>
            </w:pPr>
            <w:r>
              <w:t>标准值（</w:t>
            </w:r>
            <w:r>
              <w:rPr>
                <w:rFonts w:hint="eastAsia" w:ascii="宋体" w:hAnsi="宋体" w:cs="宋体"/>
              </w:rPr>
              <w:t>Ⅲ</w:t>
            </w:r>
            <w:r>
              <w:t>类）</w:t>
            </w:r>
          </w:p>
        </w:tc>
        <w:tc>
          <w:tcPr>
            <w:tcW w:w="305" w:type="pct"/>
            <w:vAlign w:val="center"/>
          </w:tcPr>
          <w:p>
            <w:pPr>
              <w:pStyle w:val="42"/>
            </w:pPr>
            <w:r>
              <w:rPr>
                <w:rFonts w:hint="eastAsia"/>
              </w:rPr>
              <w:t>/</w:t>
            </w:r>
          </w:p>
        </w:tc>
        <w:tc>
          <w:tcPr>
            <w:tcW w:w="367" w:type="pct"/>
            <w:vAlign w:val="center"/>
          </w:tcPr>
          <w:p>
            <w:pPr>
              <w:pStyle w:val="42"/>
            </w:pPr>
            <w:r>
              <w:t>6.5~8.5</w:t>
            </w:r>
          </w:p>
        </w:tc>
        <w:tc>
          <w:tcPr>
            <w:tcW w:w="313" w:type="pct"/>
            <w:vAlign w:val="center"/>
          </w:tcPr>
          <w:p>
            <w:pPr>
              <w:pStyle w:val="42"/>
            </w:pPr>
            <w:r>
              <w:t>0.5</w:t>
            </w:r>
          </w:p>
        </w:tc>
        <w:tc>
          <w:tcPr>
            <w:tcW w:w="313" w:type="pct"/>
            <w:vAlign w:val="center"/>
          </w:tcPr>
          <w:p>
            <w:pPr>
              <w:pStyle w:val="42"/>
            </w:pPr>
            <w:r>
              <w:t>20</w:t>
            </w:r>
          </w:p>
        </w:tc>
        <w:tc>
          <w:tcPr>
            <w:tcW w:w="361" w:type="pct"/>
            <w:vAlign w:val="center"/>
          </w:tcPr>
          <w:p>
            <w:pPr>
              <w:pStyle w:val="42"/>
            </w:pPr>
            <w:r>
              <w:t>1.0</w:t>
            </w:r>
          </w:p>
        </w:tc>
        <w:tc>
          <w:tcPr>
            <w:tcW w:w="373" w:type="pct"/>
            <w:vAlign w:val="center"/>
          </w:tcPr>
          <w:p>
            <w:pPr>
              <w:pStyle w:val="42"/>
            </w:pPr>
            <w:r>
              <w:t>0.002</w:t>
            </w:r>
          </w:p>
        </w:tc>
        <w:tc>
          <w:tcPr>
            <w:tcW w:w="430" w:type="pct"/>
            <w:vAlign w:val="center"/>
          </w:tcPr>
          <w:p>
            <w:pPr>
              <w:pStyle w:val="42"/>
            </w:pPr>
            <w:r>
              <w:t>0.05</w:t>
            </w:r>
          </w:p>
        </w:tc>
        <w:tc>
          <w:tcPr>
            <w:tcW w:w="493" w:type="pct"/>
            <w:vAlign w:val="center"/>
          </w:tcPr>
          <w:p>
            <w:pPr>
              <w:pStyle w:val="42"/>
            </w:pPr>
            <w:r>
              <w:t>0.01</w:t>
            </w:r>
          </w:p>
        </w:tc>
        <w:tc>
          <w:tcPr>
            <w:tcW w:w="493" w:type="pct"/>
            <w:vAlign w:val="center"/>
          </w:tcPr>
          <w:p>
            <w:pPr>
              <w:pStyle w:val="42"/>
            </w:pPr>
            <w:r>
              <w:t>0.001</w:t>
            </w:r>
          </w:p>
        </w:tc>
        <w:tc>
          <w:tcPr>
            <w:tcW w:w="371" w:type="pct"/>
            <w:vAlign w:val="center"/>
          </w:tcPr>
          <w:p>
            <w:pPr>
              <w:pStyle w:val="42"/>
            </w:pPr>
            <w:r>
              <w:t>0.05</w:t>
            </w:r>
          </w:p>
        </w:tc>
        <w:tc>
          <w:tcPr>
            <w:tcW w:w="313" w:type="pct"/>
            <w:vAlign w:val="center"/>
          </w:tcPr>
          <w:p>
            <w:pPr>
              <w:pStyle w:val="42"/>
            </w:pPr>
            <w:r>
              <w:t>450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restart"/>
            <w:vAlign w:val="center"/>
          </w:tcPr>
          <w:p>
            <w:pPr>
              <w:pStyle w:val="42"/>
            </w:pPr>
            <w:r>
              <w:rPr>
                <w:rFonts w:hint="eastAsia"/>
              </w:rPr>
              <w:t>8#正新北侧围墙外</w:t>
            </w:r>
          </w:p>
        </w:tc>
        <w:tc>
          <w:tcPr>
            <w:tcW w:w="512" w:type="pct"/>
            <w:vAlign w:val="center"/>
          </w:tcPr>
          <w:p>
            <w:pPr>
              <w:pStyle w:val="42"/>
            </w:pPr>
            <w:r>
              <w:t>浓度值</w:t>
            </w:r>
          </w:p>
        </w:tc>
        <w:tc>
          <w:tcPr>
            <w:tcW w:w="305" w:type="pct"/>
            <w:vAlign w:val="center"/>
          </w:tcPr>
          <w:p>
            <w:pPr>
              <w:pStyle w:val="42"/>
            </w:pPr>
            <w:r>
              <w:rPr>
                <w:rFonts w:hint="eastAsia"/>
              </w:rPr>
              <w:t>21.2</w:t>
            </w:r>
          </w:p>
        </w:tc>
        <w:tc>
          <w:tcPr>
            <w:tcW w:w="367" w:type="pct"/>
            <w:vAlign w:val="center"/>
          </w:tcPr>
          <w:p>
            <w:pPr>
              <w:pStyle w:val="42"/>
            </w:pPr>
            <w:r>
              <w:rPr>
                <w:rFonts w:hint="eastAsia"/>
              </w:rPr>
              <w:t>7.88</w:t>
            </w:r>
          </w:p>
        </w:tc>
        <w:tc>
          <w:tcPr>
            <w:tcW w:w="313" w:type="pct"/>
            <w:vAlign w:val="center"/>
          </w:tcPr>
          <w:p>
            <w:pPr>
              <w:pStyle w:val="42"/>
            </w:pPr>
            <w:r>
              <w:rPr>
                <w:rFonts w:hint="eastAsia"/>
              </w:rPr>
              <w:t>0.1</w:t>
            </w:r>
          </w:p>
        </w:tc>
        <w:tc>
          <w:tcPr>
            <w:tcW w:w="313" w:type="pct"/>
            <w:vAlign w:val="center"/>
          </w:tcPr>
          <w:p>
            <w:pPr>
              <w:pStyle w:val="42"/>
            </w:pPr>
            <w:r>
              <w:rPr>
                <w:rFonts w:hint="eastAsia"/>
              </w:rPr>
              <w:t>0.382</w:t>
            </w:r>
          </w:p>
        </w:tc>
        <w:tc>
          <w:tcPr>
            <w:tcW w:w="361" w:type="pct"/>
            <w:vAlign w:val="center"/>
          </w:tcPr>
          <w:p>
            <w:pPr>
              <w:pStyle w:val="42"/>
            </w:pPr>
            <w:r>
              <w:rPr>
                <w:rFonts w:hint="eastAsia"/>
              </w:rPr>
              <w:t>0.007L</w:t>
            </w:r>
          </w:p>
        </w:tc>
        <w:tc>
          <w:tcPr>
            <w:tcW w:w="373" w:type="pct"/>
            <w:vAlign w:val="center"/>
          </w:tcPr>
          <w:p>
            <w:pPr>
              <w:pStyle w:val="42"/>
            </w:pPr>
            <w:r>
              <w:rPr>
                <w:rFonts w:hint="eastAsia"/>
              </w:rPr>
              <w:t>0.0003L</w:t>
            </w:r>
          </w:p>
        </w:tc>
        <w:tc>
          <w:tcPr>
            <w:tcW w:w="430" w:type="pct"/>
            <w:vAlign w:val="center"/>
          </w:tcPr>
          <w:p>
            <w:pPr>
              <w:pStyle w:val="42"/>
            </w:pPr>
            <w:r>
              <w:rPr>
                <w:rFonts w:hint="eastAsia"/>
              </w:rPr>
              <w:t>0.001L</w:t>
            </w:r>
          </w:p>
        </w:tc>
        <w:tc>
          <w:tcPr>
            <w:tcW w:w="493" w:type="pct"/>
            <w:vAlign w:val="center"/>
          </w:tcPr>
          <w:p>
            <w:pPr>
              <w:pStyle w:val="42"/>
            </w:pPr>
            <w:r>
              <w:rPr>
                <w:rFonts w:hint="eastAsia"/>
              </w:rPr>
              <w:t>9.30</w:t>
            </w:r>
            <w:r>
              <w:rPr>
                <w:rFonts w:hint="eastAsia" w:ascii="宋体" w:hAnsi="宋体"/>
              </w:rPr>
              <w:t>×</w:t>
            </w:r>
            <w:r>
              <w:rPr>
                <w:rFonts w:hint="eastAsia"/>
              </w:rPr>
              <w:t>10</w:t>
            </w:r>
            <w:r>
              <w:rPr>
                <w:rFonts w:hint="eastAsia"/>
                <w:vertAlign w:val="superscript"/>
              </w:rPr>
              <w:t>-4</w:t>
            </w:r>
          </w:p>
        </w:tc>
        <w:tc>
          <w:tcPr>
            <w:tcW w:w="493" w:type="pct"/>
            <w:vAlign w:val="center"/>
          </w:tcPr>
          <w:p>
            <w:pPr>
              <w:pStyle w:val="42"/>
              <w:jc w:val="left"/>
            </w:pPr>
            <w:r>
              <w:rPr>
                <w:rFonts w:hint="eastAsia"/>
              </w:rPr>
              <w:t>1.00</w:t>
            </w:r>
            <w:r>
              <w:rPr>
                <w:rFonts w:hint="eastAsia" w:ascii="宋体" w:hAnsi="宋体"/>
              </w:rPr>
              <w:t>×</w:t>
            </w:r>
            <w:r>
              <w:rPr>
                <w:rFonts w:hint="eastAsia"/>
              </w:rPr>
              <w:t>10</w:t>
            </w:r>
            <w:r>
              <w:rPr>
                <w:rFonts w:hint="eastAsia"/>
                <w:vertAlign w:val="superscript"/>
              </w:rPr>
              <w:t>-5</w:t>
            </w:r>
            <w:r>
              <w:rPr>
                <w:rFonts w:hint="eastAsia"/>
              </w:rPr>
              <w:t>L</w:t>
            </w:r>
          </w:p>
        </w:tc>
        <w:tc>
          <w:tcPr>
            <w:tcW w:w="371" w:type="pct"/>
            <w:vAlign w:val="center"/>
          </w:tcPr>
          <w:p>
            <w:pPr>
              <w:pStyle w:val="42"/>
            </w:pPr>
            <w:r>
              <w:rPr>
                <w:rFonts w:hint="eastAsia"/>
              </w:rPr>
              <w:t>0.004L</w:t>
            </w:r>
          </w:p>
        </w:tc>
        <w:tc>
          <w:tcPr>
            <w:tcW w:w="313" w:type="pct"/>
            <w:vAlign w:val="center"/>
          </w:tcPr>
          <w:p>
            <w:pPr>
              <w:pStyle w:val="42"/>
            </w:pPr>
            <w:r>
              <w:rPr>
                <w:rFonts w:hint="eastAsia"/>
              </w:rPr>
              <w:t>229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超标率(%)</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0</w:t>
            </w:r>
          </w:p>
        </w:tc>
        <w:tc>
          <w:tcPr>
            <w:tcW w:w="373" w:type="pct"/>
            <w:vAlign w:val="center"/>
          </w:tcPr>
          <w:p>
            <w:pPr>
              <w:pStyle w:val="42"/>
            </w:pPr>
            <w:r>
              <w:rPr>
                <w:rFonts w:hint="eastAsia"/>
              </w:rPr>
              <w:t>0</w:t>
            </w:r>
          </w:p>
        </w:tc>
        <w:tc>
          <w:tcPr>
            <w:tcW w:w="430" w:type="pct"/>
            <w:vAlign w:val="center"/>
          </w:tcPr>
          <w:p>
            <w:pPr>
              <w:pStyle w:val="42"/>
            </w:pPr>
            <w:r>
              <w:rPr>
                <w:rFonts w:hint="eastAsia"/>
              </w:rPr>
              <w:t>0</w:t>
            </w:r>
          </w:p>
        </w:tc>
        <w:tc>
          <w:tcPr>
            <w:tcW w:w="493" w:type="pct"/>
            <w:vAlign w:val="center"/>
          </w:tcPr>
          <w:p>
            <w:pPr>
              <w:pStyle w:val="42"/>
            </w:pPr>
            <w:r>
              <w:rPr>
                <w:rFonts w:hint="eastAsia"/>
              </w:rPr>
              <w:t>0</w:t>
            </w:r>
          </w:p>
        </w:tc>
        <w:tc>
          <w:tcPr>
            <w:tcW w:w="493" w:type="pct"/>
            <w:vAlign w:val="center"/>
          </w:tcPr>
          <w:p>
            <w:pPr>
              <w:pStyle w:val="42"/>
            </w:pPr>
            <w:r>
              <w:rPr>
                <w:rFonts w:hint="eastAsia"/>
              </w:rPr>
              <w:t>0</w:t>
            </w:r>
          </w:p>
        </w:tc>
        <w:tc>
          <w:tcPr>
            <w:tcW w:w="371" w:type="pct"/>
            <w:vAlign w:val="center"/>
          </w:tcPr>
          <w:p>
            <w:pPr>
              <w:pStyle w:val="42"/>
            </w:pPr>
            <w:r>
              <w:rPr>
                <w:rFonts w:hint="eastAsia"/>
              </w:rPr>
              <w:t>0</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超标倍数</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rPr>
                <w:rFonts w:hint="eastAsia"/>
              </w:rPr>
              <w:t>P</w:t>
            </w:r>
            <w:r>
              <w:t>i值</w:t>
            </w:r>
          </w:p>
        </w:tc>
        <w:tc>
          <w:tcPr>
            <w:tcW w:w="305" w:type="pct"/>
            <w:vAlign w:val="center"/>
          </w:tcPr>
          <w:p>
            <w:pPr>
              <w:pStyle w:val="42"/>
            </w:pPr>
            <w:r>
              <w:rPr>
                <w:rFonts w:hint="eastAsia"/>
              </w:rPr>
              <w:t>/</w:t>
            </w:r>
          </w:p>
        </w:tc>
        <w:tc>
          <w:tcPr>
            <w:tcW w:w="367" w:type="pct"/>
            <w:vAlign w:val="center"/>
          </w:tcPr>
          <w:p>
            <w:pPr>
              <w:pStyle w:val="42"/>
            </w:pPr>
            <w:r>
              <w:rPr>
                <w:rFonts w:hint="eastAsia"/>
              </w:rPr>
              <w:t>0.59</w:t>
            </w:r>
          </w:p>
        </w:tc>
        <w:tc>
          <w:tcPr>
            <w:tcW w:w="313" w:type="pct"/>
            <w:vAlign w:val="center"/>
          </w:tcPr>
          <w:p>
            <w:pPr>
              <w:pStyle w:val="42"/>
            </w:pPr>
            <w:r>
              <w:rPr>
                <w:rFonts w:hint="eastAsia"/>
              </w:rPr>
              <w:t>0.2</w:t>
            </w:r>
          </w:p>
        </w:tc>
        <w:tc>
          <w:tcPr>
            <w:tcW w:w="313" w:type="pct"/>
            <w:vAlign w:val="center"/>
          </w:tcPr>
          <w:p>
            <w:pPr>
              <w:pStyle w:val="42"/>
            </w:pPr>
            <w:r>
              <w:rPr>
                <w:rFonts w:hint="eastAsia"/>
              </w:rPr>
              <w:t>0.02</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0.09</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restart"/>
            <w:vAlign w:val="center"/>
          </w:tcPr>
          <w:p>
            <w:pPr>
              <w:pStyle w:val="42"/>
            </w:pPr>
            <w:r>
              <w:rPr>
                <w:rFonts w:hint="eastAsia"/>
              </w:rPr>
              <w:t>9#河泉水库东南侧</w:t>
            </w:r>
          </w:p>
        </w:tc>
        <w:tc>
          <w:tcPr>
            <w:tcW w:w="512" w:type="pct"/>
            <w:vAlign w:val="center"/>
          </w:tcPr>
          <w:p>
            <w:pPr>
              <w:pStyle w:val="42"/>
            </w:pPr>
            <w:r>
              <w:t>浓度值</w:t>
            </w:r>
          </w:p>
        </w:tc>
        <w:tc>
          <w:tcPr>
            <w:tcW w:w="305" w:type="pct"/>
            <w:vAlign w:val="center"/>
          </w:tcPr>
          <w:p>
            <w:pPr>
              <w:pStyle w:val="42"/>
            </w:pPr>
            <w:r>
              <w:rPr>
                <w:rFonts w:hint="eastAsia"/>
              </w:rPr>
              <w:t>26.4</w:t>
            </w:r>
          </w:p>
        </w:tc>
        <w:tc>
          <w:tcPr>
            <w:tcW w:w="367" w:type="pct"/>
            <w:vAlign w:val="center"/>
          </w:tcPr>
          <w:p>
            <w:pPr>
              <w:pStyle w:val="42"/>
            </w:pPr>
            <w:r>
              <w:rPr>
                <w:rFonts w:hint="eastAsia"/>
              </w:rPr>
              <w:t>6.67</w:t>
            </w:r>
          </w:p>
        </w:tc>
        <w:tc>
          <w:tcPr>
            <w:tcW w:w="313" w:type="pct"/>
            <w:vAlign w:val="center"/>
          </w:tcPr>
          <w:p>
            <w:pPr>
              <w:pStyle w:val="42"/>
            </w:pPr>
            <w:r>
              <w:rPr>
                <w:rFonts w:hint="eastAsia"/>
              </w:rPr>
              <w:t>0.05</w:t>
            </w:r>
          </w:p>
        </w:tc>
        <w:tc>
          <w:tcPr>
            <w:tcW w:w="313" w:type="pct"/>
            <w:vAlign w:val="center"/>
          </w:tcPr>
          <w:p>
            <w:pPr>
              <w:pStyle w:val="42"/>
            </w:pPr>
            <w:r>
              <w:rPr>
                <w:rFonts w:hint="eastAsia"/>
              </w:rPr>
              <w:t>0.142</w:t>
            </w:r>
          </w:p>
        </w:tc>
        <w:tc>
          <w:tcPr>
            <w:tcW w:w="361" w:type="pct"/>
            <w:vAlign w:val="center"/>
          </w:tcPr>
          <w:p>
            <w:pPr>
              <w:pStyle w:val="42"/>
            </w:pPr>
            <w:r>
              <w:rPr>
                <w:rFonts w:hint="eastAsia"/>
              </w:rPr>
              <w:t>0.007L</w:t>
            </w:r>
          </w:p>
        </w:tc>
        <w:tc>
          <w:tcPr>
            <w:tcW w:w="373" w:type="pct"/>
            <w:vAlign w:val="center"/>
          </w:tcPr>
          <w:p>
            <w:pPr>
              <w:pStyle w:val="42"/>
            </w:pPr>
            <w:r>
              <w:rPr>
                <w:rFonts w:hint="eastAsia"/>
              </w:rPr>
              <w:t>0.0003L</w:t>
            </w:r>
          </w:p>
        </w:tc>
        <w:tc>
          <w:tcPr>
            <w:tcW w:w="430" w:type="pct"/>
            <w:vAlign w:val="center"/>
          </w:tcPr>
          <w:p>
            <w:pPr>
              <w:pStyle w:val="42"/>
            </w:pPr>
            <w:r>
              <w:rPr>
                <w:rFonts w:hint="eastAsia"/>
              </w:rPr>
              <w:t>0.001L</w:t>
            </w:r>
          </w:p>
        </w:tc>
        <w:tc>
          <w:tcPr>
            <w:tcW w:w="493" w:type="pct"/>
            <w:vAlign w:val="center"/>
          </w:tcPr>
          <w:p>
            <w:pPr>
              <w:pStyle w:val="42"/>
            </w:pPr>
            <w:r>
              <w:rPr>
                <w:rFonts w:hint="eastAsia"/>
              </w:rPr>
              <w:t>9.08</w:t>
            </w:r>
            <w:r>
              <w:rPr>
                <w:rFonts w:hint="eastAsia" w:ascii="宋体" w:hAnsi="宋体"/>
              </w:rPr>
              <w:t>×</w:t>
            </w:r>
            <w:r>
              <w:rPr>
                <w:rFonts w:hint="eastAsia"/>
              </w:rPr>
              <w:t>10</w:t>
            </w:r>
            <w:r>
              <w:rPr>
                <w:rFonts w:hint="eastAsia"/>
                <w:vertAlign w:val="superscript"/>
              </w:rPr>
              <w:t>-4</w:t>
            </w:r>
          </w:p>
        </w:tc>
        <w:tc>
          <w:tcPr>
            <w:tcW w:w="493"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-5</w:t>
            </w:r>
            <w:r>
              <w:rPr>
                <w:rFonts w:hint="eastAsia"/>
              </w:rPr>
              <w:t>L</w:t>
            </w:r>
          </w:p>
        </w:tc>
        <w:tc>
          <w:tcPr>
            <w:tcW w:w="371" w:type="pct"/>
            <w:vAlign w:val="center"/>
          </w:tcPr>
          <w:p>
            <w:pPr>
              <w:pStyle w:val="42"/>
            </w:pPr>
            <w:r>
              <w:rPr>
                <w:rFonts w:hint="eastAsia"/>
              </w:rPr>
              <w:t>0.004L</w:t>
            </w:r>
          </w:p>
        </w:tc>
        <w:tc>
          <w:tcPr>
            <w:tcW w:w="313" w:type="pct"/>
            <w:vAlign w:val="center"/>
          </w:tcPr>
          <w:p>
            <w:pPr>
              <w:pStyle w:val="42"/>
            </w:pPr>
            <w:r>
              <w:rPr>
                <w:rFonts w:hint="eastAsia"/>
              </w:rPr>
              <w:t>123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超标率(%)</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0</w:t>
            </w:r>
          </w:p>
        </w:tc>
        <w:tc>
          <w:tcPr>
            <w:tcW w:w="373" w:type="pct"/>
            <w:vAlign w:val="center"/>
          </w:tcPr>
          <w:p>
            <w:pPr>
              <w:pStyle w:val="42"/>
            </w:pPr>
            <w:r>
              <w:rPr>
                <w:rFonts w:hint="eastAsia"/>
              </w:rPr>
              <w:t>0</w:t>
            </w:r>
          </w:p>
        </w:tc>
        <w:tc>
          <w:tcPr>
            <w:tcW w:w="430" w:type="pct"/>
            <w:vAlign w:val="center"/>
          </w:tcPr>
          <w:p>
            <w:pPr>
              <w:pStyle w:val="42"/>
            </w:pPr>
            <w:r>
              <w:rPr>
                <w:rFonts w:hint="eastAsia"/>
              </w:rPr>
              <w:t>0</w:t>
            </w:r>
          </w:p>
        </w:tc>
        <w:tc>
          <w:tcPr>
            <w:tcW w:w="493" w:type="pct"/>
            <w:vAlign w:val="center"/>
          </w:tcPr>
          <w:p>
            <w:pPr>
              <w:pStyle w:val="42"/>
            </w:pPr>
            <w:r>
              <w:rPr>
                <w:rFonts w:hint="eastAsia"/>
              </w:rPr>
              <w:t>0</w:t>
            </w:r>
          </w:p>
        </w:tc>
        <w:tc>
          <w:tcPr>
            <w:tcW w:w="493" w:type="pct"/>
            <w:vAlign w:val="center"/>
          </w:tcPr>
          <w:p>
            <w:pPr>
              <w:pStyle w:val="42"/>
            </w:pPr>
            <w:r>
              <w:rPr>
                <w:rFonts w:hint="eastAsia"/>
              </w:rPr>
              <w:t>0</w:t>
            </w:r>
          </w:p>
        </w:tc>
        <w:tc>
          <w:tcPr>
            <w:tcW w:w="371" w:type="pct"/>
            <w:vAlign w:val="center"/>
          </w:tcPr>
          <w:p>
            <w:pPr>
              <w:pStyle w:val="42"/>
            </w:pPr>
            <w:r>
              <w:rPr>
                <w:rFonts w:hint="eastAsia"/>
              </w:rPr>
              <w:t>0</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超标倍数</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rPr>
                <w:rFonts w:hint="eastAsia"/>
              </w:rPr>
              <w:t>P</w:t>
            </w:r>
            <w:r>
              <w:t>i值</w:t>
            </w:r>
          </w:p>
        </w:tc>
        <w:tc>
          <w:tcPr>
            <w:tcW w:w="305" w:type="pct"/>
            <w:vAlign w:val="center"/>
          </w:tcPr>
          <w:p>
            <w:pPr>
              <w:pStyle w:val="42"/>
            </w:pPr>
            <w:r>
              <w:rPr>
                <w:rFonts w:hint="eastAsia"/>
              </w:rPr>
              <w:t>/</w:t>
            </w:r>
          </w:p>
        </w:tc>
        <w:tc>
          <w:tcPr>
            <w:tcW w:w="367" w:type="pct"/>
            <w:vAlign w:val="center"/>
          </w:tcPr>
          <w:p>
            <w:pPr>
              <w:pStyle w:val="42"/>
            </w:pPr>
            <w:r>
              <w:rPr>
                <w:rFonts w:hint="eastAsia"/>
              </w:rPr>
              <w:t>0.66</w:t>
            </w:r>
          </w:p>
        </w:tc>
        <w:tc>
          <w:tcPr>
            <w:tcW w:w="313" w:type="pct"/>
            <w:vAlign w:val="center"/>
          </w:tcPr>
          <w:p>
            <w:pPr>
              <w:pStyle w:val="42"/>
            </w:pPr>
            <w:r>
              <w:rPr>
                <w:rFonts w:hint="eastAsia"/>
              </w:rPr>
              <w:t>0.10</w:t>
            </w:r>
          </w:p>
        </w:tc>
        <w:tc>
          <w:tcPr>
            <w:tcW w:w="313" w:type="pct"/>
            <w:vAlign w:val="center"/>
          </w:tcPr>
          <w:p>
            <w:pPr>
              <w:pStyle w:val="42"/>
            </w:pPr>
            <w:r>
              <w:rPr>
                <w:rFonts w:hint="eastAsia"/>
              </w:rPr>
              <w:t>0.007</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0.09</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restart"/>
            <w:vAlign w:val="center"/>
          </w:tcPr>
          <w:p>
            <w:pPr>
              <w:pStyle w:val="42"/>
            </w:pPr>
            <w:r>
              <w:rPr>
                <w:rFonts w:hint="eastAsia"/>
              </w:rPr>
              <w:t>25#亚太纸业1（新恒阳1）</w:t>
            </w:r>
          </w:p>
        </w:tc>
        <w:tc>
          <w:tcPr>
            <w:tcW w:w="512" w:type="pct"/>
            <w:vAlign w:val="center"/>
          </w:tcPr>
          <w:p>
            <w:pPr>
              <w:pStyle w:val="42"/>
            </w:pPr>
            <w:r>
              <w:t>浓度值</w:t>
            </w:r>
          </w:p>
        </w:tc>
        <w:tc>
          <w:tcPr>
            <w:tcW w:w="305" w:type="pct"/>
            <w:vAlign w:val="center"/>
          </w:tcPr>
          <w:p>
            <w:pPr>
              <w:pStyle w:val="42"/>
            </w:pPr>
            <w:r>
              <w:rPr>
                <w:rFonts w:hint="eastAsia"/>
              </w:rPr>
              <w:t>21.1</w:t>
            </w:r>
          </w:p>
        </w:tc>
        <w:tc>
          <w:tcPr>
            <w:tcW w:w="367" w:type="pct"/>
            <w:vAlign w:val="center"/>
          </w:tcPr>
          <w:p>
            <w:pPr>
              <w:pStyle w:val="42"/>
            </w:pPr>
            <w:r>
              <w:rPr>
                <w:rFonts w:hint="eastAsia"/>
              </w:rPr>
              <w:t>8.26</w:t>
            </w:r>
          </w:p>
        </w:tc>
        <w:tc>
          <w:tcPr>
            <w:tcW w:w="313" w:type="pct"/>
            <w:vAlign w:val="center"/>
          </w:tcPr>
          <w:p>
            <w:pPr>
              <w:pStyle w:val="42"/>
            </w:pPr>
            <w:r>
              <w:rPr>
                <w:rFonts w:hint="eastAsia"/>
              </w:rPr>
              <w:t>0.06</w:t>
            </w:r>
          </w:p>
        </w:tc>
        <w:tc>
          <w:tcPr>
            <w:tcW w:w="313" w:type="pct"/>
            <w:vAlign w:val="center"/>
          </w:tcPr>
          <w:p>
            <w:pPr>
              <w:pStyle w:val="42"/>
            </w:pPr>
            <w:r>
              <w:rPr>
                <w:rFonts w:hint="eastAsia"/>
              </w:rPr>
              <w:t>1.92</w:t>
            </w:r>
          </w:p>
        </w:tc>
        <w:tc>
          <w:tcPr>
            <w:tcW w:w="361" w:type="pct"/>
            <w:vAlign w:val="center"/>
          </w:tcPr>
          <w:p>
            <w:pPr>
              <w:pStyle w:val="42"/>
            </w:pPr>
            <w:r>
              <w:rPr>
                <w:rFonts w:hint="eastAsia"/>
              </w:rPr>
              <w:t>0.007L</w:t>
            </w:r>
          </w:p>
        </w:tc>
        <w:tc>
          <w:tcPr>
            <w:tcW w:w="373" w:type="pct"/>
            <w:vAlign w:val="center"/>
          </w:tcPr>
          <w:p>
            <w:pPr>
              <w:pStyle w:val="42"/>
            </w:pPr>
            <w:r>
              <w:rPr>
                <w:rFonts w:hint="eastAsia"/>
              </w:rPr>
              <w:t>0.0003L</w:t>
            </w:r>
          </w:p>
        </w:tc>
        <w:tc>
          <w:tcPr>
            <w:tcW w:w="430" w:type="pct"/>
            <w:vAlign w:val="center"/>
          </w:tcPr>
          <w:p>
            <w:pPr>
              <w:pStyle w:val="42"/>
            </w:pPr>
            <w:r>
              <w:rPr>
                <w:rFonts w:hint="eastAsia"/>
              </w:rPr>
              <w:t>0.001L</w:t>
            </w:r>
          </w:p>
        </w:tc>
        <w:tc>
          <w:tcPr>
            <w:tcW w:w="493" w:type="pct"/>
            <w:vAlign w:val="center"/>
          </w:tcPr>
          <w:p>
            <w:pPr>
              <w:pStyle w:val="42"/>
            </w:pPr>
            <w:r>
              <w:rPr>
                <w:rFonts w:hint="eastAsia"/>
              </w:rPr>
              <w:t>8.94</w:t>
            </w:r>
            <w:r>
              <w:rPr>
                <w:rFonts w:hint="eastAsia" w:ascii="宋体" w:hAnsi="宋体"/>
              </w:rPr>
              <w:t>×</w:t>
            </w:r>
            <w:r>
              <w:rPr>
                <w:rFonts w:hint="eastAsia"/>
              </w:rPr>
              <w:t>10</w:t>
            </w:r>
            <w:r>
              <w:rPr>
                <w:rFonts w:hint="eastAsia"/>
                <w:vertAlign w:val="superscript"/>
              </w:rPr>
              <w:t>-4</w:t>
            </w:r>
          </w:p>
        </w:tc>
        <w:tc>
          <w:tcPr>
            <w:tcW w:w="493"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-5</w:t>
            </w:r>
            <w:r>
              <w:rPr>
                <w:rFonts w:hint="eastAsia"/>
              </w:rPr>
              <w:t>L</w:t>
            </w:r>
          </w:p>
        </w:tc>
        <w:tc>
          <w:tcPr>
            <w:tcW w:w="371" w:type="pct"/>
            <w:vAlign w:val="center"/>
          </w:tcPr>
          <w:p>
            <w:pPr>
              <w:pStyle w:val="42"/>
            </w:pPr>
            <w:r>
              <w:rPr>
                <w:rFonts w:hint="eastAsia"/>
              </w:rPr>
              <w:t>0.004L</w:t>
            </w:r>
          </w:p>
        </w:tc>
        <w:tc>
          <w:tcPr>
            <w:tcW w:w="313" w:type="pct"/>
            <w:vAlign w:val="center"/>
          </w:tcPr>
          <w:p>
            <w:pPr>
              <w:pStyle w:val="42"/>
            </w:pPr>
            <w:r>
              <w:rPr>
                <w:rFonts w:hint="eastAsia"/>
              </w:rPr>
              <w:t>139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超标率(%)</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0</w:t>
            </w:r>
          </w:p>
        </w:tc>
        <w:tc>
          <w:tcPr>
            <w:tcW w:w="373" w:type="pct"/>
            <w:vAlign w:val="center"/>
          </w:tcPr>
          <w:p>
            <w:pPr>
              <w:pStyle w:val="42"/>
            </w:pPr>
            <w:r>
              <w:rPr>
                <w:rFonts w:hint="eastAsia"/>
              </w:rPr>
              <w:t>0</w:t>
            </w:r>
          </w:p>
        </w:tc>
        <w:tc>
          <w:tcPr>
            <w:tcW w:w="430" w:type="pct"/>
            <w:vAlign w:val="center"/>
          </w:tcPr>
          <w:p>
            <w:pPr>
              <w:pStyle w:val="42"/>
            </w:pPr>
            <w:r>
              <w:rPr>
                <w:rFonts w:hint="eastAsia"/>
              </w:rPr>
              <w:t>0</w:t>
            </w:r>
          </w:p>
        </w:tc>
        <w:tc>
          <w:tcPr>
            <w:tcW w:w="493" w:type="pct"/>
            <w:vAlign w:val="center"/>
          </w:tcPr>
          <w:p>
            <w:pPr>
              <w:pStyle w:val="42"/>
            </w:pPr>
            <w:r>
              <w:rPr>
                <w:rFonts w:hint="eastAsia"/>
              </w:rPr>
              <w:t>0</w:t>
            </w:r>
          </w:p>
        </w:tc>
        <w:tc>
          <w:tcPr>
            <w:tcW w:w="493" w:type="pct"/>
            <w:vAlign w:val="center"/>
          </w:tcPr>
          <w:p>
            <w:pPr>
              <w:pStyle w:val="42"/>
            </w:pPr>
            <w:r>
              <w:rPr>
                <w:rFonts w:hint="eastAsia"/>
              </w:rPr>
              <w:t>0</w:t>
            </w:r>
          </w:p>
        </w:tc>
        <w:tc>
          <w:tcPr>
            <w:tcW w:w="371" w:type="pct"/>
            <w:vAlign w:val="center"/>
          </w:tcPr>
          <w:p>
            <w:pPr>
              <w:pStyle w:val="42"/>
            </w:pPr>
            <w:r>
              <w:rPr>
                <w:rFonts w:hint="eastAsia"/>
              </w:rPr>
              <w:t>0</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超标倍数</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rPr>
                <w:rFonts w:hint="eastAsia"/>
              </w:rPr>
              <w:t>P</w:t>
            </w:r>
            <w:r>
              <w:t>i值</w:t>
            </w:r>
          </w:p>
        </w:tc>
        <w:tc>
          <w:tcPr>
            <w:tcW w:w="305" w:type="pct"/>
            <w:vAlign w:val="center"/>
          </w:tcPr>
          <w:p>
            <w:pPr>
              <w:pStyle w:val="42"/>
            </w:pPr>
            <w:r>
              <w:rPr>
                <w:rFonts w:hint="eastAsia"/>
              </w:rPr>
              <w:t>/</w:t>
            </w:r>
          </w:p>
        </w:tc>
        <w:tc>
          <w:tcPr>
            <w:tcW w:w="367" w:type="pct"/>
            <w:vAlign w:val="center"/>
          </w:tcPr>
          <w:p>
            <w:pPr>
              <w:pStyle w:val="42"/>
            </w:pPr>
            <w:r>
              <w:rPr>
                <w:rFonts w:hint="eastAsia"/>
              </w:rPr>
              <w:t>0.84</w:t>
            </w:r>
          </w:p>
        </w:tc>
        <w:tc>
          <w:tcPr>
            <w:tcW w:w="313" w:type="pct"/>
            <w:vAlign w:val="center"/>
          </w:tcPr>
          <w:p>
            <w:pPr>
              <w:pStyle w:val="42"/>
            </w:pPr>
            <w:r>
              <w:rPr>
                <w:rFonts w:hint="eastAsia"/>
              </w:rPr>
              <w:t>0.12</w:t>
            </w:r>
          </w:p>
        </w:tc>
        <w:tc>
          <w:tcPr>
            <w:tcW w:w="313" w:type="pct"/>
            <w:vAlign w:val="center"/>
          </w:tcPr>
          <w:p>
            <w:pPr>
              <w:pStyle w:val="42"/>
            </w:pPr>
            <w:r>
              <w:rPr>
                <w:rFonts w:hint="eastAsia"/>
              </w:rPr>
              <w:t>0.10</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0.09</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restart"/>
            <w:vAlign w:val="center"/>
          </w:tcPr>
          <w:p>
            <w:pPr>
              <w:pStyle w:val="42"/>
            </w:pPr>
            <w:r>
              <w:rPr>
                <w:rFonts w:hint="eastAsia"/>
              </w:rPr>
              <w:t>11#</w:t>
            </w:r>
            <w:r>
              <w:t>海洲化学B区旁</w:t>
            </w:r>
          </w:p>
        </w:tc>
        <w:tc>
          <w:tcPr>
            <w:tcW w:w="512" w:type="pct"/>
            <w:vAlign w:val="center"/>
          </w:tcPr>
          <w:p>
            <w:pPr>
              <w:pStyle w:val="42"/>
            </w:pPr>
            <w:r>
              <w:t>浓度值</w:t>
            </w:r>
          </w:p>
        </w:tc>
        <w:tc>
          <w:tcPr>
            <w:tcW w:w="305" w:type="pct"/>
            <w:vAlign w:val="center"/>
          </w:tcPr>
          <w:p>
            <w:pPr>
              <w:pStyle w:val="42"/>
              <w:rPr>
                <w:sz w:val="18"/>
                <w:szCs w:val="18"/>
              </w:rPr>
            </w:pPr>
            <w:r>
              <w:rPr>
                <w:rFonts w:hint="eastAsia"/>
                <w:sz w:val="18"/>
                <w:szCs w:val="18"/>
              </w:rPr>
              <w:t>18</w:t>
            </w:r>
          </w:p>
        </w:tc>
        <w:tc>
          <w:tcPr>
            <w:tcW w:w="367" w:type="pct"/>
            <w:vAlign w:val="center"/>
          </w:tcPr>
          <w:p>
            <w:pPr>
              <w:pStyle w:val="42"/>
              <w:rPr>
                <w:sz w:val="18"/>
                <w:szCs w:val="18"/>
              </w:rPr>
            </w:pPr>
            <w:r>
              <w:rPr>
                <w:rFonts w:hint="eastAsia"/>
                <w:sz w:val="18"/>
                <w:szCs w:val="18"/>
              </w:rPr>
              <w:t>6.97</w:t>
            </w:r>
          </w:p>
        </w:tc>
        <w:tc>
          <w:tcPr>
            <w:tcW w:w="313" w:type="pct"/>
            <w:vAlign w:val="center"/>
          </w:tcPr>
          <w:p>
            <w:pPr>
              <w:pStyle w:val="42"/>
              <w:rPr>
                <w:sz w:val="18"/>
                <w:szCs w:val="18"/>
              </w:rPr>
            </w:pPr>
            <w:r>
              <w:rPr>
                <w:rFonts w:hint="eastAsia"/>
                <w:sz w:val="18"/>
                <w:szCs w:val="18"/>
              </w:rPr>
              <w:t>0.05</w:t>
            </w:r>
          </w:p>
        </w:tc>
        <w:tc>
          <w:tcPr>
            <w:tcW w:w="313" w:type="pct"/>
            <w:vAlign w:val="center"/>
          </w:tcPr>
          <w:p>
            <w:pPr>
              <w:pStyle w:val="42"/>
              <w:rPr>
                <w:sz w:val="18"/>
                <w:szCs w:val="18"/>
              </w:rPr>
            </w:pPr>
            <w:r>
              <w:rPr>
                <w:rFonts w:hint="eastAsia"/>
                <w:sz w:val="18"/>
                <w:szCs w:val="18"/>
              </w:rPr>
              <w:t>6.53</w:t>
            </w:r>
          </w:p>
        </w:tc>
        <w:tc>
          <w:tcPr>
            <w:tcW w:w="361" w:type="pct"/>
            <w:vAlign w:val="center"/>
          </w:tcPr>
          <w:p>
            <w:pPr>
              <w:pStyle w:val="42"/>
              <w:rPr>
                <w:sz w:val="18"/>
                <w:szCs w:val="18"/>
              </w:rPr>
            </w:pPr>
            <w:r>
              <w:rPr>
                <w:rFonts w:hint="eastAsia"/>
                <w:sz w:val="18"/>
                <w:szCs w:val="18"/>
              </w:rPr>
              <w:t>0.007L</w:t>
            </w:r>
          </w:p>
        </w:tc>
        <w:tc>
          <w:tcPr>
            <w:tcW w:w="373" w:type="pct"/>
            <w:vAlign w:val="center"/>
          </w:tcPr>
          <w:p>
            <w:pPr>
              <w:pStyle w:val="42"/>
              <w:rPr>
                <w:sz w:val="18"/>
                <w:szCs w:val="18"/>
              </w:rPr>
            </w:pPr>
            <w:r>
              <w:rPr>
                <w:rFonts w:hint="eastAsia"/>
                <w:sz w:val="18"/>
                <w:szCs w:val="18"/>
              </w:rPr>
              <w:t>0.0003L</w:t>
            </w:r>
          </w:p>
        </w:tc>
        <w:tc>
          <w:tcPr>
            <w:tcW w:w="430" w:type="pct"/>
            <w:vAlign w:val="center"/>
          </w:tcPr>
          <w:p>
            <w:pPr>
              <w:pStyle w:val="42"/>
              <w:rPr>
                <w:sz w:val="18"/>
                <w:szCs w:val="18"/>
              </w:rPr>
            </w:pPr>
            <w:r>
              <w:rPr>
                <w:rFonts w:hint="eastAsia"/>
                <w:sz w:val="18"/>
                <w:szCs w:val="18"/>
              </w:rPr>
              <w:t>0.001L</w:t>
            </w:r>
          </w:p>
        </w:tc>
        <w:tc>
          <w:tcPr>
            <w:tcW w:w="493" w:type="pct"/>
            <w:vAlign w:val="center"/>
          </w:tcPr>
          <w:p>
            <w:pPr>
              <w:pStyle w:val="42"/>
              <w:rPr>
                <w:sz w:val="18"/>
                <w:szCs w:val="18"/>
              </w:rPr>
            </w:pPr>
            <w:r>
              <w:rPr>
                <w:rFonts w:hint="eastAsia"/>
                <w:sz w:val="18"/>
                <w:szCs w:val="18"/>
              </w:rPr>
              <w:t>9.38</w:t>
            </w:r>
            <w:r>
              <w:rPr>
                <w:rFonts w:hint="eastAsia" w:ascii="宋体" w:hAnsi="宋体"/>
                <w:sz w:val="18"/>
                <w:szCs w:val="18"/>
              </w:rPr>
              <w:t>×</w:t>
            </w:r>
            <w:r>
              <w:rPr>
                <w:rFonts w:hint="eastAsia"/>
                <w:sz w:val="18"/>
                <w:szCs w:val="18"/>
              </w:rPr>
              <w:t>10</w:t>
            </w:r>
            <w:r>
              <w:rPr>
                <w:rFonts w:hint="eastAsia"/>
                <w:sz w:val="18"/>
                <w:szCs w:val="18"/>
                <w:vertAlign w:val="superscript"/>
              </w:rPr>
              <w:t>-4</w:t>
            </w:r>
          </w:p>
        </w:tc>
        <w:tc>
          <w:tcPr>
            <w:tcW w:w="493" w:type="pct"/>
            <w:vAlign w:val="center"/>
          </w:tcPr>
          <w:p>
            <w:pPr>
              <w:pStyle w:val="42"/>
              <w:rPr>
                <w:sz w:val="18"/>
                <w:szCs w:val="18"/>
              </w:rPr>
            </w:pPr>
            <w:r>
              <w:rPr>
                <w:rFonts w:hint="eastAsia"/>
                <w:sz w:val="18"/>
                <w:szCs w:val="18"/>
              </w:rPr>
              <w:t>1.0</w:t>
            </w:r>
            <w:r>
              <w:rPr>
                <w:rFonts w:hint="eastAsia" w:ascii="宋体" w:hAnsi="宋体"/>
                <w:sz w:val="18"/>
                <w:szCs w:val="18"/>
              </w:rPr>
              <w:t>×</w:t>
            </w:r>
            <w:r>
              <w:rPr>
                <w:rFonts w:hint="eastAsia"/>
                <w:sz w:val="18"/>
                <w:szCs w:val="18"/>
              </w:rPr>
              <w:t>10</w:t>
            </w:r>
            <w:r>
              <w:rPr>
                <w:rFonts w:hint="eastAsia"/>
                <w:sz w:val="18"/>
                <w:szCs w:val="18"/>
                <w:vertAlign w:val="superscript"/>
              </w:rPr>
              <w:t>-5</w:t>
            </w:r>
            <w:r>
              <w:rPr>
                <w:rFonts w:hint="eastAsia"/>
                <w:sz w:val="18"/>
                <w:szCs w:val="18"/>
              </w:rPr>
              <w:t>L</w:t>
            </w:r>
          </w:p>
        </w:tc>
        <w:tc>
          <w:tcPr>
            <w:tcW w:w="371" w:type="pct"/>
            <w:vAlign w:val="center"/>
          </w:tcPr>
          <w:p>
            <w:pPr>
              <w:pStyle w:val="42"/>
              <w:rPr>
                <w:sz w:val="18"/>
                <w:szCs w:val="18"/>
              </w:rPr>
            </w:pPr>
            <w:r>
              <w:rPr>
                <w:rFonts w:hint="eastAsia"/>
                <w:sz w:val="18"/>
                <w:szCs w:val="18"/>
              </w:rPr>
              <w:t>0.004L</w:t>
            </w:r>
          </w:p>
        </w:tc>
        <w:tc>
          <w:tcPr>
            <w:tcW w:w="313" w:type="pct"/>
            <w:vAlign w:val="center"/>
          </w:tcPr>
          <w:p>
            <w:pPr>
              <w:pStyle w:val="42"/>
              <w:rPr>
                <w:sz w:val="18"/>
                <w:szCs w:val="18"/>
              </w:rPr>
            </w:pPr>
            <w:r>
              <w:rPr>
                <w:rFonts w:hint="eastAsia"/>
                <w:sz w:val="18"/>
                <w:szCs w:val="18"/>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超标率(%)</w:t>
            </w:r>
          </w:p>
        </w:tc>
        <w:tc>
          <w:tcPr>
            <w:tcW w:w="305" w:type="pct"/>
            <w:vAlign w:val="center"/>
          </w:tcPr>
          <w:p>
            <w:pPr>
              <w:pStyle w:val="42"/>
              <w:rPr>
                <w:sz w:val="18"/>
                <w:szCs w:val="18"/>
              </w:rPr>
            </w:pPr>
            <w:r>
              <w:rPr>
                <w:rFonts w:hint="eastAsia"/>
                <w:sz w:val="18"/>
                <w:szCs w:val="18"/>
              </w:rPr>
              <w:t>/</w:t>
            </w:r>
          </w:p>
        </w:tc>
        <w:tc>
          <w:tcPr>
            <w:tcW w:w="367" w:type="pct"/>
            <w:vAlign w:val="center"/>
          </w:tcPr>
          <w:p>
            <w:pPr>
              <w:pStyle w:val="42"/>
              <w:rPr>
                <w:sz w:val="18"/>
                <w:szCs w:val="18"/>
              </w:rPr>
            </w:pPr>
            <w:r>
              <w:rPr>
                <w:rFonts w:hint="eastAsia"/>
                <w:sz w:val="18"/>
                <w:szCs w:val="18"/>
              </w:rPr>
              <w:t>0</w:t>
            </w:r>
          </w:p>
        </w:tc>
        <w:tc>
          <w:tcPr>
            <w:tcW w:w="313" w:type="pct"/>
            <w:vAlign w:val="center"/>
          </w:tcPr>
          <w:p>
            <w:pPr>
              <w:pStyle w:val="42"/>
              <w:rPr>
                <w:sz w:val="18"/>
                <w:szCs w:val="18"/>
              </w:rPr>
            </w:pPr>
            <w:r>
              <w:rPr>
                <w:rFonts w:hint="eastAsia"/>
                <w:sz w:val="18"/>
                <w:szCs w:val="18"/>
              </w:rPr>
              <w:t>0</w:t>
            </w:r>
          </w:p>
        </w:tc>
        <w:tc>
          <w:tcPr>
            <w:tcW w:w="313" w:type="pct"/>
            <w:vAlign w:val="center"/>
          </w:tcPr>
          <w:p>
            <w:pPr>
              <w:pStyle w:val="42"/>
              <w:rPr>
                <w:sz w:val="18"/>
                <w:szCs w:val="18"/>
              </w:rPr>
            </w:pPr>
            <w:r>
              <w:rPr>
                <w:rFonts w:hint="eastAsia"/>
                <w:sz w:val="18"/>
                <w:szCs w:val="18"/>
              </w:rPr>
              <w:t>0</w:t>
            </w:r>
          </w:p>
        </w:tc>
        <w:tc>
          <w:tcPr>
            <w:tcW w:w="361" w:type="pct"/>
            <w:vAlign w:val="center"/>
          </w:tcPr>
          <w:p>
            <w:pPr>
              <w:pStyle w:val="42"/>
              <w:rPr>
                <w:sz w:val="18"/>
                <w:szCs w:val="18"/>
              </w:rPr>
            </w:pPr>
            <w:r>
              <w:rPr>
                <w:rFonts w:hint="eastAsia"/>
                <w:sz w:val="18"/>
                <w:szCs w:val="18"/>
              </w:rPr>
              <w:t>0</w:t>
            </w:r>
          </w:p>
        </w:tc>
        <w:tc>
          <w:tcPr>
            <w:tcW w:w="373" w:type="pct"/>
            <w:vAlign w:val="center"/>
          </w:tcPr>
          <w:p>
            <w:pPr>
              <w:pStyle w:val="42"/>
              <w:rPr>
                <w:sz w:val="18"/>
                <w:szCs w:val="18"/>
              </w:rPr>
            </w:pPr>
            <w:r>
              <w:rPr>
                <w:rFonts w:hint="eastAsia"/>
                <w:sz w:val="18"/>
                <w:szCs w:val="18"/>
              </w:rPr>
              <w:t>0</w:t>
            </w:r>
          </w:p>
        </w:tc>
        <w:tc>
          <w:tcPr>
            <w:tcW w:w="430" w:type="pct"/>
            <w:vAlign w:val="center"/>
          </w:tcPr>
          <w:p>
            <w:pPr>
              <w:pStyle w:val="42"/>
              <w:rPr>
                <w:sz w:val="18"/>
                <w:szCs w:val="18"/>
              </w:rPr>
            </w:pPr>
            <w:r>
              <w:rPr>
                <w:rFonts w:hint="eastAsia"/>
                <w:sz w:val="18"/>
                <w:szCs w:val="18"/>
              </w:rPr>
              <w:t>0</w:t>
            </w:r>
          </w:p>
        </w:tc>
        <w:tc>
          <w:tcPr>
            <w:tcW w:w="493" w:type="pct"/>
            <w:vAlign w:val="center"/>
          </w:tcPr>
          <w:p>
            <w:pPr>
              <w:pStyle w:val="42"/>
              <w:rPr>
                <w:sz w:val="18"/>
                <w:szCs w:val="18"/>
              </w:rPr>
            </w:pPr>
            <w:r>
              <w:rPr>
                <w:rFonts w:hint="eastAsia"/>
                <w:sz w:val="18"/>
                <w:szCs w:val="18"/>
              </w:rPr>
              <w:t>0</w:t>
            </w:r>
          </w:p>
        </w:tc>
        <w:tc>
          <w:tcPr>
            <w:tcW w:w="493" w:type="pct"/>
            <w:vAlign w:val="center"/>
          </w:tcPr>
          <w:p>
            <w:pPr>
              <w:pStyle w:val="42"/>
              <w:rPr>
                <w:sz w:val="18"/>
                <w:szCs w:val="18"/>
              </w:rPr>
            </w:pPr>
            <w:r>
              <w:rPr>
                <w:rFonts w:hint="eastAsia"/>
                <w:sz w:val="18"/>
                <w:szCs w:val="18"/>
              </w:rPr>
              <w:t>0</w:t>
            </w:r>
          </w:p>
        </w:tc>
        <w:tc>
          <w:tcPr>
            <w:tcW w:w="371" w:type="pct"/>
            <w:vAlign w:val="center"/>
          </w:tcPr>
          <w:p>
            <w:pPr>
              <w:pStyle w:val="42"/>
              <w:rPr>
                <w:sz w:val="18"/>
                <w:szCs w:val="18"/>
              </w:rPr>
            </w:pPr>
            <w:r>
              <w:rPr>
                <w:rFonts w:hint="eastAsia"/>
                <w:sz w:val="18"/>
                <w:szCs w:val="18"/>
              </w:rPr>
              <w:t>0</w:t>
            </w:r>
          </w:p>
        </w:tc>
        <w:tc>
          <w:tcPr>
            <w:tcW w:w="313" w:type="pct"/>
            <w:vAlign w:val="center"/>
          </w:tcPr>
          <w:p>
            <w:pPr>
              <w:pStyle w:val="42"/>
              <w:rPr>
                <w:sz w:val="18"/>
                <w:szCs w:val="18"/>
              </w:rPr>
            </w:pPr>
            <w:r>
              <w:rPr>
                <w:rFonts w:hint="eastAsia"/>
                <w:sz w:val="18"/>
                <w:szCs w:val="1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超标倍数</w:t>
            </w:r>
          </w:p>
        </w:tc>
        <w:tc>
          <w:tcPr>
            <w:tcW w:w="305" w:type="pct"/>
            <w:vAlign w:val="center"/>
          </w:tcPr>
          <w:p>
            <w:pPr>
              <w:pStyle w:val="42"/>
              <w:rPr>
                <w:sz w:val="18"/>
                <w:szCs w:val="18"/>
              </w:rPr>
            </w:pPr>
            <w:r>
              <w:rPr>
                <w:rFonts w:hint="eastAsia"/>
                <w:sz w:val="18"/>
                <w:szCs w:val="18"/>
              </w:rPr>
              <w:t>/</w:t>
            </w:r>
          </w:p>
        </w:tc>
        <w:tc>
          <w:tcPr>
            <w:tcW w:w="367" w:type="pct"/>
            <w:vAlign w:val="center"/>
          </w:tcPr>
          <w:p>
            <w:pPr>
              <w:pStyle w:val="42"/>
              <w:rPr>
                <w:sz w:val="18"/>
                <w:szCs w:val="18"/>
              </w:rPr>
            </w:pPr>
            <w:r>
              <w:rPr>
                <w:rFonts w:hint="eastAsia"/>
                <w:sz w:val="18"/>
                <w:szCs w:val="18"/>
              </w:rPr>
              <w:t>0</w:t>
            </w:r>
          </w:p>
        </w:tc>
        <w:tc>
          <w:tcPr>
            <w:tcW w:w="313" w:type="pct"/>
            <w:vAlign w:val="center"/>
          </w:tcPr>
          <w:p>
            <w:pPr>
              <w:pStyle w:val="42"/>
              <w:rPr>
                <w:sz w:val="18"/>
                <w:szCs w:val="18"/>
              </w:rPr>
            </w:pPr>
            <w:r>
              <w:rPr>
                <w:rFonts w:hint="eastAsia"/>
                <w:sz w:val="18"/>
                <w:szCs w:val="18"/>
              </w:rPr>
              <w:t>0</w:t>
            </w:r>
          </w:p>
        </w:tc>
        <w:tc>
          <w:tcPr>
            <w:tcW w:w="313" w:type="pct"/>
            <w:vAlign w:val="center"/>
          </w:tcPr>
          <w:p>
            <w:pPr>
              <w:pStyle w:val="42"/>
              <w:rPr>
                <w:sz w:val="18"/>
                <w:szCs w:val="18"/>
              </w:rPr>
            </w:pPr>
            <w:r>
              <w:rPr>
                <w:rFonts w:hint="eastAsia"/>
                <w:sz w:val="18"/>
                <w:szCs w:val="18"/>
              </w:rPr>
              <w:t>0</w:t>
            </w:r>
          </w:p>
        </w:tc>
        <w:tc>
          <w:tcPr>
            <w:tcW w:w="361" w:type="pct"/>
            <w:vAlign w:val="center"/>
          </w:tcPr>
          <w:p>
            <w:pPr>
              <w:pStyle w:val="42"/>
              <w:rPr>
                <w:sz w:val="18"/>
                <w:szCs w:val="18"/>
              </w:rPr>
            </w:pPr>
            <w:r>
              <w:rPr>
                <w:rFonts w:hint="eastAsia"/>
                <w:sz w:val="18"/>
                <w:szCs w:val="18"/>
              </w:rPr>
              <w:t>/</w:t>
            </w:r>
          </w:p>
        </w:tc>
        <w:tc>
          <w:tcPr>
            <w:tcW w:w="373" w:type="pct"/>
            <w:vAlign w:val="center"/>
          </w:tcPr>
          <w:p>
            <w:pPr>
              <w:pStyle w:val="42"/>
              <w:rPr>
                <w:sz w:val="18"/>
                <w:szCs w:val="18"/>
              </w:rPr>
            </w:pPr>
            <w:r>
              <w:rPr>
                <w:rFonts w:hint="eastAsia"/>
                <w:sz w:val="18"/>
                <w:szCs w:val="18"/>
              </w:rPr>
              <w:t>/</w:t>
            </w:r>
          </w:p>
        </w:tc>
        <w:tc>
          <w:tcPr>
            <w:tcW w:w="430" w:type="pct"/>
            <w:vAlign w:val="center"/>
          </w:tcPr>
          <w:p>
            <w:pPr>
              <w:pStyle w:val="42"/>
              <w:rPr>
                <w:sz w:val="18"/>
                <w:szCs w:val="18"/>
              </w:rPr>
            </w:pPr>
            <w:r>
              <w:rPr>
                <w:rFonts w:hint="eastAsia"/>
                <w:sz w:val="18"/>
                <w:szCs w:val="18"/>
              </w:rPr>
              <w:t>/</w:t>
            </w:r>
          </w:p>
        </w:tc>
        <w:tc>
          <w:tcPr>
            <w:tcW w:w="493" w:type="pct"/>
            <w:vAlign w:val="center"/>
          </w:tcPr>
          <w:p>
            <w:pPr>
              <w:pStyle w:val="42"/>
              <w:rPr>
                <w:sz w:val="18"/>
                <w:szCs w:val="18"/>
              </w:rPr>
            </w:pPr>
            <w:r>
              <w:rPr>
                <w:rFonts w:hint="eastAsia"/>
                <w:sz w:val="18"/>
                <w:szCs w:val="18"/>
              </w:rPr>
              <w:t>0</w:t>
            </w:r>
          </w:p>
        </w:tc>
        <w:tc>
          <w:tcPr>
            <w:tcW w:w="493" w:type="pct"/>
            <w:vAlign w:val="center"/>
          </w:tcPr>
          <w:p>
            <w:pPr>
              <w:pStyle w:val="42"/>
              <w:rPr>
                <w:sz w:val="18"/>
                <w:szCs w:val="18"/>
              </w:rPr>
            </w:pPr>
            <w:r>
              <w:rPr>
                <w:rFonts w:hint="eastAsia"/>
                <w:sz w:val="18"/>
                <w:szCs w:val="18"/>
              </w:rPr>
              <w:t>/</w:t>
            </w:r>
          </w:p>
        </w:tc>
        <w:tc>
          <w:tcPr>
            <w:tcW w:w="371" w:type="pct"/>
            <w:vAlign w:val="center"/>
          </w:tcPr>
          <w:p>
            <w:pPr>
              <w:pStyle w:val="42"/>
              <w:rPr>
                <w:sz w:val="18"/>
                <w:szCs w:val="18"/>
              </w:rPr>
            </w:pPr>
            <w:r>
              <w:rPr>
                <w:rFonts w:hint="eastAsia"/>
                <w:sz w:val="18"/>
                <w:szCs w:val="18"/>
              </w:rPr>
              <w:t>/</w:t>
            </w:r>
          </w:p>
        </w:tc>
        <w:tc>
          <w:tcPr>
            <w:tcW w:w="313" w:type="pct"/>
            <w:vAlign w:val="center"/>
          </w:tcPr>
          <w:p>
            <w:pPr>
              <w:pStyle w:val="42"/>
              <w:rPr>
                <w:sz w:val="18"/>
                <w:szCs w:val="18"/>
              </w:rPr>
            </w:pPr>
            <w:r>
              <w:rPr>
                <w:rFonts w:hint="eastAsia"/>
                <w:sz w:val="18"/>
                <w:szCs w:val="1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rPr>
                <w:rFonts w:hint="eastAsia"/>
              </w:rPr>
              <w:t>P</w:t>
            </w:r>
            <w:r>
              <w:t>i值</w:t>
            </w:r>
          </w:p>
        </w:tc>
        <w:tc>
          <w:tcPr>
            <w:tcW w:w="305" w:type="pct"/>
            <w:vAlign w:val="center"/>
          </w:tcPr>
          <w:p>
            <w:pPr>
              <w:pStyle w:val="42"/>
              <w:rPr>
                <w:sz w:val="18"/>
                <w:szCs w:val="18"/>
              </w:rPr>
            </w:pPr>
            <w:r>
              <w:rPr>
                <w:rFonts w:hint="eastAsia"/>
                <w:sz w:val="18"/>
                <w:szCs w:val="18"/>
              </w:rPr>
              <w:t>/</w:t>
            </w:r>
          </w:p>
        </w:tc>
        <w:tc>
          <w:tcPr>
            <w:tcW w:w="367" w:type="pct"/>
            <w:vAlign w:val="center"/>
          </w:tcPr>
          <w:p>
            <w:pPr>
              <w:pStyle w:val="42"/>
              <w:rPr>
                <w:sz w:val="18"/>
                <w:szCs w:val="18"/>
              </w:rPr>
            </w:pPr>
            <w:r>
              <w:rPr>
                <w:rFonts w:hint="eastAsia"/>
                <w:sz w:val="18"/>
                <w:szCs w:val="18"/>
              </w:rPr>
              <w:t>0.06</w:t>
            </w:r>
          </w:p>
        </w:tc>
        <w:tc>
          <w:tcPr>
            <w:tcW w:w="313" w:type="pct"/>
            <w:vAlign w:val="center"/>
          </w:tcPr>
          <w:p>
            <w:pPr>
              <w:pStyle w:val="42"/>
              <w:rPr>
                <w:sz w:val="18"/>
                <w:szCs w:val="18"/>
              </w:rPr>
            </w:pPr>
            <w:r>
              <w:rPr>
                <w:rFonts w:hint="eastAsia"/>
                <w:sz w:val="18"/>
                <w:szCs w:val="18"/>
              </w:rPr>
              <w:t>0.1</w:t>
            </w:r>
          </w:p>
        </w:tc>
        <w:tc>
          <w:tcPr>
            <w:tcW w:w="313" w:type="pct"/>
            <w:vAlign w:val="center"/>
          </w:tcPr>
          <w:p>
            <w:pPr>
              <w:pStyle w:val="42"/>
              <w:rPr>
                <w:sz w:val="18"/>
                <w:szCs w:val="18"/>
              </w:rPr>
            </w:pPr>
            <w:r>
              <w:rPr>
                <w:rFonts w:hint="eastAsia"/>
                <w:sz w:val="18"/>
                <w:szCs w:val="18"/>
              </w:rPr>
              <w:t>0.33</w:t>
            </w:r>
          </w:p>
        </w:tc>
        <w:tc>
          <w:tcPr>
            <w:tcW w:w="361" w:type="pct"/>
            <w:vAlign w:val="center"/>
          </w:tcPr>
          <w:p>
            <w:pPr>
              <w:pStyle w:val="42"/>
              <w:rPr>
                <w:sz w:val="18"/>
                <w:szCs w:val="18"/>
              </w:rPr>
            </w:pPr>
            <w:r>
              <w:rPr>
                <w:rFonts w:hint="eastAsia"/>
                <w:sz w:val="18"/>
                <w:szCs w:val="18"/>
              </w:rPr>
              <w:t>/</w:t>
            </w:r>
          </w:p>
        </w:tc>
        <w:tc>
          <w:tcPr>
            <w:tcW w:w="373" w:type="pct"/>
            <w:vAlign w:val="center"/>
          </w:tcPr>
          <w:p>
            <w:pPr>
              <w:pStyle w:val="42"/>
              <w:rPr>
                <w:sz w:val="18"/>
                <w:szCs w:val="18"/>
              </w:rPr>
            </w:pPr>
            <w:r>
              <w:rPr>
                <w:rFonts w:hint="eastAsia"/>
                <w:sz w:val="18"/>
                <w:szCs w:val="18"/>
              </w:rPr>
              <w:t>/</w:t>
            </w:r>
          </w:p>
        </w:tc>
        <w:tc>
          <w:tcPr>
            <w:tcW w:w="430" w:type="pct"/>
            <w:vAlign w:val="center"/>
          </w:tcPr>
          <w:p>
            <w:pPr>
              <w:pStyle w:val="42"/>
              <w:rPr>
                <w:sz w:val="18"/>
                <w:szCs w:val="18"/>
              </w:rPr>
            </w:pPr>
            <w:r>
              <w:rPr>
                <w:rFonts w:hint="eastAsia"/>
                <w:sz w:val="18"/>
                <w:szCs w:val="18"/>
              </w:rPr>
              <w:t>/</w:t>
            </w:r>
          </w:p>
        </w:tc>
        <w:tc>
          <w:tcPr>
            <w:tcW w:w="493" w:type="pct"/>
            <w:vAlign w:val="center"/>
          </w:tcPr>
          <w:p>
            <w:pPr>
              <w:pStyle w:val="42"/>
              <w:rPr>
                <w:sz w:val="18"/>
                <w:szCs w:val="18"/>
              </w:rPr>
            </w:pPr>
            <w:r>
              <w:rPr>
                <w:rFonts w:hint="eastAsia"/>
                <w:sz w:val="18"/>
                <w:szCs w:val="18"/>
              </w:rPr>
              <w:t>0.094</w:t>
            </w:r>
          </w:p>
        </w:tc>
        <w:tc>
          <w:tcPr>
            <w:tcW w:w="493" w:type="pct"/>
            <w:vAlign w:val="center"/>
          </w:tcPr>
          <w:p>
            <w:pPr>
              <w:pStyle w:val="42"/>
              <w:rPr>
                <w:sz w:val="18"/>
                <w:szCs w:val="18"/>
              </w:rPr>
            </w:pPr>
            <w:r>
              <w:rPr>
                <w:rFonts w:hint="eastAsia"/>
                <w:sz w:val="18"/>
                <w:szCs w:val="18"/>
              </w:rPr>
              <w:t>/</w:t>
            </w:r>
          </w:p>
        </w:tc>
        <w:tc>
          <w:tcPr>
            <w:tcW w:w="371" w:type="pct"/>
            <w:vAlign w:val="center"/>
          </w:tcPr>
          <w:p>
            <w:pPr>
              <w:pStyle w:val="42"/>
              <w:rPr>
                <w:sz w:val="18"/>
                <w:szCs w:val="18"/>
              </w:rPr>
            </w:pPr>
            <w:r>
              <w:rPr>
                <w:rFonts w:hint="eastAsia"/>
                <w:sz w:val="18"/>
                <w:szCs w:val="18"/>
              </w:rPr>
              <w:t>/</w:t>
            </w:r>
          </w:p>
        </w:tc>
        <w:tc>
          <w:tcPr>
            <w:tcW w:w="313" w:type="pct"/>
            <w:vAlign w:val="center"/>
          </w:tcPr>
          <w:p>
            <w:pPr>
              <w:pStyle w:val="42"/>
              <w:rPr>
                <w:sz w:val="18"/>
                <w:szCs w:val="18"/>
              </w:rPr>
            </w:pPr>
            <w:r>
              <w:rPr>
                <w:rFonts w:hint="eastAsia"/>
                <w:sz w:val="18"/>
                <w:szCs w:val="18"/>
              </w:rPr>
              <w:t>0.333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restart"/>
            <w:vAlign w:val="center"/>
          </w:tcPr>
          <w:p>
            <w:pPr>
              <w:pStyle w:val="42"/>
            </w:pPr>
            <w:r>
              <w:rPr>
                <w:rFonts w:hint="eastAsia"/>
              </w:rPr>
              <w:t>24#晏家重点企业3（博洲环境治理有限公司）</w:t>
            </w:r>
          </w:p>
        </w:tc>
        <w:tc>
          <w:tcPr>
            <w:tcW w:w="512" w:type="pct"/>
            <w:vAlign w:val="center"/>
          </w:tcPr>
          <w:p>
            <w:pPr>
              <w:pStyle w:val="42"/>
            </w:pPr>
            <w:r>
              <w:t>浓度值</w:t>
            </w:r>
          </w:p>
        </w:tc>
        <w:tc>
          <w:tcPr>
            <w:tcW w:w="305" w:type="pct"/>
            <w:vAlign w:val="center"/>
          </w:tcPr>
          <w:p>
            <w:pPr>
              <w:pStyle w:val="42"/>
            </w:pPr>
            <w:r>
              <w:rPr>
                <w:rFonts w:hint="eastAsia"/>
              </w:rPr>
              <w:t>21.0</w:t>
            </w:r>
          </w:p>
        </w:tc>
        <w:tc>
          <w:tcPr>
            <w:tcW w:w="367" w:type="pct"/>
            <w:vAlign w:val="center"/>
          </w:tcPr>
          <w:p>
            <w:pPr>
              <w:pStyle w:val="42"/>
            </w:pPr>
            <w:r>
              <w:rPr>
                <w:rFonts w:hint="eastAsia"/>
              </w:rPr>
              <w:t>8.03</w:t>
            </w:r>
          </w:p>
        </w:tc>
        <w:tc>
          <w:tcPr>
            <w:tcW w:w="313" w:type="pct"/>
            <w:vAlign w:val="center"/>
          </w:tcPr>
          <w:p>
            <w:pPr>
              <w:pStyle w:val="42"/>
            </w:pPr>
            <w:r>
              <w:rPr>
                <w:rFonts w:hint="eastAsia"/>
              </w:rPr>
              <w:t>0.06</w:t>
            </w:r>
          </w:p>
        </w:tc>
        <w:tc>
          <w:tcPr>
            <w:tcW w:w="313" w:type="pct"/>
            <w:vAlign w:val="center"/>
          </w:tcPr>
          <w:p>
            <w:pPr>
              <w:pStyle w:val="42"/>
            </w:pPr>
            <w:r>
              <w:rPr>
                <w:rFonts w:hint="eastAsia"/>
              </w:rPr>
              <w:t>2.71</w:t>
            </w:r>
          </w:p>
        </w:tc>
        <w:tc>
          <w:tcPr>
            <w:tcW w:w="361" w:type="pct"/>
            <w:vAlign w:val="center"/>
          </w:tcPr>
          <w:p>
            <w:pPr>
              <w:pStyle w:val="42"/>
            </w:pPr>
            <w:r>
              <w:rPr>
                <w:rFonts w:hint="eastAsia"/>
              </w:rPr>
              <w:t>0.007L</w:t>
            </w:r>
          </w:p>
        </w:tc>
        <w:tc>
          <w:tcPr>
            <w:tcW w:w="373" w:type="pct"/>
            <w:vAlign w:val="center"/>
          </w:tcPr>
          <w:p>
            <w:pPr>
              <w:pStyle w:val="42"/>
            </w:pPr>
            <w:r>
              <w:rPr>
                <w:rFonts w:hint="eastAsia"/>
              </w:rPr>
              <w:t>0.0003L</w:t>
            </w:r>
          </w:p>
        </w:tc>
        <w:tc>
          <w:tcPr>
            <w:tcW w:w="430" w:type="pct"/>
            <w:vAlign w:val="center"/>
          </w:tcPr>
          <w:p>
            <w:pPr>
              <w:pStyle w:val="42"/>
            </w:pPr>
            <w:r>
              <w:rPr>
                <w:rFonts w:hint="eastAsia"/>
              </w:rPr>
              <w:t>0.001L</w:t>
            </w:r>
          </w:p>
        </w:tc>
        <w:tc>
          <w:tcPr>
            <w:tcW w:w="493" w:type="pct"/>
            <w:vAlign w:val="center"/>
          </w:tcPr>
          <w:p>
            <w:pPr>
              <w:pStyle w:val="42"/>
            </w:pPr>
            <w:r>
              <w:rPr>
                <w:rFonts w:hint="eastAsia"/>
              </w:rPr>
              <w:t>9.72</w:t>
            </w:r>
            <w:r>
              <w:rPr>
                <w:rFonts w:hint="eastAsia" w:ascii="宋体" w:hAnsi="宋体"/>
              </w:rPr>
              <w:t>×</w:t>
            </w:r>
            <w:r>
              <w:rPr>
                <w:rFonts w:hint="eastAsia"/>
              </w:rPr>
              <w:t>10</w:t>
            </w:r>
            <w:r>
              <w:rPr>
                <w:rFonts w:hint="eastAsia"/>
                <w:vertAlign w:val="superscript"/>
              </w:rPr>
              <w:t>-4</w:t>
            </w:r>
          </w:p>
        </w:tc>
        <w:tc>
          <w:tcPr>
            <w:tcW w:w="493"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-5</w:t>
            </w:r>
            <w:r>
              <w:rPr>
                <w:rFonts w:hint="eastAsia"/>
              </w:rPr>
              <w:t>L</w:t>
            </w:r>
          </w:p>
        </w:tc>
        <w:tc>
          <w:tcPr>
            <w:tcW w:w="371" w:type="pct"/>
            <w:vAlign w:val="center"/>
          </w:tcPr>
          <w:p>
            <w:pPr>
              <w:pStyle w:val="42"/>
            </w:pPr>
            <w:r>
              <w:rPr>
                <w:rFonts w:hint="eastAsia"/>
              </w:rPr>
              <w:t>0.004L</w:t>
            </w:r>
          </w:p>
        </w:tc>
        <w:tc>
          <w:tcPr>
            <w:tcW w:w="313" w:type="pct"/>
            <w:vAlign w:val="center"/>
          </w:tcPr>
          <w:p>
            <w:pPr>
              <w:pStyle w:val="42"/>
            </w:pPr>
            <w:r>
              <w:rPr>
                <w:rFonts w:hint="eastAsia"/>
              </w:rPr>
              <w:t>168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超标率(%)</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0</w:t>
            </w:r>
          </w:p>
        </w:tc>
        <w:tc>
          <w:tcPr>
            <w:tcW w:w="373" w:type="pct"/>
            <w:vAlign w:val="center"/>
          </w:tcPr>
          <w:p>
            <w:pPr>
              <w:pStyle w:val="42"/>
            </w:pPr>
            <w:r>
              <w:rPr>
                <w:rFonts w:hint="eastAsia"/>
              </w:rPr>
              <w:t>0</w:t>
            </w:r>
          </w:p>
        </w:tc>
        <w:tc>
          <w:tcPr>
            <w:tcW w:w="430" w:type="pct"/>
            <w:vAlign w:val="center"/>
          </w:tcPr>
          <w:p>
            <w:pPr>
              <w:pStyle w:val="42"/>
            </w:pPr>
            <w:r>
              <w:rPr>
                <w:rFonts w:hint="eastAsia"/>
              </w:rPr>
              <w:t>0</w:t>
            </w:r>
          </w:p>
        </w:tc>
        <w:tc>
          <w:tcPr>
            <w:tcW w:w="493" w:type="pct"/>
            <w:vAlign w:val="center"/>
          </w:tcPr>
          <w:p>
            <w:pPr>
              <w:pStyle w:val="42"/>
            </w:pPr>
            <w:r>
              <w:rPr>
                <w:rFonts w:hint="eastAsia"/>
              </w:rPr>
              <w:t>0</w:t>
            </w:r>
          </w:p>
        </w:tc>
        <w:tc>
          <w:tcPr>
            <w:tcW w:w="493" w:type="pct"/>
            <w:vAlign w:val="center"/>
          </w:tcPr>
          <w:p>
            <w:pPr>
              <w:pStyle w:val="42"/>
            </w:pPr>
            <w:r>
              <w:rPr>
                <w:rFonts w:hint="eastAsia"/>
              </w:rPr>
              <w:t>0</w:t>
            </w:r>
          </w:p>
        </w:tc>
        <w:tc>
          <w:tcPr>
            <w:tcW w:w="371" w:type="pct"/>
            <w:vAlign w:val="center"/>
          </w:tcPr>
          <w:p>
            <w:pPr>
              <w:pStyle w:val="42"/>
            </w:pPr>
            <w:r>
              <w:rPr>
                <w:rFonts w:hint="eastAsia"/>
              </w:rPr>
              <w:t>0</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t>超标倍数</w:t>
            </w:r>
          </w:p>
        </w:tc>
        <w:tc>
          <w:tcPr>
            <w:tcW w:w="305" w:type="pct"/>
            <w:vAlign w:val="center"/>
          </w:tcPr>
          <w:p>
            <w:pPr>
              <w:pStyle w:val="42"/>
            </w:pPr>
            <w:r>
              <w:rPr>
                <w:rFonts w:hint="eastAsia"/>
              </w:rPr>
              <w:t>/</w:t>
            </w:r>
          </w:p>
        </w:tc>
        <w:tc>
          <w:tcPr>
            <w:tcW w:w="367" w:type="pct"/>
            <w:vAlign w:val="center"/>
          </w:tcPr>
          <w:p>
            <w:pPr>
              <w:pStyle w:val="42"/>
            </w:pPr>
            <w:r>
              <w:rPr>
                <w:rFonts w:hint="eastAsia"/>
              </w:rPr>
              <w:t>0</w:t>
            </w:r>
          </w:p>
        </w:tc>
        <w:tc>
          <w:tcPr>
            <w:tcW w:w="313" w:type="pct"/>
            <w:vAlign w:val="center"/>
          </w:tcPr>
          <w:p>
            <w:pPr>
              <w:pStyle w:val="42"/>
            </w:pPr>
            <w:r>
              <w:rPr>
                <w:rFonts w:hint="eastAsia"/>
              </w:rPr>
              <w:t>0</w:t>
            </w:r>
          </w:p>
        </w:tc>
        <w:tc>
          <w:tcPr>
            <w:tcW w:w="313" w:type="pct"/>
            <w:vAlign w:val="center"/>
          </w:tcPr>
          <w:p>
            <w:pPr>
              <w:pStyle w:val="42"/>
            </w:pPr>
            <w:r>
              <w:rPr>
                <w:rFonts w:hint="eastAsia"/>
              </w:rPr>
              <w:t>0</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355" w:type="pct"/>
            <w:vMerge w:val="continue"/>
            <w:vAlign w:val="center"/>
          </w:tcPr>
          <w:p>
            <w:pPr>
              <w:pStyle w:val="42"/>
            </w:pPr>
          </w:p>
        </w:tc>
        <w:tc>
          <w:tcPr>
            <w:tcW w:w="512" w:type="pct"/>
            <w:vAlign w:val="center"/>
          </w:tcPr>
          <w:p>
            <w:pPr>
              <w:pStyle w:val="42"/>
            </w:pPr>
            <w:r>
              <w:rPr>
                <w:rFonts w:hint="eastAsia"/>
              </w:rPr>
              <w:t>P</w:t>
            </w:r>
            <w:r>
              <w:t>i值</w:t>
            </w:r>
          </w:p>
        </w:tc>
        <w:tc>
          <w:tcPr>
            <w:tcW w:w="305" w:type="pct"/>
            <w:vAlign w:val="center"/>
          </w:tcPr>
          <w:p>
            <w:pPr>
              <w:pStyle w:val="42"/>
            </w:pPr>
            <w:r>
              <w:rPr>
                <w:rFonts w:hint="eastAsia"/>
              </w:rPr>
              <w:t>/</w:t>
            </w:r>
          </w:p>
        </w:tc>
        <w:tc>
          <w:tcPr>
            <w:tcW w:w="367" w:type="pct"/>
            <w:vAlign w:val="center"/>
          </w:tcPr>
          <w:p>
            <w:pPr>
              <w:pStyle w:val="42"/>
            </w:pPr>
            <w:r>
              <w:rPr>
                <w:rFonts w:hint="eastAsia"/>
              </w:rPr>
              <w:t>0.69</w:t>
            </w:r>
          </w:p>
        </w:tc>
        <w:tc>
          <w:tcPr>
            <w:tcW w:w="313" w:type="pct"/>
            <w:vAlign w:val="center"/>
          </w:tcPr>
          <w:p>
            <w:pPr>
              <w:pStyle w:val="42"/>
            </w:pPr>
            <w:r>
              <w:rPr>
                <w:rFonts w:hint="eastAsia"/>
              </w:rPr>
              <w:t>0.12</w:t>
            </w:r>
          </w:p>
        </w:tc>
        <w:tc>
          <w:tcPr>
            <w:tcW w:w="313" w:type="pct"/>
            <w:vAlign w:val="center"/>
          </w:tcPr>
          <w:p>
            <w:pPr>
              <w:pStyle w:val="42"/>
            </w:pPr>
            <w:r>
              <w:rPr>
                <w:rFonts w:hint="eastAsia"/>
              </w:rPr>
              <w:t>0.14</w:t>
            </w:r>
          </w:p>
        </w:tc>
        <w:tc>
          <w:tcPr>
            <w:tcW w:w="361" w:type="pct"/>
            <w:vAlign w:val="center"/>
          </w:tcPr>
          <w:p>
            <w:pPr>
              <w:pStyle w:val="42"/>
            </w:pPr>
            <w:r>
              <w:rPr>
                <w:rFonts w:hint="eastAsia"/>
              </w:rPr>
              <w:t>/</w:t>
            </w:r>
          </w:p>
        </w:tc>
        <w:tc>
          <w:tcPr>
            <w:tcW w:w="373" w:type="pct"/>
            <w:vAlign w:val="center"/>
          </w:tcPr>
          <w:p>
            <w:pPr>
              <w:pStyle w:val="42"/>
            </w:pPr>
            <w:r>
              <w:rPr>
                <w:rFonts w:hint="eastAsia"/>
              </w:rPr>
              <w:t>/</w:t>
            </w:r>
          </w:p>
        </w:tc>
        <w:tc>
          <w:tcPr>
            <w:tcW w:w="430" w:type="pct"/>
            <w:vAlign w:val="center"/>
          </w:tcPr>
          <w:p>
            <w:pPr>
              <w:pStyle w:val="42"/>
            </w:pPr>
            <w:r>
              <w:rPr>
                <w:rFonts w:hint="eastAsia"/>
              </w:rPr>
              <w:t>/</w:t>
            </w:r>
          </w:p>
        </w:tc>
        <w:tc>
          <w:tcPr>
            <w:tcW w:w="493" w:type="pct"/>
            <w:vAlign w:val="center"/>
          </w:tcPr>
          <w:p>
            <w:pPr>
              <w:pStyle w:val="42"/>
            </w:pPr>
            <w:r>
              <w:rPr>
                <w:rFonts w:hint="eastAsia"/>
              </w:rPr>
              <w:t>0.1</w:t>
            </w:r>
          </w:p>
        </w:tc>
        <w:tc>
          <w:tcPr>
            <w:tcW w:w="493" w:type="pct"/>
            <w:vAlign w:val="center"/>
          </w:tcPr>
          <w:p>
            <w:pPr>
              <w:pStyle w:val="42"/>
            </w:pPr>
            <w:r>
              <w:rPr>
                <w:rFonts w:hint="eastAsia"/>
              </w:rPr>
              <w:t>/</w:t>
            </w:r>
          </w:p>
        </w:tc>
        <w:tc>
          <w:tcPr>
            <w:tcW w:w="371" w:type="pct"/>
            <w:vAlign w:val="center"/>
          </w:tcPr>
          <w:p>
            <w:pPr>
              <w:pStyle w:val="42"/>
            </w:pPr>
            <w:r>
              <w:rPr>
                <w:rFonts w:hint="eastAsia"/>
              </w:rPr>
              <w:t>/</w:t>
            </w:r>
          </w:p>
        </w:tc>
        <w:tc>
          <w:tcPr>
            <w:tcW w:w="313" w:type="pct"/>
            <w:vAlign w:val="center"/>
          </w:tcPr>
          <w:p>
            <w:pPr>
              <w:pStyle w:val="42"/>
            </w:pPr>
            <w:r>
              <w:rPr>
                <w:rFonts w:hint="eastAsia"/>
              </w:rPr>
              <w:t>0.37</w:t>
            </w:r>
          </w:p>
        </w:tc>
      </w:tr>
    </w:tbl>
    <w:p>
      <w:pPr>
        <w:pStyle w:val="41"/>
      </w:pPr>
      <w:r>
        <w:rPr>
          <w:rFonts w:hint="eastAsia"/>
        </w:rPr>
        <w:t>表4.4-7-2 地下水环境质量现状监测结果统计表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08"/>
        <w:gridCol w:w="2038"/>
        <w:gridCol w:w="1531"/>
        <w:gridCol w:w="2577"/>
        <w:gridCol w:w="1406"/>
        <w:gridCol w:w="1307"/>
        <w:gridCol w:w="1304"/>
        <w:gridCol w:w="1307"/>
        <w:gridCol w:w="12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16" w:type="pct"/>
            <w:gridSpan w:val="2"/>
            <w:vMerge w:val="restart"/>
            <w:tcBorders>
              <w:tl2br w:val="single" w:color="auto" w:sz="6" w:space="0"/>
            </w:tcBorders>
            <w:vAlign w:val="center"/>
          </w:tcPr>
          <w:p>
            <w:pPr>
              <w:pStyle w:val="42"/>
            </w:pPr>
            <w:r>
              <w:rPr>
                <w:rFonts w:hint="eastAsia"/>
              </w:rPr>
              <w:t xml:space="preserve"> </w:t>
            </w:r>
            <w:r>
              <w:t xml:space="preserve">           项目单位</w:t>
            </w:r>
          </w:p>
          <w:p>
            <w:pPr>
              <w:pStyle w:val="42"/>
              <w:jc w:val="both"/>
            </w:pPr>
            <w:r>
              <w:t>采样点</w:t>
            </w:r>
          </w:p>
        </w:tc>
        <w:tc>
          <w:tcPr>
            <w:tcW w:w="540" w:type="pct"/>
            <w:vAlign w:val="center"/>
          </w:tcPr>
          <w:p>
            <w:pPr>
              <w:pStyle w:val="42"/>
            </w:pPr>
            <w:r>
              <w:rPr>
                <w:rFonts w:hint="eastAsia"/>
              </w:rPr>
              <w:t>溶解性固体</w:t>
            </w:r>
          </w:p>
        </w:tc>
        <w:tc>
          <w:tcPr>
            <w:tcW w:w="909" w:type="pct"/>
            <w:vAlign w:val="center"/>
          </w:tcPr>
          <w:p>
            <w:pPr>
              <w:pStyle w:val="42"/>
            </w:pPr>
            <w:r>
              <w:rPr>
                <w:rFonts w:hint="eastAsia"/>
              </w:rPr>
              <w:t>高锰酸盐指数（耗氧量）</w:t>
            </w:r>
          </w:p>
        </w:tc>
        <w:tc>
          <w:tcPr>
            <w:tcW w:w="496" w:type="pct"/>
            <w:vAlign w:val="center"/>
          </w:tcPr>
          <w:p>
            <w:pPr>
              <w:pStyle w:val="42"/>
            </w:pPr>
            <w:r>
              <w:rPr>
                <w:rFonts w:hint="eastAsia"/>
              </w:rPr>
              <w:t>锰</w:t>
            </w:r>
          </w:p>
        </w:tc>
        <w:tc>
          <w:tcPr>
            <w:tcW w:w="461" w:type="pct"/>
            <w:vAlign w:val="center"/>
          </w:tcPr>
          <w:p>
            <w:pPr>
              <w:pStyle w:val="42"/>
            </w:pPr>
            <w:r>
              <w:t>铅</w:t>
            </w:r>
          </w:p>
        </w:tc>
        <w:tc>
          <w:tcPr>
            <w:tcW w:w="460" w:type="pct"/>
            <w:vAlign w:val="center"/>
          </w:tcPr>
          <w:p>
            <w:pPr>
              <w:pStyle w:val="42"/>
            </w:pPr>
            <w:r>
              <w:t>氟化物</w:t>
            </w:r>
          </w:p>
        </w:tc>
        <w:tc>
          <w:tcPr>
            <w:tcW w:w="461" w:type="pct"/>
            <w:vAlign w:val="center"/>
          </w:tcPr>
          <w:p>
            <w:pPr>
              <w:pStyle w:val="42"/>
            </w:pPr>
            <w:r>
              <w:t>镉</w:t>
            </w:r>
          </w:p>
        </w:tc>
        <w:tc>
          <w:tcPr>
            <w:tcW w:w="457" w:type="pct"/>
            <w:vAlign w:val="center"/>
          </w:tcPr>
          <w:p>
            <w:pPr>
              <w:pStyle w:val="42"/>
            </w:pPr>
            <w:r>
              <w:t>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16" w:type="pct"/>
            <w:gridSpan w:val="2"/>
            <w:vMerge w:val="continue"/>
            <w:tcBorders>
              <w:tl2br w:val="single" w:color="auto" w:sz="6" w:space="0"/>
            </w:tcBorders>
            <w:vAlign w:val="center"/>
          </w:tcPr>
          <w:p>
            <w:pPr>
              <w:pStyle w:val="42"/>
            </w:pPr>
          </w:p>
        </w:tc>
        <w:tc>
          <w:tcPr>
            <w:tcW w:w="540" w:type="pct"/>
            <w:vAlign w:val="center"/>
          </w:tcPr>
          <w:p>
            <w:pPr>
              <w:pStyle w:val="42"/>
            </w:pPr>
            <w:r>
              <w:t>mg/L</w:t>
            </w:r>
          </w:p>
        </w:tc>
        <w:tc>
          <w:tcPr>
            <w:tcW w:w="909" w:type="pct"/>
            <w:vAlign w:val="center"/>
          </w:tcPr>
          <w:p>
            <w:pPr>
              <w:pStyle w:val="42"/>
            </w:pPr>
            <w:r>
              <w:t>mg/L</w:t>
            </w:r>
          </w:p>
        </w:tc>
        <w:tc>
          <w:tcPr>
            <w:tcW w:w="496" w:type="pct"/>
            <w:vAlign w:val="center"/>
          </w:tcPr>
          <w:p>
            <w:pPr>
              <w:pStyle w:val="42"/>
            </w:pPr>
            <w:r>
              <w:t>mg/L</w:t>
            </w:r>
          </w:p>
        </w:tc>
        <w:tc>
          <w:tcPr>
            <w:tcW w:w="461" w:type="pct"/>
            <w:vAlign w:val="center"/>
          </w:tcPr>
          <w:p>
            <w:pPr>
              <w:pStyle w:val="42"/>
            </w:pPr>
            <w:r>
              <w:t>mg/L</w:t>
            </w:r>
          </w:p>
        </w:tc>
        <w:tc>
          <w:tcPr>
            <w:tcW w:w="460" w:type="pct"/>
            <w:vAlign w:val="center"/>
          </w:tcPr>
          <w:p>
            <w:pPr>
              <w:pStyle w:val="42"/>
            </w:pPr>
            <w:r>
              <w:t>mg/L</w:t>
            </w:r>
          </w:p>
        </w:tc>
        <w:tc>
          <w:tcPr>
            <w:tcW w:w="461" w:type="pct"/>
            <w:vAlign w:val="center"/>
          </w:tcPr>
          <w:p>
            <w:pPr>
              <w:pStyle w:val="42"/>
            </w:pPr>
            <w:r>
              <w:t>mg/L</w:t>
            </w:r>
          </w:p>
        </w:tc>
        <w:tc>
          <w:tcPr>
            <w:tcW w:w="457" w:type="pct"/>
            <w:vAlign w:val="center"/>
          </w:tcPr>
          <w:p>
            <w:pPr>
              <w:pStyle w:val="42"/>
            </w:pPr>
            <w: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216" w:type="pct"/>
            <w:gridSpan w:val="2"/>
            <w:vAlign w:val="center"/>
          </w:tcPr>
          <w:p>
            <w:pPr>
              <w:pStyle w:val="42"/>
            </w:pPr>
            <w:r>
              <w:t>标准值（</w:t>
            </w:r>
            <w:r>
              <w:rPr>
                <w:rFonts w:hint="eastAsia" w:ascii="宋体" w:hAnsi="宋体" w:cs="宋体"/>
              </w:rPr>
              <w:t>Ⅲ</w:t>
            </w:r>
            <w:r>
              <w:t>类）</w:t>
            </w:r>
          </w:p>
        </w:tc>
        <w:tc>
          <w:tcPr>
            <w:tcW w:w="540" w:type="pct"/>
            <w:vAlign w:val="center"/>
          </w:tcPr>
          <w:p>
            <w:pPr>
              <w:pStyle w:val="42"/>
            </w:pPr>
            <w:r>
              <w:rPr>
                <w:rFonts w:hint="eastAsia"/>
              </w:rPr>
              <w:t>1000</w:t>
            </w:r>
          </w:p>
        </w:tc>
        <w:tc>
          <w:tcPr>
            <w:tcW w:w="909" w:type="pct"/>
            <w:vAlign w:val="center"/>
          </w:tcPr>
          <w:p>
            <w:pPr>
              <w:pStyle w:val="42"/>
            </w:pPr>
            <w:r>
              <w:rPr>
                <w:rFonts w:hint="eastAsia"/>
              </w:rPr>
              <w:t>3.0</w:t>
            </w:r>
          </w:p>
        </w:tc>
        <w:tc>
          <w:tcPr>
            <w:tcW w:w="496" w:type="pct"/>
            <w:vAlign w:val="center"/>
          </w:tcPr>
          <w:p>
            <w:pPr>
              <w:pStyle w:val="42"/>
            </w:pPr>
            <w:r>
              <w:rPr>
                <w:rFonts w:hint="eastAsia"/>
              </w:rPr>
              <w:t>0.1</w:t>
            </w:r>
          </w:p>
        </w:tc>
        <w:tc>
          <w:tcPr>
            <w:tcW w:w="461" w:type="pct"/>
            <w:vAlign w:val="center"/>
          </w:tcPr>
          <w:p>
            <w:pPr>
              <w:pStyle w:val="42"/>
            </w:pPr>
            <w:r>
              <w:t>0.01</w:t>
            </w:r>
          </w:p>
        </w:tc>
        <w:tc>
          <w:tcPr>
            <w:tcW w:w="460" w:type="pct"/>
            <w:vAlign w:val="center"/>
          </w:tcPr>
          <w:p>
            <w:pPr>
              <w:pStyle w:val="42"/>
            </w:pPr>
            <w:r>
              <w:t>1.0</w:t>
            </w:r>
          </w:p>
        </w:tc>
        <w:tc>
          <w:tcPr>
            <w:tcW w:w="461" w:type="pct"/>
            <w:vAlign w:val="center"/>
          </w:tcPr>
          <w:p>
            <w:pPr>
              <w:pStyle w:val="42"/>
            </w:pPr>
            <w:r>
              <w:t>0.005</w:t>
            </w:r>
          </w:p>
        </w:tc>
        <w:tc>
          <w:tcPr>
            <w:tcW w:w="457" w:type="pct"/>
            <w:vAlign w:val="center"/>
          </w:tcPr>
          <w:p>
            <w:pPr>
              <w:pStyle w:val="42"/>
            </w:pPr>
            <w: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restart"/>
            <w:vAlign w:val="center"/>
          </w:tcPr>
          <w:p>
            <w:pPr>
              <w:pStyle w:val="42"/>
            </w:pPr>
            <w:r>
              <w:rPr>
                <w:rFonts w:hint="eastAsia"/>
              </w:rPr>
              <w:t>8#正新北侧围墙外</w:t>
            </w:r>
          </w:p>
        </w:tc>
        <w:tc>
          <w:tcPr>
            <w:tcW w:w="719" w:type="pct"/>
            <w:vAlign w:val="center"/>
          </w:tcPr>
          <w:p>
            <w:pPr>
              <w:pStyle w:val="42"/>
            </w:pPr>
            <w:r>
              <w:t>浓度值</w:t>
            </w:r>
          </w:p>
        </w:tc>
        <w:tc>
          <w:tcPr>
            <w:tcW w:w="540" w:type="pct"/>
            <w:vAlign w:val="center"/>
          </w:tcPr>
          <w:p>
            <w:pPr>
              <w:pStyle w:val="42"/>
            </w:pPr>
            <w:r>
              <w:rPr>
                <w:rFonts w:hint="eastAsia"/>
              </w:rPr>
              <w:t>436</w:t>
            </w:r>
          </w:p>
        </w:tc>
        <w:tc>
          <w:tcPr>
            <w:tcW w:w="909" w:type="pct"/>
            <w:vAlign w:val="center"/>
          </w:tcPr>
          <w:p>
            <w:pPr>
              <w:pStyle w:val="42"/>
            </w:pPr>
            <w:r>
              <w:rPr>
                <w:rFonts w:hint="eastAsia"/>
              </w:rPr>
              <w:t>1.2</w:t>
            </w:r>
          </w:p>
        </w:tc>
        <w:tc>
          <w:tcPr>
            <w:tcW w:w="496" w:type="pct"/>
            <w:vAlign w:val="center"/>
          </w:tcPr>
          <w:p>
            <w:pPr>
              <w:pStyle w:val="42"/>
            </w:pPr>
            <w:r>
              <w:rPr>
                <w:rFonts w:hint="eastAsia"/>
              </w:rPr>
              <w:t>0.073</w:t>
            </w:r>
          </w:p>
        </w:tc>
        <w:tc>
          <w:tcPr>
            <w:tcW w:w="461" w:type="pct"/>
            <w:vAlign w:val="center"/>
          </w:tcPr>
          <w:p>
            <w:pPr>
              <w:pStyle w:val="42"/>
            </w:pPr>
            <w:r>
              <w:rPr>
                <w:rFonts w:hint="eastAsia"/>
              </w:rPr>
              <w:t>0.15</w:t>
            </w:r>
            <w:r>
              <w:rPr>
                <w:rFonts w:hint="eastAsia" w:ascii="宋体" w:hAnsi="宋体"/>
              </w:rPr>
              <w:t>×</w:t>
            </w:r>
            <w:r>
              <w:rPr>
                <w:rFonts w:hint="eastAsia"/>
              </w:rPr>
              <w:t>10</w:t>
            </w:r>
            <w:r>
              <w:rPr>
                <w:rFonts w:hint="eastAsia"/>
                <w:vertAlign w:val="superscript"/>
              </w:rPr>
              <w:t>-3</w:t>
            </w:r>
          </w:p>
        </w:tc>
        <w:tc>
          <w:tcPr>
            <w:tcW w:w="460" w:type="pct"/>
            <w:vAlign w:val="center"/>
          </w:tcPr>
          <w:p>
            <w:pPr>
              <w:pStyle w:val="42"/>
            </w:pPr>
            <w:r>
              <w:rPr>
                <w:rFonts w:hint="eastAsia"/>
              </w:rPr>
              <w:t>0.294</w:t>
            </w:r>
          </w:p>
        </w:tc>
        <w:tc>
          <w:tcPr>
            <w:tcW w:w="461" w:type="pct"/>
            <w:vAlign w:val="center"/>
          </w:tcPr>
          <w:p>
            <w:pPr>
              <w:pStyle w:val="42"/>
            </w:pPr>
            <w:r>
              <w:rPr>
                <w:rFonts w:hint="eastAsia"/>
              </w:rPr>
              <w:t>0.05L</w:t>
            </w:r>
          </w:p>
        </w:tc>
        <w:tc>
          <w:tcPr>
            <w:tcW w:w="457"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-3</w:t>
            </w:r>
            <w:r>
              <w:rPr>
                <w:rFonts w:hint="eastAsia"/>
              </w:rPr>
              <w:t>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超标率(%)</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0</w:t>
            </w:r>
          </w:p>
        </w:tc>
        <w:tc>
          <w:tcPr>
            <w:tcW w:w="457"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超标倍数</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rPr>
                <w:rFonts w:hint="eastAsia"/>
              </w:rPr>
              <w:t>P</w:t>
            </w:r>
            <w:r>
              <w:t>i值</w:t>
            </w:r>
          </w:p>
        </w:tc>
        <w:tc>
          <w:tcPr>
            <w:tcW w:w="540" w:type="pct"/>
            <w:vAlign w:val="center"/>
          </w:tcPr>
          <w:p>
            <w:pPr>
              <w:pStyle w:val="42"/>
            </w:pPr>
            <w:r>
              <w:rPr>
                <w:rFonts w:hint="eastAsia"/>
              </w:rPr>
              <w:t>0.44</w:t>
            </w:r>
          </w:p>
        </w:tc>
        <w:tc>
          <w:tcPr>
            <w:tcW w:w="909" w:type="pct"/>
            <w:vAlign w:val="center"/>
          </w:tcPr>
          <w:p>
            <w:pPr>
              <w:pStyle w:val="42"/>
            </w:pPr>
            <w:r>
              <w:rPr>
                <w:rFonts w:hint="eastAsia"/>
              </w:rPr>
              <w:t>0.40</w:t>
            </w:r>
          </w:p>
        </w:tc>
        <w:tc>
          <w:tcPr>
            <w:tcW w:w="496" w:type="pct"/>
            <w:vAlign w:val="center"/>
          </w:tcPr>
          <w:p>
            <w:pPr>
              <w:pStyle w:val="42"/>
            </w:pPr>
            <w:r>
              <w:rPr>
                <w:rFonts w:hint="eastAsia"/>
              </w:rPr>
              <w:t>0.73</w:t>
            </w:r>
          </w:p>
        </w:tc>
        <w:tc>
          <w:tcPr>
            <w:tcW w:w="461" w:type="pct"/>
            <w:vAlign w:val="center"/>
          </w:tcPr>
          <w:p>
            <w:pPr>
              <w:pStyle w:val="42"/>
            </w:pPr>
            <w:r>
              <w:rPr>
                <w:rFonts w:hint="eastAsia"/>
              </w:rPr>
              <w:t>0.02</w:t>
            </w:r>
          </w:p>
        </w:tc>
        <w:tc>
          <w:tcPr>
            <w:tcW w:w="460" w:type="pct"/>
            <w:vAlign w:val="center"/>
          </w:tcPr>
          <w:p>
            <w:pPr>
              <w:pStyle w:val="42"/>
            </w:pPr>
            <w:r>
              <w:rPr>
                <w:rFonts w:hint="eastAsia"/>
              </w:rPr>
              <w:t>0.29</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restart"/>
            <w:vAlign w:val="center"/>
          </w:tcPr>
          <w:p>
            <w:pPr>
              <w:pStyle w:val="42"/>
            </w:pPr>
            <w:r>
              <w:rPr>
                <w:rFonts w:hint="eastAsia"/>
              </w:rPr>
              <w:t>9#河泉水库东南侧</w:t>
            </w:r>
          </w:p>
        </w:tc>
        <w:tc>
          <w:tcPr>
            <w:tcW w:w="719" w:type="pct"/>
            <w:vAlign w:val="center"/>
          </w:tcPr>
          <w:p>
            <w:pPr>
              <w:pStyle w:val="42"/>
            </w:pPr>
            <w:r>
              <w:t>浓度值</w:t>
            </w:r>
          </w:p>
        </w:tc>
        <w:tc>
          <w:tcPr>
            <w:tcW w:w="540" w:type="pct"/>
            <w:vAlign w:val="center"/>
          </w:tcPr>
          <w:p>
            <w:pPr>
              <w:pStyle w:val="42"/>
            </w:pPr>
            <w:r>
              <w:rPr>
                <w:rFonts w:hint="eastAsia"/>
              </w:rPr>
              <w:t>271</w:t>
            </w:r>
          </w:p>
        </w:tc>
        <w:tc>
          <w:tcPr>
            <w:tcW w:w="909" w:type="pct"/>
            <w:vAlign w:val="center"/>
          </w:tcPr>
          <w:p>
            <w:pPr>
              <w:pStyle w:val="42"/>
            </w:pPr>
            <w:r>
              <w:rPr>
                <w:rFonts w:hint="eastAsia"/>
              </w:rPr>
              <w:t>2.0</w:t>
            </w:r>
          </w:p>
        </w:tc>
        <w:tc>
          <w:tcPr>
            <w:tcW w:w="496" w:type="pct"/>
            <w:vAlign w:val="center"/>
          </w:tcPr>
          <w:p>
            <w:pPr>
              <w:pStyle w:val="42"/>
            </w:pPr>
            <w:r>
              <w:rPr>
                <w:rFonts w:hint="eastAsia"/>
              </w:rPr>
              <w:t>0.034</w:t>
            </w:r>
          </w:p>
        </w:tc>
        <w:tc>
          <w:tcPr>
            <w:tcW w:w="461" w:type="pct"/>
            <w:vAlign w:val="center"/>
          </w:tcPr>
          <w:p>
            <w:pPr>
              <w:pStyle w:val="42"/>
            </w:pPr>
            <w:r>
              <w:rPr>
                <w:rFonts w:hint="eastAsia"/>
              </w:rPr>
              <w:t>0.34</w:t>
            </w:r>
            <w:r>
              <w:rPr>
                <w:rFonts w:hint="eastAsia" w:ascii="宋体" w:hAnsi="宋体"/>
              </w:rPr>
              <w:t>×</w:t>
            </w:r>
            <w:r>
              <w:rPr>
                <w:rFonts w:hint="eastAsia"/>
              </w:rPr>
              <w:t>10</w:t>
            </w:r>
            <w:r>
              <w:rPr>
                <w:rFonts w:hint="eastAsia"/>
                <w:vertAlign w:val="superscript"/>
              </w:rPr>
              <w:t>-3</w:t>
            </w:r>
          </w:p>
        </w:tc>
        <w:tc>
          <w:tcPr>
            <w:tcW w:w="460" w:type="pct"/>
            <w:vAlign w:val="center"/>
          </w:tcPr>
          <w:p>
            <w:pPr>
              <w:pStyle w:val="42"/>
            </w:pPr>
            <w:r>
              <w:rPr>
                <w:rFonts w:hint="eastAsia"/>
              </w:rPr>
              <w:t>0.354</w:t>
            </w:r>
          </w:p>
        </w:tc>
        <w:tc>
          <w:tcPr>
            <w:tcW w:w="461" w:type="pct"/>
            <w:vAlign w:val="center"/>
          </w:tcPr>
          <w:p>
            <w:pPr>
              <w:pStyle w:val="42"/>
            </w:pPr>
            <w:r>
              <w:rPr>
                <w:rFonts w:hint="eastAsia"/>
              </w:rPr>
              <w:t>0.05L</w:t>
            </w:r>
          </w:p>
        </w:tc>
        <w:tc>
          <w:tcPr>
            <w:tcW w:w="457" w:type="pct"/>
            <w:vAlign w:val="center"/>
          </w:tcPr>
          <w:p>
            <w:pPr>
              <w:pStyle w:val="42"/>
            </w:pPr>
            <w:r>
              <w:rPr>
                <w:rFonts w:hint="eastAsia"/>
              </w:rPr>
              <w:t>0.207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超标率(%)</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0</w:t>
            </w:r>
          </w:p>
        </w:tc>
        <w:tc>
          <w:tcPr>
            <w:tcW w:w="457"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超标倍数</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rPr>
                <w:rFonts w:hint="eastAsia"/>
              </w:rPr>
              <w:t>P</w:t>
            </w:r>
            <w:r>
              <w:t>i值</w:t>
            </w:r>
          </w:p>
        </w:tc>
        <w:tc>
          <w:tcPr>
            <w:tcW w:w="540" w:type="pct"/>
            <w:vAlign w:val="center"/>
          </w:tcPr>
          <w:p>
            <w:pPr>
              <w:pStyle w:val="42"/>
            </w:pPr>
            <w:r>
              <w:rPr>
                <w:rFonts w:hint="eastAsia"/>
              </w:rPr>
              <w:t>0.27</w:t>
            </w:r>
          </w:p>
        </w:tc>
        <w:tc>
          <w:tcPr>
            <w:tcW w:w="909" w:type="pct"/>
            <w:vAlign w:val="center"/>
          </w:tcPr>
          <w:p>
            <w:pPr>
              <w:pStyle w:val="42"/>
            </w:pPr>
            <w:r>
              <w:rPr>
                <w:rFonts w:hint="eastAsia"/>
              </w:rPr>
              <w:t>0.73</w:t>
            </w:r>
          </w:p>
        </w:tc>
        <w:tc>
          <w:tcPr>
            <w:tcW w:w="496" w:type="pct"/>
            <w:vAlign w:val="center"/>
          </w:tcPr>
          <w:p>
            <w:pPr>
              <w:pStyle w:val="42"/>
            </w:pPr>
            <w:r>
              <w:rPr>
                <w:rFonts w:hint="eastAsia"/>
              </w:rPr>
              <w:t>0.03</w:t>
            </w:r>
          </w:p>
        </w:tc>
        <w:tc>
          <w:tcPr>
            <w:tcW w:w="461" w:type="pct"/>
            <w:vAlign w:val="center"/>
          </w:tcPr>
          <w:p>
            <w:pPr>
              <w:pStyle w:val="42"/>
            </w:pPr>
            <w:r>
              <w:rPr>
                <w:rFonts w:hint="eastAsia"/>
              </w:rPr>
              <w:t>0.03</w:t>
            </w:r>
          </w:p>
        </w:tc>
        <w:tc>
          <w:tcPr>
            <w:tcW w:w="460" w:type="pct"/>
            <w:vAlign w:val="center"/>
          </w:tcPr>
          <w:p>
            <w:pPr>
              <w:pStyle w:val="42"/>
            </w:pPr>
            <w:r>
              <w:rPr>
                <w:rFonts w:hint="eastAsia"/>
              </w:rPr>
              <w:t>0.35</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restart"/>
            <w:vAlign w:val="center"/>
          </w:tcPr>
          <w:p>
            <w:pPr>
              <w:pStyle w:val="42"/>
            </w:pPr>
            <w:r>
              <w:rPr>
                <w:rFonts w:hint="eastAsia"/>
              </w:rPr>
              <w:t>25#亚太纸业1（新恒阳1）</w:t>
            </w:r>
          </w:p>
        </w:tc>
        <w:tc>
          <w:tcPr>
            <w:tcW w:w="719" w:type="pct"/>
            <w:vAlign w:val="center"/>
          </w:tcPr>
          <w:p>
            <w:pPr>
              <w:pStyle w:val="42"/>
            </w:pPr>
            <w:r>
              <w:t>浓度值</w:t>
            </w:r>
          </w:p>
        </w:tc>
        <w:tc>
          <w:tcPr>
            <w:tcW w:w="540" w:type="pct"/>
            <w:vAlign w:val="center"/>
          </w:tcPr>
          <w:p>
            <w:pPr>
              <w:pStyle w:val="42"/>
            </w:pPr>
            <w:r>
              <w:rPr>
                <w:rFonts w:hint="eastAsia"/>
              </w:rPr>
              <w:t>320</w:t>
            </w:r>
          </w:p>
        </w:tc>
        <w:tc>
          <w:tcPr>
            <w:tcW w:w="909" w:type="pct"/>
            <w:vAlign w:val="center"/>
          </w:tcPr>
          <w:p>
            <w:pPr>
              <w:pStyle w:val="42"/>
            </w:pPr>
            <w:r>
              <w:rPr>
                <w:rFonts w:hint="eastAsia"/>
              </w:rPr>
              <w:t>1.0</w:t>
            </w:r>
          </w:p>
        </w:tc>
        <w:tc>
          <w:tcPr>
            <w:tcW w:w="496" w:type="pct"/>
            <w:vAlign w:val="center"/>
          </w:tcPr>
          <w:p>
            <w:pPr>
              <w:pStyle w:val="42"/>
            </w:pPr>
            <w:r>
              <w:rPr>
                <w:rFonts w:hint="eastAsia"/>
              </w:rPr>
              <w:t>3.82</w:t>
            </w:r>
            <w:r>
              <w:rPr>
                <w:rFonts w:hint="eastAsia" w:ascii="宋体" w:hAnsi="宋体"/>
              </w:rPr>
              <w:t>×</w:t>
            </w:r>
            <w:r>
              <w:rPr>
                <w:rFonts w:hint="eastAsia"/>
              </w:rPr>
              <w:t>10</w:t>
            </w:r>
            <w:r>
              <w:rPr>
                <w:rFonts w:hint="eastAsia"/>
                <w:vertAlign w:val="superscript"/>
              </w:rPr>
              <w:t>-3</w:t>
            </w:r>
          </w:p>
        </w:tc>
        <w:tc>
          <w:tcPr>
            <w:tcW w:w="461" w:type="pct"/>
            <w:vAlign w:val="center"/>
          </w:tcPr>
          <w:p>
            <w:pPr>
              <w:pStyle w:val="42"/>
            </w:pPr>
            <w:r>
              <w:rPr>
                <w:rFonts w:hint="eastAsia"/>
              </w:rPr>
              <w:t>4.52</w:t>
            </w:r>
            <w:r>
              <w:rPr>
                <w:rFonts w:hint="eastAsia" w:ascii="宋体" w:hAnsi="宋体"/>
              </w:rPr>
              <w:t>×</w:t>
            </w:r>
            <w:r>
              <w:rPr>
                <w:rFonts w:hint="eastAsia"/>
              </w:rPr>
              <w:t>10</w:t>
            </w:r>
            <w:r>
              <w:rPr>
                <w:rFonts w:hint="eastAsia"/>
                <w:vertAlign w:val="superscript"/>
              </w:rPr>
              <w:t>-3</w:t>
            </w:r>
          </w:p>
        </w:tc>
        <w:tc>
          <w:tcPr>
            <w:tcW w:w="460" w:type="pct"/>
            <w:vAlign w:val="center"/>
          </w:tcPr>
          <w:p>
            <w:pPr>
              <w:pStyle w:val="42"/>
            </w:pPr>
            <w:r>
              <w:rPr>
                <w:rFonts w:hint="eastAsia"/>
              </w:rPr>
              <w:t>0.407</w:t>
            </w:r>
          </w:p>
        </w:tc>
        <w:tc>
          <w:tcPr>
            <w:tcW w:w="461" w:type="pct"/>
            <w:vAlign w:val="center"/>
          </w:tcPr>
          <w:p>
            <w:pPr>
              <w:pStyle w:val="42"/>
            </w:pPr>
            <w:r>
              <w:rPr>
                <w:rFonts w:hint="eastAsia"/>
              </w:rPr>
              <w:t>0.05L</w:t>
            </w:r>
          </w:p>
        </w:tc>
        <w:tc>
          <w:tcPr>
            <w:tcW w:w="457"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-3</w:t>
            </w:r>
            <w:r>
              <w:rPr>
                <w:rFonts w:hint="eastAsia"/>
              </w:rPr>
              <w:t>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超标率(%)</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0</w:t>
            </w:r>
          </w:p>
        </w:tc>
        <w:tc>
          <w:tcPr>
            <w:tcW w:w="457"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超标倍数</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rPr>
                <w:rFonts w:hint="eastAsia"/>
              </w:rPr>
              <w:t>P</w:t>
            </w:r>
            <w:r>
              <w:t>i值</w:t>
            </w:r>
          </w:p>
        </w:tc>
        <w:tc>
          <w:tcPr>
            <w:tcW w:w="540" w:type="pct"/>
            <w:vAlign w:val="center"/>
          </w:tcPr>
          <w:p>
            <w:pPr>
              <w:pStyle w:val="42"/>
            </w:pPr>
            <w:r>
              <w:rPr>
                <w:rFonts w:hint="eastAsia"/>
              </w:rPr>
              <w:t>0.32</w:t>
            </w:r>
          </w:p>
        </w:tc>
        <w:tc>
          <w:tcPr>
            <w:tcW w:w="909" w:type="pct"/>
            <w:vAlign w:val="center"/>
          </w:tcPr>
          <w:p>
            <w:pPr>
              <w:pStyle w:val="42"/>
            </w:pPr>
            <w:r>
              <w:rPr>
                <w:rFonts w:hint="eastAsia"/>
              </w:rPr>
              <w:t>0.33</w:t>
            </w:r>
          </w:p>
        </w:tc>
        <w:tc>
          <w:tcPr>
            <w:tcW w:w="496" w:type="pct"/>
            <w:vAlign w:val="center"/>
          </w:tcPr>
          <w:p>
            <w:pPr>
              <w:pStyle w:val="42"/>
            </w:pPr>
            <w:r>
              <w:rPr>
                <w:rFonts w:hint="eastAsia"/>
              </w:rPr>
              <w:t>0.04</w:t>
            </w:r>
          </w:p>
        </w:tc>
        <w:tc>
          <w:tcPr>
            <w:tcW w:w="461" w:type="pct"/>
            <w:vAlign w:val="center"/>
          </w:tcPr>
          <w:p>
            <w:pPr>
              <w:pStyle w:val="42"/>
            </w:pPr>
            <w:r>
              <w:rPr>
                <w:rFonts w:hint="eastAsia"/>
              </w:rPr>
              <w:t>0.45</w:t>
            </w:r>
          </w:p>
        </w:tc>
        <w:tc>
          <w:tcPr>
            <w:tcW w:w="460" w:type="pct"/>
            <w:vAlign w:val="center"/>
          </w:tcPr>
          <w:p>
            <w:pPr>
              <w:pStyle w:val="42"/>
            </w:pPr>
            <w:r>
              <w:rPr>
                <w:rFonts w:hint="eastAsia"/>
              </w:rPr>
              <w:t>0.41</w:t>
            </w:r>
          </w:p>
        </w:tc>
        <w:tc>
          <w:tcPr>
            <w:tcW w:w="461" w:type="pct"/>
            <w:vAlign w:val="center"/>
          </w:tcPr>
          <w:p>
            <w:pPr>
              <w:pStyle w:val="42"/>
            </w:pPr>
            <w:r>
              <w:rPr>
                <w:rFonts w:hint="eastAsia"/>
              </w:rPr>
              <w:t>/</w:t>
            </w:r>
          </w:p>
        </w:tc>
        <w:tc>
          <w:tcPr>
            <w:tcW w:w="457" w:type="pct"/>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restart"/>
            <w:vAlign w:val="center"/>
          </w:tcPr>
          <w:p>
            <w:pPr>
              <w:pStyle w:val="42"/>
            </w:pPr>
            <w:r>
              <w:rPr>
                <w:rFonts w:hint="eastAsia"/>
              </w:rPr>
              <w:t>11#</w:t>
            </w:r>
            <w:r>
              <w:t>海洲化学B区旁</w:t>
            </w:r>
          </w:p>
        </w:tc>
        <w:tc>
          <w:tcPr>
            <w:tcW w:w="719" w:type="pct"/>
            <w:vAlign w:val="center"/>
          </w:tcPr>
          <w:p>
            <w:pPr>
              <w:pStyle w:val="42"/>
            </w:pPr>
            <w:r>
              <w:t>浓度值</w:t>
            </w:r>
          </w:p>
        </w:tc>
        <w:tc>
          <w:tcPr>
            <w:tcW w:w="540" w:type="pct"/>
            <w:vAlign w:val="center"/>
          </w:tcPr>
          <w:p>
            <w:pPr>
              <w:pStyle w:val="42"/>
              <w:rPr>
                <w:sz w:val="18"/>
                <w:szCs w:val="18"/>
              </w:rPr>
            </w:pPr>
            <w:r>
              <w:rPr>
                <w:rFonts w:hint="eastAsia"/>
                <w:sz w:val="18"/>
                <w:szCs w:val="18"/>
              </w:rPr>
              <w:t>362</w:t>
            </w:r>
          </w:p>
        </w:tc>
        <w:tc>
          <w:tcPr>
            <w:tcW w:w="909" w:type="pct"/>
            <w:vAlign w:val="center"/>
          </w:tcPr>
          <w:p>
            <w:pPr>
              <w:pStyle w:val="42"/>
              <w:rPr>
                <w:sz w:val="18"/>
                <w:szCs w:val="18"/>
              </w:rPr>
            </w:pPr>
            <w:r>
              <w:rPr>
                <w:rFonts w:hint="eastAsia"/>
                <w:sz w:val="18"/>
                <w:szCs w:val="18"/>
              </w:rPr>
              <w:t>0.8</w:t>
            </w:r>
          </w:p>
        </w:tc>
        <w:tc>
          <w:tcPr>
            <w:tcW w:w="496" w:type="pct"/>
            <w:vAlign w:val="center"/>
          </w:tcPr>
          <w:p>
            <w:pPr>
              <w:pStyle w:val="42"/>
              <w:rPr>
                <w:sz w:val="18"/>
                <w:szCs w:val="18"/>
              </w:rPr>
            </w:pPr>
            <w:r>
              <w:rPr>
                <w:rFonts w:hint="eastAsia"/>
                <w:sz w:val="18"/>
                <w:szCs w:val="18"/>
              </w:rPr>
              <w:t>1.0</w:t>
            </w:r>
            <w:r>
              <w:rPr>
                <w:rFonts w:hint="eastAsia" w:ascii="宋体" w:hAnsi="宋体"/>
                <w:sz w:val="18"/>
                <w:szCs w:val="18"/>
              </w:rPr>
              <w:t>×</w:t>
            </w:r>
            <w:r>
              <w:rPr>
                <w:rFonts w:hint="eastAsia"/>
                <w:sz w:val="18"/>
                <w:szCs w:val="18"/>
              </w:rPr>
              <w:t>10</w:t>
            </w:r>
            <w:r>
              <w:rPr>
                <w:rFonts w:hint="eastAsia"/>
                <w:sz w:val="18"/>
                <w:szCs w:val="18"/>
                <w:vertAlign w:val="superscript"/>
              </w:rPr>
              <w:t>-4</w:t>
            </w:r>
            <w:r>
              <w:rPr>
                <w:rFonts w:hint="eastAsia"/>
                <w:sz w:val="18"/>
                <w:szCs w:val="18"/>
              </w:rPr>
              <w:t>L</w:t>
            </w:r>
          </w:p>
        </w:tc>
        <w:tc>
          <w:tcPr>
            <w:tcW w:w="461" w:type="pct"/>
            <w:vAlign w:val="center"/>
          </w:tcPr>
          <w:p>
            <w:pPr>
              <w:pStyle w:val="42"/>
              <w:rPr>
                <w:sz w:val="18"/>
                <w:szCs w:val="18"/>
              </w:rPr>
            </w:pPr>
            <w:r>
              <w:rPr>
                <w:rFonts w:hint="eastAsia"/>
                <w:sz w:val="18"/>
                <w:szCs w:val="18"/>
              </w:rPr>
              <w:t>0.09L</w:t>
            </w:r>
          </w:p>
        </w:tc>
        <w:tc>
          <w:tcPr>
            <w:tcW w:w="460" w:type="pct"/>
            <w:vAlign w:val="center"/>
          </w:tcPr>
          <w:p>
            <w:pPr>
              <w:pStyle w:val="42"/>
              <w:rPr>
                <w:sz w:val="18"/>
                <w:szCs w:val="18"/>
              </w:rPr>
            </w:pPr>
            <w:r>
              <w:rPr>
                <w:rFonts w:hint="eastAsia"/>
                <w:sz w:val="18"/>
                <w:szCs w:val="18"/>
              </w:rPr>
              <w:t>0.26</w:t>
            </w:r>
          </w:p>
        </w:tc>
        <w:tc>
          <w:tcPr>
            <w:tcW w:w="461" w:type="pct"/>
            <w:vAlign w:val="center"/>
          </w:tcPr>
          <w:p>
            <w:pPr>
              <w:pStyle w:val="42"/>
              <w:rPr>
                <w:sz w:val="18"/>
                <w:szCs w:val="18"/>
              </w:rPr>
            </w:pPr>
            <w:r>
              <w:rPr>
                <w:rFonts w:hint="eastAsia"/>
                <w:sz w:val="18"/>
                <w:szCs w:val="18"/>
              </w:rPr>
              <w:t>0.05L</w:t>
            </w:r>
          </w:p>
        </w:tc>
        <w:tc>
          <w:tcPr>
            <w:tcW w:w="457" w:type="pct"/>
            <w:vAlign w:val="center"/>
          </w:tcPr>
          <w:p>
            <w:pPr>
              <w:pStyle w:val="42"/>
              <w:rPr>
                <w:sz w:val="18"/>
                <w:szCs w:val="18"/>
              </w:rPr>
            </w:pPr>
            <w:r>
              <w:rPr>
                <w:rFonts w:hint="eastAsia"/>
                <w:sz w:val="18"/>
                <w:szCs w:val="18"/>
              </w:rPr>
              <w:t>0.013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超标率(%)</w:t>
            </w:r>
          </w:p>
        </w:tc>
        <w:tc>
          <w:tcPr>
            <w:tcW w:w="540" w:type="pct"/>
            <w:vAlign w:val="center"/>
          </w:tcPr>
          <w:p>
            <w:pPr>
              <w:pStyle w:val="42"/>
              <w:rPr>
                <w:sz w:val="18"/>
                <w:szCs w:val="18"/>
              </w:rPr>
            </w:pPr>
            <w:r>
              <w:rPr>
                <w:rFonts w:hint="eastAsia"/>
                <w:sz w:val="18"/>
                <w:szCs w:val="18"/>
              </w:rPr>
              <w:t>0</w:t>
            </w:r>
          </w:p>
        </w:tc>
        <w:tc>
          <w:tcPr>
            <w:tcW w:w="909" w:type="pct"/>
            <w:vAlign w:val="center"/>
          </w:tcPr>
          <w:p>
            <w:pPr>
              <w:pStyle w:val="42"/>
              <w:rPr>
                <w:sz w:val="18"/>
                <w:szCs w:val="18"/>
              </w:rPr>
            </w:pPr>
            <w:r>
              <w:rPr>
                <w:rFonts w:hint="eastAsia"/>
                <w:sz w:val="18"/>
                <w:szCs w:val="18"/>
              </w:rPr>
              <w:t>0</w:t>
            </w:r>
          </w:p>
        </w:tc>
        <w:tc>
          <w:tcPr>
            <w:tcW w:w="496" w:type="pct"/>
            <w:vAlign w:val="center"/>
          </w:tcPr>
          <w:p>
            <w:pPr>
              <w:pStyle w:val="42"/>
              <w:rPr>
                <w:sz w:val="18"/>
                <w:szCs w:val="18"/>
              </w:rPr>
            </w:pPr>
            <w:r>
              <w:rPr>
                <w:rFonts w:hint="eastAsia"/>
                <w:sz w:val="18"/>
                <w:szCs w:val="18"/>
              </w:rPr>
              <w:t>0</w:t>
            </w:r>
          </w:p>
        </w:tc>
        <w:tc>
          <w:tcPr>
            <w:tcW w:w="461" w:type="pct"/>
            <w:vAlign w:val="center"/>
          </w:tcPr>
          <w:p>
            <w:pPr>
              <w:pStyle w:val="42"/>
              <w:rPr>
                <w:sz w:val="18"/>
                <w:szCs w:val="18"/>
              </w:rPr>
            </w:pPr>
            <w:r>
              <w:rPr>
                <w:rFonts w:hint="eastAsia"/>
                <w:sz w:val="18"/>
                <w:szCs w:val="18"/>
              </w:rPr>
              <w:t>0</w:t>
            </w:r>
          </w:p>
        </w:tc>
        <w:tc>
          <w:tcPr>
            <w:tcW w:w="460" w:type="pct"/>
            <w:vAlign w:val="center"/>
          </w:tcPr>
          <w:p>
            <w:pPr>
              <w:pStyle w:val="42"/>
              <w:rPr>
                <w:sz w:val="18"/>
                <w:szCs w:val="18"/>
              </w:rPr>
            </w:pPr>
            <w:r>
              <w:rPr>
                <w:rFonts w:hint="eastAsia"/>
                <w:sz w:val="18"/>
                <w:szCs w:val="18"/>
              </w:rPr>
              <w:t>0</w:t>
            </w:r>
          </w:p>
        </w:tc>
        <w:tc>
          <w:tcPr>
            <w:tcW w:w="461" w:type="pct"/>
            <w:vAlign w:val="center"/>
          </w:tcPr>
          <w:p>
            <w:pPr>
              <w:pStyle w:val="42"/>
              <w:rPr>
                <w:sz w:val="18"/>
                <w:szCs w:val="18"/>
              </w:rPr>
            </w:pPr>
            <w:r>
              <w:rPr>
                <w:rFonts w:hint="eastAsia"/>
                <w:sz w:val="18"/>
                <w:szCs w:val="18"/>
              </w:rPr>
              <w:t>0</w:t>
            </w:r>
          </w:p>
        </w:tc>
        <w:tc>
          <w:tcPr>
            <w:tcW w:w="457" w:type="pct"/>
            <w:vAlign w:val="center"/>
          </w:tcPr>
          <w:p>
            <w:pPr>
              <w:pStyle w:val="42"/>
              <w:rPr>
                <w:sz w:val="18"/>
                <w:szCs w:val="18"/>
              </w:rPr>
            </w:pPr>
            <w:r>
              <w:rPr>
                <w:rFonts w:hint="eastAsia"/>
                <w:sz w:val="18"/>
                <w:szCs w:val="1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超标倍数</w:t>
            </w:r>
          </w:p>
        </w:tc>
        <w:tc>
          <w:tcPr>
            <w:tcW w:w="540" w:type="pct"/>
            <w:vAlign w:val="center"/>
          </w:tcPr>
          <w:p>
            <w:pPr>
              <w:pStyle w:val="42"/>
              <w:rPr>
                <w:sz w:val="18"/>
                <w:szCs w:val="18"/>
              </w:rPr>
            </w:pPr>
            <w:r>
              <w:rPr>
                <w:rFonts w:hint="eastAsia"/>
                <w:sz w:val="18"/>
                <w:szCs w:val="18"/>
              </w:rPr>
              <w:t>0</w:t>
            </w:r>
          </w:p>
        </w:tc>
        <w:tc>
          <w:tcPr>
            <w:tcW w:w="909" w:type="pct"/>
            <w:vAlign w:val="center"/>
          </w:tcPr>
          <w:p>
            <w:pPr>
              <w:pStyle w:val="42"/>
              <w:rPr>
                <w:sz w:val="18"/>
                <w:szCs w:val="18"/>
              </w:rPr>
            </w:pPr>
            <w:r>
              <w:rPr>
                <w:rFonts w:hint="eastAsia"/>
                <w:sz w:val="18"/>
                <w:szCs w:val="18"/>
              </w:rPr>
              <w:t>0</w:t>
            </w:r>
          </w:p>
        </w:tc>
        <w:tc>
          <w:tcPr>
            <w:tcW w:w="496" w:type="pct"/>
            <w:vAlign w:val="center"/>
          </w:tcPr>
          <w:p>
            <w:pPr>
              <w:pStyle w:val="42"/>
              <w:rPr>
                <w:sz w:val="18"/>
                <w:szCs w:val="18"/>
              </w:rPr>
            </w:pPr>
            <w:r>
              <w:rPr>
                <w:rFonts w:hint="eastAsia"/>
                <w:sz w:val="18"/>
                <w:szCs w:val="18"/>
              </w:rPr>
              <w:t>/</w:t>
            </w:r>
          </w:p>
        </w:tc>
        <w:tc>
          <w:tcPr>
            <w:tcW w:w="461" w:type="pct"/>
            <w:vAlign w:val="center"/>
          </w:tcPr>
          <w:p>
            <w:pPr>
              <w:pStyle w:val="42"/>
              <w:rPr>
                <w:sz w:val="18"/>
                <w:szCs w:val="18"/>
              </w:rPr>
            </w:pPr>
            <w:r>
              <w:rPr>
                <w:rFonts w:hint="eastAsia"/>
                <w:sz w:val="18"/>
                <w:szCs w:val="18"/>
              </w:rPr>
              <w:t>/</w:t>
            </w:r>
          </w:p>
        </w:tc>
        <w:tc>
          <w:tcPr>
            <w:tcW w:w="460" w:type="pct"/>
            <w:vAlign w:val="center"/>
          </w:tcPr>
          <w:p>
            <w:pPr>
              <w:pStyle w:val="42"/>
              <w:rPr>
                <w:sz w:val="18"/>
                <w:szCs w:val="18"/>
              </w:rPr>
            </w:pPr>
            <w:r>
              <w:rPr>
                <w:rFonts w:hint="eastAsia"/>
                <w:sz w:val="18"/>
                <w:szCs w:val="18"/>
              </w:rPr>
              <w:t>0</w:t>
            </w:r>
          </w:p>
        </w:tc>
        <w:tc>
          <w:tcPr>
            <w:tcW w:w="461" w:type="pct"/>
            <w:vAlign w:val="center"/>
          </w:tcPr>
          <w:p>
            <w:pPr>
              <w:pStyle w:val="42"/>
              <w:rPr>
                <w:sz w:val="18"/>
                <w:szCs w:val="18"/>
              </w:rPr>
            </w:pPr>
            <w:r>
              <w:rPr>
                <w:rFonts w:hint="eastAsia"/>
                <w:sz w:val="18"/>
                <w:szCs w:val="18"/>
              </w:rPr>
              <w:t>/</w:t>
            </w:r>
          </w:p>
        </w:tc>
        <w:tc>
          <w:tcPr>
            <w:tcW w:w="457" w:type="pct"/>
            <w:vAlign w:val="center"/>
          </w:tcPr>
          <w:p>
            <w:pPr>
              <w:pStyle w:val="42"/>
              <w:rPr>
                <w:sz w:val="18"/>
                <w:szCs w:val="18"/>
              </w:rPr>
            </w:pPr>
            <w:r>
              <w:rPr>
                <w:rFonts w:hint="eastAsia"/>
                <w:sz w:val="18"/>
                <w:szCs w:val="18"/>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rPr>
                <w:rFonts w:hint="eastAsia"/>
              </w:rPr>
              <w:t>P</w:t>
            </w:r>
            <w:r>
              <w:t>i值</w:t>
            </w:r>
          </w:p>
        </w:tc>
        <w:tc>
          <w:tcPr>
            <w:tcW w:w="540" w:type="pct"/>
            <w:vAlign w:val="center"/>
          </w:tcPr>
          <w:p>
            <w:pPr>
              <w:pStyle w:val="42"/>
              <w:rPr>
                <w:sz w:val="18"/>
                <w:szCs w:val="18"/>
              </w:rPr>
            </w:pPr>
            <w:r>
              <w:rPr>
                <w:rFonts w:hint="eastAsia"/>
                <w:sz w:val="18"/>
                <w:szCs w:val="18"/>
              </w:rPr>
              <w:t>0.36</w:t>
            </w:r>
          </w:p>
        </w:tc>
        <w:tc>
          <w:tcPr>
            <w:tcW w:w="909" w:type="pct"/>
            <w:vAlign w:val="center"/>
          </w:tcPr>
          <w:p>
            <w:pPr>
              <w:pStyle w:val="42"/>
              <w:rPr>
                <w:sz w:val="18"/>
                <w:szCs w:val="18"/>
              </w:rPr>
            </w:pPr>
            <w:r>
              <w:rPr>
                <w:rFonts w:hint="eastAsia"/>
                <w:sz w:val="18"/>
                <w:szCs w:val="18"/>
              </w:rPr>
              <w:t>0.27</w:t>
            </w:r>
          </w:p>
        </w:tc>
        <w:tc>
          <w:tcPr>
            <w:tcW w:w="496" w:type="pct"/>
            <w:vAlign w:val="center"/>
          </w:tcPr>
          <w:p>
            <w:pPr>
              <w:pStyle w:val="42"/>
              <w:rPr>
                <w:sz w:val="18"/>
                <w:szCs w:val="18"/>
              </w:rPr>
            </w:pPr>
            <w:r>
              <w:rPr>
                <w:rFonts w:hint="eastAsia"/>
                <w:sz w:val="18"/>
                <w:szCs w:val="18"/>
              </w:rPr>
              <w:t>/</w:t>
            </w:r>
          </w:p>
        </w:tc>
        <w:tc>
          <w:tcPr>
            <w:tcW w:w="461" w:type="pct"/>
            <w:vAlign w:val="center"/>
          </w:tcPr>
          <w:p>
            <w:pPr>
              <w:pStyle w:val="42"/>
              <w:rPr>
                <w:sz w:val="18"/>
                <w:szCs w:val="18"/>
              </w:rPr>
            </w:pPr>
            <w:r>
              <w:rPr>
                <w:rFonts w:hint="eastAsia"/>
                <w:sz w:val="18"/>
                <w:szCs w:val="18"/>
              </w:rPr>
              <w:t>/</w:t>
            </w:r>
          </w:p>
        </w:tc>
        <w:tc>
          <w:tcPr>
            <w:tcW w:w="460" w:type="pct"/>
            <w:vAlign w:val="center"/>
          </w:tcPr>
          <w:p>
            <w:pPr>
              <w:pStyle w:val="42"/>
              <w:rPr>
                <w:sz w:val="18"/>
                <w:szCs w:val="18"/>
              </w:rPr>
            </w:pPr>
            <w:r>
              <w:rPr>
                <w:rFonts w:hint="eastAsia"/>
                <w:sz w:val="18"/>
                <w:szCs w:val="18"/>
              </w:rPr>
              <w:t>0.26</w:t>
            </w:r>
          </w:p>
        </w:tc>
        <w:tc>
          <w:tcPr>
            <w:tcW w:w="461" w:type="pct"/>
            <w:vAlign w:val="center"/>
          </w:tcPr>
          <w:p>
            <w:pPr>
              <w:pStyle w:val="42"/>
              <w:rPr>
                <w:sz w:val="18"/>
                <w:szCs w:val="18"/>
              </w:rPr>
            </w:pPr>
            <w:r>
              <w:rPr>
                <w:rFonts w:hint="eastAsia"/>
                <w:sz w:val="18"/>
                <w:szCs w:val="18"/>
              </w:rPr>
              <w:t>/</w:t>
            </w:r>
          </w:p>
        </w:tc>
        <w:tc>
          <w:tcPr>
            <w:tcW w:w="457" w:type="pct"/>
            <w:vAlign w:val="center"/>
          </w:tcPr>
          <w:p>
            <w:pPr>
              <w:pStyle w:val="42"/>
              <w:rPr>
                <w:sz w:val="18"/>
                <w:szCs w:val="18"/>
              </w:rPr>
            </w:pPr>
            <w:r>
              <w:rPr>
                <w:rFonts w:hint="eastAsia"/>
                <w:sz w:val="18"/>
                <w:szCs w:val="18"/>
              </w:rPr>
              <w:t>0.43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restart"/>
            <w:vAlign w:val="center"/>
          </w:tcPr>
          <w:p>
            <w:pPr>
              <w:pStyle w:val="42"/>
            </w:pPr>
            <w:r>
              <w:rPr>
                <w:rFonts w:hint="eastAsia"/>
              </w:rPr>
              <w:t>24#晏家重点企业3（博洲环境治理有限公司）</w:t>
            </w:r>
          </w:p>
        </w:tc>
        <w:tc>
          <w:tcPr>
            <w:tcW w:w="719" w:type="pct"/>
            <w:vAlign w:val="center"/>
          </w:tcPr>
          <w:p>
            <w:pPr>
              <w:pStyle w:val="42"/>
            </w:pPr>
            <w:r>
              <w:t>浓度值</w:t>
            </w:r>
          </w:p>
        </w:tc>
        <w:tc>
          <w:tcPr>
            <w:tcW w:w="540" w:type="pct"/>
            <w:vAlign w:val="center"/>
          </w:tcPr>
          <w:p>
            <w:pPr>
              <w:pStyle w:val="42"/>
            </w:pPr>
            <w:r>
              <w:rPr>
                <w:rFonts w:hint="eastAsia"/>
              </w:rPr>
              <w:t>384</w:t>
            </w:r>
          </w:p>
        </w:tc>
        <w:tc>
          <w:tcPr>
            <w:tcW w:w="909" w:type="pct"/>
            <w:vAlign w:val="center"/>
          </w:tcPr>
          <w:p>
            <w:pPr>
              <w:pStyle w:val="42"/>
            </w:pPr>
            <w:r>
              <w:rPr>
                <w:rFonts w:hint="eastAsia"/>
              </w:rPr>
              <w:t>0.9</w:t>
            </w:r>
          </w:p>
        </w:tc>
        <w:tc>
          <w:tcPr>
            <w:tcW w:w="496" w:type="pct"/>
            <w:vAlign w:val="center"/>
          </w:tcPr>
          <w:p>
            <w:pPr>
              <w:pStyle w:val="42"/>
            </w:pPr>
            <w:r>
              <w:rPr>
                <w:rFonts w:hint="eastAsia"/>
              </w:rPr>
              <w:t>1.00</w:t>
            </w:r>
            <w:r>
              <w:rPr>
                <w:rFonts w:hint="eastAsia" w:ascii="宋体" w:hAnsi="宋体"/>
              </w:rPr>
              <w:t>×</w:t>
            </w:r>
            <w:r>
              <w:rPr>
                <w:rFonts w:hint="eastAsia"/>
              </w:rPr>
              <w:t>10</w:t>
            </w:r>
            <w:r>
              <w:rPr>
                <w:rFonts w:hint="eastAsia"/>
                <w:vertAlign w:val="superscript"/>
              </w:rPr>
              <w:t>-4</w:t>
            </w:r>
            <w:r>
              <w:rPr>
                <w:rFonts w:hint="eastAsia"/>
              </w:rPr>
              <w:t>L</w:t>
            </w:r>
          </w:p>
        </w:tc>
        <w:tc>
          <w:tcPr>
            <w:tcW w:w="461" w:type="pct"/>
            <w:vAlign w:val="center"/>
          </w:tcPr>
          <w:p>
            <w:pPr>
              <w:pStyle w:val="42"/>
            </w:pPr>
            <w:r>
              <w:rPr>
                <w:rFonts w:hint="eastAsia"/>
              </w:rPr>
              <w:t>0.09</w:t>
            </w:r>
            <w:r>
              <w:rPr>
                <w:rFonts w:hint="eastAsia" w:ascii="宋体" w:hAnsi="宋体"/>
              </w:rPr>
              <w:t>×</w:t>
            </w:r>
            <w:r>
              <w:rPr>
                <w:rFonts w:hint="eastAsia"/>
              </w:rPr>
              <w:t>10</w:t>
            </w:r>
            <w:r>
              <w:rPr>
                <w:rFonts w:hint="eastAsia"/>
                <w:vertAlign w:val="superscript"/>
              </w:rPr>
              <w:t>-3</w:t>
            </w:r>
            <w:r>
              <w:rPr>
                <w:rFonts w:hint="eastAsia"/>
              </w:rPr>
              <w:t>L</w:t>
            </w:r>
          </w:p>
        </w:tc>
        <w:tc>
          <w:tcPr>
            <w:tcW w:w="460" w:type="pct"/>
            <w:vAlign w:val="center"/>
          </w:tcPr>
          <w:p>
            <w:pPr>
              <w:pStyle w:val="42"/>
            </w:pPr>
            <w:r>
              <w:rPr>
                <w:rFonts w:hint="eastAsia"/>
              </w:rPr>
              <w:t>0.350</w:t>
            </w:r>
          </w:p>
        </w:tc>
        <w:tc>
          <w:tcPr>
            <w:tcW w:w="461" w:type="pct"/>
            <w:vAlign w:val="center"/>
          </w:tcPr>
          <w:p>
            <w:pPr>
              <w:pStyle w:val="42"/>
            </w:pPr>
            <w:r>
              <w:rPr>
                <w:rFonts w:hint="eastAsia"/>
              </w:rPr>
              <w:t>0.05L</w:t>
            </w:r>
          </w:p>
        </w:tc>
        <w:tc>
          <w:tcPr>
            <w:tcW w:w="457" w:type="pct"/>
            <w:vAlign w:val="center"/>
          </w:tcPr>
          <w:p>
            <w:pPr>
              <w:pStyle w:val="42"/>
            </w:pPr>
            <w:r>
              <w:rPr>
                <w:rFonts w:hint="eastAsia"/>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超标率(%)</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0</w:t>
            </w:r>
          </w:p>
        </w:tc>
        <w:tc>
          <w:tcPr>
            <w:tcW w:w="461" w:type="pct"/>
            <w:vAlign w:val="center"/>
          </w:tcPr>
          <w:p>
            <w:pPr>
              <w:pStyle w:val="42"/>
            </w:pPr>
            <w:r>
              <w:rPr>
                <w:rFonts w:hint="eastAsia"/>
              </w:rPr>
              <w:t>0</w:t>
            </w:r>
          </w:p>
        </w:tc>
        <w:tc>
          <w:tcPr>
            <w:tcW w:w="460" w:type="pct"/>
            <w:vAlign w:val="center"/>
          </w:tcPr>
          <w:p>
            <w:pPr>
              <w:pStyle w:val="42"/>
            </w:pPr>
            <w:r>
              <w:rPr>
                <w:rFonts w:hint="eastAsia"/>
              </w:rPr>
              <w:t>0</w:t>
            </w:r>
          </w:p>
        </w:tc>
        <w:tc>
          <w:tcPr>
            <w:tcW w:w="461" w:type="pct"/>
            <w:vAlign w:val="center"/>
          </w:tcPr>
          <w:p>
            <w:pPr>
              <w:pStyle w:val="42"/>
            </w:pPr>
            <w:r>
              <w:rPr>
                <w:rFonts w:hint="eastAsia"/>
              </w:rPr>
              <w:t>0</w:t>
            </w:r>
          </w:p>
        </w:tc>
        <w:tc>
          <w:tcPr>
            <w:tcW w:w="457"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t>超标倍数</w:t>
            </w:r>
          </w:p>
        </w:tc>
        <w:tc>
          <w:tcPr>
            <w:tcW w:w="540" w:type="pct"/>
            <w:vAlign w:val="center"/>
          </w:tcPr>
          <w:p>
            <w:pPr>
              <w:pStyle w:val="42"/>
            </w:pPr>
            <w:r>
              <w:rPr>
                <w:rFonts w:hint="eastAsia"/>
              </w:rPr>
              <w:t>0</w:t>
            </w:r>
          </w:p>
        </w:tc>
        <w:tc>
          <w:tcPr>
            <w:tcW w:w="909" w:type="pct"/>
            <w:vAlign w:val="center"/>
          </w:tcPr>
          <w:p>
            <w:pPr>
              <w:pStyle w:val="42"/>
            </w:pPr>
            <w:r>
              <w:rPr>
                <w:rFonts w:hint="eastAsia"/>
              </w:rPr>
              <w:t>0</w:t>
            </w:r>
          </w:p>
        </w:tc>
        <w:tc>
          <w:tcPr>
            <w:tcW w:w="496" w:type="pct"/>
            <w:vAlign w:val="center"/>
          </w:tcPr>
          <w:p>
            <w:pPr>
              <w:pStyle w:val="42"/>
            </w:pPr>
            <w:r>
              <w:rPr>
                <w:rFonts w:hint="eastAsia"/>
              </w:rPr>
              <w:t>/</w:t>
            </w:r>
          </w:p>
        </w:tc>
        <w:tc>
          <w:tcPr>
            <w:tcW w:w="461" w:type="pct"/>
            <w:vAlign w:val="center"/>
          </w:tcPr>
          <w:p>
            <w:pPr>
              <w:pStyle w:val="42"/>
            </w:pPr>
            <w:r>
              <w:rPr>
                <w:rFonts w:hint="eastAsia"/>
              </w:rPr>
              <w:t>/</w:t>
            </w:r>
          </w:p>
        </w:tc>
        <w:tc>
          <w:tcPr>
            <w:tcW w:w="460" w:type="pct"/>
            <w:vAlign w:val="center"/>
          </w:tcPr>
          <w:p>
            <w:pPr>
              <w:pStyle w:val="42"/>
            </w:pPr>
            <w:r>
              <w:rPr>
                <w:rFonts w:hint="eastAsia"/>
              </w:rPr>
              <w:t>0</w:t>
            </w:r>
          </w:p>
        </w:tc>
        <w:tc>
          <w:tcPr>
            <w:tcW w:w="461" w:type="pct"/>
            <w:vAlign w:val="center"/>
          </w:tcPr>
          <w:p>
            <w:pPr>
              <w:pStyle w:val="42"/>
            </w:pPr>
            <w:r>
              <w:rPr>
                <w:rFonts w:hint="eastAsia"/>
              </w:rPr>
              <w:t>/</w:t>
            </w:r>
          </w:p>
        </w:tc>
        <w:tc>
          <w:tcPr>
            <w:tcW w:w="457" w:type="pct"/>
            <w:vAlign w:val="center"/>
          </w:tcPr>
          <w:p>
            <w:pPr>
              <w:pStyle w:val="42"/>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497" w:type="pct"/>
            <w:vMerge w:val="continue"/>
            <w:vAlign w:val="center"/>
          </w:tcPr>
          <w:p>
            <w:pPr>
              <w:pStyle w:val="42"/>
            </w:pPr>
          </w:p>
        </w:tc>
        <w:tc>
          <w:tcPr>
            <w:tcW w:w="719" w:type="pct"/>
            <w:vAlign w:val="center"/>
          </w:tcPr>
          <w:p>
            <w:pPr>
              <w:pStyle w:val="42"/>
            </w:pPr>
            <w:r>
              <w:rPr>
                <w:rFonts w:hint="eastAsia"/>
              </w:rPr>
              <w:t>P</w:t>
            </w:r>
            <w:r>
              <w:t>i值</w:t>
            </w:r>
          </w:p>
        </w:tc>
        <w:tc>
          <w:tcPr>
            <w:tcW w:w="540" w:type="pct"/>
            <w:vAlign w:val="center"/>
          </w:tcPr>
          <w:p>
            <w:pPr>
              <w:pStyle w:val="42"/>
            </w:pPr>
            <w:r>
              <w:rPr>
                <w:rFonts w:hint="eastAsia"/>
              </w:rPr>
              <w:t>0.38</w:t>
            </w:r>
          </w:p>
        </w:tc>
        <w:tc>
          <w:tcPr>
            <w:tcW w:w="909" w:type="pct"/>
            <w:vAlign w:val="center"/>
          </w:tcPr>
          <w:p>
            <w:pPr>
              <w:pStyle w:val="42"/>
            </w:pPr>
            <w:r>
              <w:rPr>
                <w:rFonts w:hint="eastAsia"/>
              </w:rPr>
              <w:t>0.3</w:t>
            </w:r>
          </w:p>
        </w:tc>
        <w:tc>
          <w:tcPr>
            <w:tcW w:w="496" w:type="pct"/>
            <w:vAlign w:val="center"/>
          </w:tcPr>
          <w:p>
            <w:pPr>
              <w:pStyle w:val="42"/>
            </w:pPr>
            <w:r>
              <w:rPr>
                <w:rFonts w:hint="eastAsia"/>
              </w:rPr>
              <w:t>/</w:t>
            </w:r>
          </w:p>
        </w:tc>
        <w:tc>
          <w:tcPr>
            <w:tcW w:w="461" w:type="pct"/>
            <w:vAlign w:val="center"/>
          </w:tcPr>
          <w:p>
            <w:pPr>
              <w:pStyle w:val="42"/>
            </w:pPr>
            <w:r>
              <w:rPr>
                <w:rFonts w:hint="eastAsia"/>
              </w:rPr>
              <w:t>/</w:t>
            </w:r>
          </w:p>
        </w:tc>
        <w:tc>
          <w:tcPr>
            <w:tcW w:w="460" w:type="pct"/>
            <w:vAlign w:val="center"/>
          </w:tcPr>
          <w:p>
            <w:pPr>
              <w:pStyle w:val="42"/>
            </w:pPr>
            <w:r>
              <w:rPr>
                <w:rFonts w:hint="eastAsia"/>
              </w:rPr>
              <w:t>0.35</w:t>
            </w:r>
          </w:p>
        </w:tc>
        <w:tc>
          <w:tcPr>
            <w:tcW w:w="461" w:type="pct"/>
            <w:vAlign w:val="center"/>
          </w:tcPr>
          <w:p>
            <w:pPr>
              <w:pStyle w:val="42"/>
            </w:pPr>
            <w:r>
              <w:rPr>
                <w:rFonts w:hint="eastAsia"/>
              </w:rPr>
              <w:t>/</w:t>
            </w:r>
          </w:p>
        </w:tc>
        <w:tc>
          <w:tcPr>
            <w:tcW w:w="457" w:type="pct"/>
            <w:vAlign w:val="center"/>
          </w:tcPr>
          <w:p>
            <w:pPr>
              <w:pStyle w:val="42"/>
            </w:pPr>
            <w:r>
              <w:rPr>
                <w:rFonts w:hint="eastAsia"/>
              </w:rPr>
              <w:t>0.03</w:t>
            </w:r>
          </w:p>
        </w:tc>
      </w:tr>
    </w:tbl>
    <w:p>
      <w:pPr>
        <w:pStyle w:val="41"/>
      </w:pPr>
    </w:p>
    <w:p>
      <w:pPr>
        <w:pStyle w:val="41"/>
        <w:sectPr>
          <w:pgSz w:w="16838" w:h="11906" w:orient="landscape"/>
          <w:pgMar w:top="1800" w:right="1440" w:bottom="1800" w:left="1440" w:header="851" w:footer="992" w:gutter="0"/>
          <w:cols w:space="425" w:num="1"/>
          <w:docGrid w:type="lines" w:linePitch="326" w:charSpace="0"/>
        </w:sectPr>
      </w:pPr>
    </w:p>
    <w:p>
      <w:pPr>
        <w:pStyle w:val="4"/>
        <w:spacing w:before="156" w:after="156"/>
      </w:pPr>
      <w:bookmarkStart w:id="111" w:name="_Toc84844283"/>
      <w:r>
        <w:rPr>
          <w:rFonts w:hint="eastAsia"/>
        </w:rPr>
        <w:t>4.4.4噪声</w:t>
      </w:r>
      <w:bookmarkEnd w:id="111"/>
    </w:p>
    <w:p>
      <w:pPr>
        <w:ind w:firstLine="480"/>
        <w:rPr>
          <w:rFonts w:hAnsi="宋体"/>
        </w:rPr>
      </w:pPr>
      <w:r>
        <w:rPr>
          <w:rFonts w:hint="eastAsia"/>
        </w:rPr>
        <w:t>2020年11月，国药集团重庆医药设计院有限公司委托重庆开创环境监测有限公司对项目所在地声环境质量现状监测了监测，具体监测数据《监测报告》（开创环（检）字[2020]第HP439号）。</w:t>
      </w:r>
    </w:p>
    <w:p>
      <w:pPr>
        <w:ind w:firstLine="480"/>
      </w:pPr>
      <w:r>
        <w:rPr>
          <w:rFonts w:hint="eastAsia"/>
        </w:rPr>
        <w:t>监测项目：昼、夜等效A声级。</w:t>
      </w:r>
    </w:p>
    <w:p>
      <w:pPr>
        <w:ind w:firstLine="480"/>
      </w:pPr>
      <w:r>
        <w:rPr>
          <w:rFonts w:hint="eastAsia"/>
        </w:rPr>
        <w:t>监测时间：2020年11月7日~11月8日</w:t>
      </w:r>
    </w:p>
    <w:p>
      <w:pPr>
        <w:ind w:firstLine="480"/>
      </w:pPr>
      <w:r>
        <w:rPr>
          <w:rFonts w:hint="eastAsia"/>
        </w:rPr>
        <w:t>监测点位：1#南厂界、2#东厂界，具体见附图。</w:t>
      </w:r>
    </w:p>
    <w:p>
      <w:pPr>
        <w:ind w:firstLine="480"/>
      </w:pPr>
      <w:r>
        <w:rPr>
          <w:rFonts w:hint="eastAsia"/>
        </w:rPr>
        <w:t>监测频率：连续二天，每天昼夜各一次。</w:t>
      </w:r>
    </w:p>
    <w:p>
      <w:pPr>
        <w:ind w:firstLine="480"/>
      </w:pPr>
      <w:r>
        <w:rPr>
          <w:rFonts w:hint="eastAsia"/>
        </w:rPr>
        <w:t>评价方法：噪声现状评价采用与标准值比较评述法。</w:t>
      </w:r>
    </w:p>
    <w:p>
      <w:pPr>
        <w:ind w:firstLine="480"/>
      </w:pPr>
      <w:r>
        <w:rPr>
          <w:rFonts w:hint="eastAsia"/>
        </w:rPr>
        <w:t>噪声现状评价结果见表4.4-8。</w:t>
      </w:r>
    </w:p>
    <w:p>
      <w:pPr>
        <w:pStyle w:val="41"/>
      </w:pPr>
      <w:r>
        <w:rPr>
          <w:rFonts w:hint="eastAsia"/>
        </w:rPr>
        <w:t>表4.4-8  噪声现状评价结果   单位：Leq:dB(A)</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2083"/>
        <w:gridCol w:w="2604"/>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pct"/>
            <w:gridSpan w:val="2"/>
            <w:tcBorders>
              <w:tl2br w:val="single" w:color="auto" w:sz="4" w:space="0"/>
            </w:tcBorders>
            <w:vAlign w:val="center"/>
          </w:tcPr>
          <w:p>
            <w:pPr>
              <w:pStyle w:val="42"/>
              <w:ind w:firstLine="480"/>
            </w:pPr>
            <w:r>
              <w:t xml:space="preserve">              监测点</w:t>
            </w:r>
          </w:p>
          <w:p>
            <w:pPr>
              <w:pStyle w:val="42"/>
              <w:jc w:val="left"/>
            </w:pPr>
            <w:r>
              <w:t>项目</w:t>
            </w:r>
          </w:p>
        </w:tc>
        <w:tc>
          <w:tcPr>
            <w:tcW w:w="1528" w:type="pct"/>
            <w:vAlign w:val="center"/>
          </w:tcPr>
          <w:p>
            <w:pPr>
              <w:pStyle w:val="42"/>
            </w:pPr>
            <w:r>
              <w:t>1#</w:t>
            </w:r>
            <w:r>
              <w:rPr>
                <w:rFonts w:hint="eastAsia"/>
              </w:rPr>
              <w:t>南</w:t>
            </w:r>
            <w:r>
              <w:t>厂界</w:t>
            </w:r>
          </w:p>
        </w:tc>
        <w:tc>
          <w:tcPr>
            <w:tcW w:w="1528" w:type="pct"/>
            <w:vAlign w:val="center"/>
          </w:tcPr>
          <w:p>
            <w:pPr>
              <w:pStyle w:val="42"/>
            </w:pPr>
            <w:r>
              <w:t>2#</w:t>
            </w:r>
            <w:r>
              <w:rPr>
                <w:rFonts w:hint="eastAsia"/>
              </w:rPr>
              <w:t>东</w:t>
            </w:r>
            <w: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restart"/>
            <w:vAlign w:val="center"/>
          </w:tcPr>
          <w:p>
            <w:pPr>
              <w:pStyle w:val="42"/>
            </w:pPr>
            <w:r>
              <w:t>昼间</w:t>
            </w:r>
          </w:p>
        </w:tc>
        <w:tc>
          <w:tcPr>
            <w:tcW w:w="1222" w:type="pct"/>
            <w:vAlign w:val="center"/>
          </w:tcPr>
          <w:p>
            <w:pPr>
              <w:pStyle w:val="42"/>
            </w:pPr>
            <w:r>
              <w:t>范围值</w:t>
            </w:r>
          </w:p>
        </w:tc>
        <w:tc>
          <w:tcPr>
            <w:tcW w:w="1528" w:type="pct"/>
            <w:vAlign w:val="center"/>
          </w:tcPr>
          <w:p>
            <w:pPr>
              <w:pStyle w:val="42"/>
            </w:pPr>
            <w:r>
              <w:rPr>
                <w:rFonts w:hint="eastAsia"/>
              </w:rPr>
              <w:t>50~51</w:t>
            </w:r>
          </w:p>
        </w:tc>
        <w:tc>
          <w:tcPr>
            <w:tcW w:w="1528" w:type="pct"/>
            <w:vAlign w:val="center"/>
          </w:tcPr>
          <w:p>
            <w:pPr>
              <w:pStyle w:val="42"/>
            </w:pPr>
            <w:r>
              <w:rPr>
                <w:rFonts w:hint="eastAsia"/>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vAlign w:val="center"/>
          </w:tcPr>
          <w:p>
            <w:pPr>
              <w:pStyle w:val="42"/>
            </w:pPr>
          </w:p>
        </w:tc>
        <w:tc>
          <w:tcPr>
            <w:tcW w:w="1222" w:type="pct"/>
            <w:vAlign w:val="center"/>
          </w:tcPr>
          <w:p>
            <w:pPr>
              <w:pStyle w:val="42"/>
            </w:pPr>
            <w:r>
              <w:t>标准值</w:t>
            </w:r>
          </w:p>
        </w:tc>
        <w:tc>
          <w:tcPr>
            <w:tcW w:w="1528" w:type="pct"/>
            <w:vAlign w:val="center"/>
          </w:tcPr>
          <w:p>
            <w:pPr>
              <w:pStyle w:val="42"/>
            </w:pPr>
            <w:r>
              <w:rPr>
                <w:rFonts w:hint="eastAsia"/>
              </w:rPr>
              <w:t>65</w:t>
            </w:r>
          </w:p>
        </w:tc>
        <w:tc>
          <w:tcPr>
            <w:tcW w:w="1528" w:type="pct"/>
            <w:vAlign w:val="center"/>
          </w:tcPr>
          <w:p>
            <w:pPr>
              <w:pStyle w:val="42"/>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vAlign w:val="center"/>
          </w:tcPr>
          <w:p>
            <w:pPr>
              <w:pStyle w:val="42"/>
            </w:pPr>
          </w:p>
        </w:tc>
        <w:tc>
          <w:tcPr>
            <w:tcW w:w="1222" w:type="pct"/>
            <w:vAlign w:val="center"/>
          </w:tcPr>
          <w:p>
            <w:pPr>
              <w:pStyle w:val="42"/>
            </w:pPr>
            <w:r>
              <w:t>超标率%</w:t>
            </w:r>
          </w:p>
        </w:tc>
        <w:tc>
          <w:tcPr>
            <w:tcW w:w="1528" w:type="pct"/>
            <w:vAlign w:val="center"/>
          </w:tcPr>
          <w:p>
            <w:pPr>
              <w:pStyle w:val="42"/>
            </w:pPr>
            <w:r>
              <w:t>0</w:t>
            </w:r>
          </w:p>
        </w:tc>
        <w:tc>
          <w:tcPr>
            <w:tcW w:w="1528" w:type="pct"/>
            <w:vAlign w:val="center"/>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restart"/>
            <w:vAlign w:val="center"/>
          </w:tcPr>
          <w:p>
            <w:pPr>
              <w:pStyle w:val="42"/>
            </w:pPr>
            <w:r>
              <w:t>夜间</w:t>
            </w:r>
          </w:p>
        </w:tc>
        <w:tc>
          <w:tcPr>
            <w:tcW w:w="1222" w:type="pct"/>
            <w:vAlign w:val="center"/>
          </w:tcPr>
          <w:p>
            <w:pPr>
              <w:pStyle w:val="42"/>
            </w:pPr>
            <w:r>
              <w:t>范围值</w:t>
            </w:r>
          </w:p>
        </w:tc>
        <w:tc>
          <w:tcPr>
            <w:tcW w:w="1528" w:type="pct"/>
            <w:vAlign w:val="center"/>
          </w:tcPr>
          <w:p>
            <w:pPr>
              <w:pStyle w:val="42"/>
            </w:pPr>
            <w:r>
              <w:rPr>
                <w:rFonts w:hint="eastAsia"/>
              </w:rPr>
              <w:t>39</w:t>
            </w:r>
          </w:p>
        </w:tc>
        <w:tc>
          <w:tcPr>
            <w:tcW w:w="1528" w:type="pct"/>
            <w:vAlign w:val="center"/>
          </w:tcPr>
          <w:p>
            <w:pPr>
              <w:pStyle w:val="42"/>
            </w:pPr>
            <w:r>
              <w:rPr>
                <w:rFonts w:hint="eastAsia"/>
              </w:rPr>
              <w:t>39~40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vAlign w:val="center"/>
          </w:tcPr>
          <w:p>
            <w:pPr>
              <w:pStyle w:val="42"/>
            </w:pPr>
          </w:p>
        </w:tc>
        <w:tc>
          <w:tcPr>
            <w:tcW w:w="1222" w:type="pct"/>
            <w:vAlign w:val="center"/>
          </w:tcPr>
          <w:p>
            <w:pPr>
              <w:pStyle w:val="42"/>
            </w:pPr>
            <w:r>
              <w:t>标准值</w:t>
            </w:r>
          </w:p>
        </w:tc>
        <w:tc>
          <w:tcPr>
            <w:tcW w:w="1528" w:type="pct"/>
            <w:vAlign w:val="center"/>
          </w:tcPr>
          <w:p>
            <w:pPr>
              <w:pStyle w:val="42"/>
            </w:pPr>
            <w:r>
              <w:t>55</w:t>
            </w:r>
          </w:p>
        </w:tc>
        <w:tc>
          <w:tcPr>
            <w:tcW w:w="1528" w:type="pct"/>
            <w:vAlign w:val="center"/>
          </w:tcPr>
          <w:p>
            <w:pPr>
              <w:pStyle w:val="42"/>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vAlign w:val="center"/>
          </w:tcPr>
          <w:p>
            <w:pPr>
              <w:pStyle w:val="42"/>
            </w:pPr>
          </w:p>
        </w:tc>
        <w:tc>
          <w:tcPr>
            <w:tcW w:w="1222" w:type="pct"/>
            <w:vAlign w:val="center"/>
          </w:tcPr>
          <w:p>
            <w:pPr>
              <w:pStyle w:val="42"/>
            </w:pPr>
            <w:r>
              <w:t>超标率%</w:t>
            </w:r>
          </w:p>
        </w:tc>
        <w:tc>
          <w:tcPr>
            <w:tcW w:w="1528" w:type="pct"/>
            <w:vAlign w:val="center"/>
          </w:tcPr>
          <w:p>
            <w:pPr>
              <w:pStyle w:val="42"/>
            </w:pPr>
            <w:r>
              <w:t>0</w:t>
            </w:r>
          </w:p>
        </w:tc>
        <w:tc>
          <w:tcPr>
            <w:tcW w:w="1528" w:type="pct"/>
            <w:vAlign w:val="center"/>
          </w:tcPr>
          <w:p>
            <w:pPr>
              <w:pStyle w:val="42"/>
            </w:pPr>
            <w:r>
              <w:t>0</w:t>
            </w:r>
          </w:p>
        </w:tc>
      </w:tr>
    </w:tbl>
    <w:p>
      <w:pPr>
        <w:ind w:firstLine="480"/>
      </w:pPr>
      <w:r>
        <w:rPr>
          <w:rFonts w:hint="eastAsia"/>
        </w:rPr>
        <w:t>由上表4.4-8可知，拟建项目南厂界和东厂界昼夜间噪声质量现状均满足《声环境质量标准》（GB3096-2008）3类标准要求，项目所在地声环境质量好。</w:t>
      </w:r>
    </w:p>
    <w:p>
      <w:pPr>
        <w:pStyle w:val="4"/>
        <w:spacing w:before="156" w:after="156"/>
      </w:pPr>
      <w:bookmarkStart w:id="112" w:name="_Toc84844284"/>
      <w:r>
        <w:rPr>
          <w:rFonts w:hint="eastAsia"/>
        </w:rPr>
        <w:t>4.4.5土壤</w:t>
      </w:r>
      <w:bookmarkEnd w:id="112"/>
    </w:p>
    <w:p>
      <w:pPr>
        <w:ind w:firstLine="480"/>
      </w:pPr>
      <w:r>
        <w:rPr>
          <w:rFonts w:hint="eastAsia"/>
        </w:rPr>
        <w:t>本次评价委托重庆开创环境监测有限公司对项目占地范围内的土壤环境质量进行了监测，同时引用项目周边近3年的监测资料对占地范围外的土壤环境质量进行现状评价。</w:t>
      </w:r>
    </w:p>
    <w:p>
      <w:pPr>
        <w:ind w:firstLine="480"/>
      </w:pPr>
      <w:r>
        <w:rPr>
          <w:rFonts w:hint="eastAsia"/>
        </w:rPr>
        <w:t>（1）监测布点及采样时间</w:t>
      </w:r>
    </w:p>
    <w:p>
      <w:pPr>
        <w:ind w:firstLine="480"/>
      </w:pPr>
      <w:r>
        <w:rPr>
          <w:rFonts w:hint="eastAsia"/>
        </w:rPr>
        <w:t>本次评价按照《环境影响评价技术导则 土壤环境（试行）》（HJ964-2018）要求布设土壤采样点，点位布设情况详见表4.4-9，采样时间为2020年11月；占地范围外土壤环境质量调查点位情况详见表4.4-10。</w:t>
      </w:r>
    </w:p>
    <w:p>
      <w:pPr>
        <w:ind w:firstLine="480"/>
      </w:pPr>
      <w:r>
        <w:rPr>
          <w:rFonts w:hint="eastAsia"/>
        </w:rPr>
        <w:t>（2）监测及评价因子</w:t>
      </w:r>
    </w:p>
    <w:p>
      <w:pPr>
        <w:ind w:firstLine="480"/>
      </w:pPr>
      <w:r>
        <w:rPr>
          <w:rFonts w:hint="eastAsia"/>
        </w:rPr>
        <w:t>项目占地范围内：厂区1#项目所在地北面空地、3#废水处理站附近监测因子为：GB36600表1基本项目：重金属和无机物7项（砷、镉、铬（六价）、铜、铅、汞、镍）、挥发性有机物27项、半挥发性有机物11项；共计45项；石油烃；理化性质：pH、容重等；2#二氧化碳回收装置区、4#合成氨装置区附近监测因子为：石油烃、镍。</w:t>
      </w:r>
    </w:p>
    <w:p>
      <w:pPr>
        <w:ind w:firstLine="480"/>
      </w:pPr>
      <w:r>
        <w:rPr>
          <w:rFonts w:hint="eastAsia"/>
        </w:rPr>
        <w:t>项目占地范围外：《监测报告》（渝环（监）字【2020】第PJ1-5）中4#和5#监测点监测因子均为：《土壤环境质量建设用地土壤污染风险管控标准（试行）》（GB36600-2018）表1所列45项基本因子。</w:t>
      </w:r>
    </w:p>
    <w:p>
      <w:pPr>
        <w:ind w:firstLine="480"/>
      </w:pPr>
      <w:r>
        <w:rPr>
          <w:rFonts w:hint="eastAsia"/>
        </w:rPr>
        <w:t>（3）土壤环境质量现状评价</w:t>
      </w:r>
    </w:p>
    <w:p>
      <w:pPr>
        <w:ind w:firstLine="480"/>
      </w:pPr>
      <w:r>
        <w:rPr>
          <w:rFonts w:hint="eastAsia"/>
        </w:rPr>
        <w:t>土壤环境质量采用对比法进行评价，现状监测结果统计情况详见表4.4-11。</w:t>
      </w:r>
    </w:p>
    <w:p>
      <w:pPr>
        <w:ind w:firstLine="480"/>
      </w:pPr>
      <w:r>
        <w:rPr>
          <w:rFonts w:hint="eastAsia"/>
        </w:rPr>
        <w:t>拟建项目评价范围用地性质属于建设用地，从监测及评价结果可见，对照《土壤环境质量建设用地土壤污染风险管控标准（试行）》（GB36600-2018），各监测点各项监测指标均能达到第二类用地筛选值标准。</w:t>
      </w:r>
    </w:p>
    <w:p>
      <w:pPr>
        <w:ind w:firstLine="480"/>
        <w:sectPr>
          <w:pgSz w:w="11906" w:h="16838"/>
          <w:pgMar w:top="1440" w:right="1800" w:bottom="1440" w:left="1800" w:header="851" w:footer="992" w:gutter="0"/>
          <w:cols w:space="425" w:num="1"/>
          <w:docGrid w:type="lines" w:linePitch="312" w:charSpace="0"/>
        </w:sectPr>
      </w:pPr>
    </w:p>
    <w:p>
      <w:pPr>
        <w:pStyle w:val="41"/>
      </w:pPr>
      <w:r>
        <w:rPr>
          <w:rFonts w:hint="eastAsia"/>
        </w:rPr>
        <w:t>表4.4-9  土壤环境质量现状监测点布设情况</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990"/>
        <w:gridCol w:w="1270"/>
        <w:gridCol w:w="717"/>
        <w:gridCol w:w="989"/>
        <w:gridCol w:w="7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pPr>
              <w:pStyle w:val="42"/>
              <w:adjustRightInd w:val="0"/>
              <w:textAlignment w:val="baseline"/>
            </w:pPr>
            <w:r>
              <w:rPr>
                <w:rFonts w:hint="eastAsia"/>
              </w:rPr>
              <w:t>监测点编号及位置</w:t>
            </w:r>
          </w:p>
        </w:tc>
        <w:tc>
          <w:tcPr>
            <w:tcW w:w="702" w:type="pct"/>
            <w:vAlign w:val="center"/>
          </w:tcPr>
          <w:p>
            <w:pPr>
              <w:pStyle w:val="42"/>
              <w:adjustRightInd w:val="0"/>
              <w:textAlignment w:val="baseline"/>
            </w:pPr>
            <w:r>
              <w:rPr>
                <w:rFonts w:hint="eastAsia"/>
              </w:rPr>
              <w:t>监测点坐标</w:t>
            </w:r>
          </w:p>
        </w:tc>
        <w:tc>
          <w:tcPr>
            <w:tcW w:w="448" w:type="pct"/>
            <w:vAlign w:val="center"/>
          </w:tcPr>
          <w:p>
            <w:pPr>
              <w:pStyle w:val="42"/>
              <w:adjustRightInd w:val="0"/>
              <w:textAlignment w:val="baseline"/>
            </w:pPr>
            <w:r>
              <w:rPr>
                <w:rFonts w:hint="eastAsia"/>
              </w:rPr>
              <w:t>监测点类型</w:t>
            </w:r>
          </w:p>
        </w:tc>
        <w:tc>
          <w:tcPr>
            <w:tcW w:w="253" w:type="pct"/>
            <w:vAlign w:val="center"/>
          </w:tcPr>
          <w:p>
            <w:pPr>
              <w:pStyle w:val="42"/>
              <w:adjustRightInd w:val="0"/>
              <w:textAlignment w:val="baseline"/>
            </w:pPr>
            <w:r>
              <w:rPr>
                <w:rFonts w:hint="eastAsia"/>
              </w:rPr>
              <w:t>样品编号</w:t>
            </w:r>
          </w:p>
        </w:tc>
        <w:tc>
          <w:tcPr>
            <w:tcW w:w="349" w:type="pct"/>
            <w:vAlign w:val="center"/>
          </w:tcPr>
          <w:p>
            <w:pPr>
              <w:pStyle w:val="42"/>
              <w:adjustRightInd w:val="0"/>
              <w:textAlignment w:val="baseline"/>
            </w:pPr>
            <w:r>
              <w:rPr>
                <w:rFonts w:hint="eastAsia"/>
              </w:rPr>
              <w:t>采样深度（cm）</w:t>
            </w:r>
          </w:p>
        </w:tc>
        <w:tc>
          <w:tcPr>
            <w:tcW w:w="2762" w:type="pct"/>
            <w:vAlign w:val="center"/>
          </w:tcPr>
          <w:p>
            <w:pPr>
              <w:pStyle w:val="42"/>
              <w:adjustRightInd w:val="0"/>
              <w:textAlignment w:val="baseline"/>
            </w:pPr>
            <w:r>
              <w:rPr>
                <w:rFonts w:hint="eastAsia"/>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pPr>
              <w:pStyle w:val="42"/>
              <w:adjustRightInd w:val="0"/>
              <w:textAlignment w:val="baseline"/>
            </w:pPr>
            <w:r>
              <w:rPr>
                <w:rFonts w:hint="eastAsia"/>
              </w:rPr>
              <w:t>1#项目所在地北面空地</w:t>
            </w:r>
          </w:p>
        </w:tc>
        <w:tc>
          <w:tcPr>
            <w:tcW w:w="702" w:type="pct"/>
            <w:vAlign w:val="center"/>
          </w:tcPr>
          <w:p>
            <w:pPr>
              <w:pStyle w:val="42"/>
              <w:adjustRightInd w:val="0"/>
              <w:textAlignment w:val="baseline"/>
            </w:pPr>
            <w:r>
              <w:rPr>
                <w:rFonts w:hint="eastAsia"/>
              </w:rPr>
              <w:t>经度106.9840</w:t>
            </w:r>
          </w:p>
          <w:p>
            <w:pPr>
              <w:pStyle w:val="42"/>
              <w:adjustRightInd w:val="0"/>
              <w:textAlignment w:val="baseline"/>
            </w:pPr>
            <w:r>
              <w:rPr>
                <w:rFonts w:hint="eastAsia"/>
              </w:rPr>
              <w:t>纬度29.8384</w:t>
            </w:r>
          </w:p>
        </w:tc>
        <w:tc>
          <w:tcPr>
            <w:tcW w:w="448" w:type="pct"/>
            <w:vAlign w:val="center"/>
          </w:tcPr>
          <w:p>
            <w:pPr>
              <w:pStyle w:val="42"/>
              <w:adjustRightInd w:val="0"/>
              <w:textAlignment w:val="baseline"/>
            </w:pPr>
            <w:r>
              <w:rPr>
                <w:rFonts w:hint="eastAsia"/>
              </w:rPr>
              <w:t>占地范围内、表层样点</w:t>
            </w:r>
          </w:p>
        </w:tc>
        <w:tc>
          <w:tcPr>
            <w:tcW w:w="253" w:type="pct"/>
            <w:vAlign w:val="center"/>
          </w:tcPr>
          <w:p>
            <w:pPr>
              <w:pStyle w:val="42"/>
              <w:adjustRightInd w:val="0"/>
              <w:textAlignment w:val="baseline"/>
            </w:pPr>
            <w:r>
              <w:rPr>
                <w:rFonts w:hint="eastAsia"/>
              </w:rPr>
              <w:t>T-1</w:t>
            </w:r>
          </w:p>
        </w:tc>
        <w:tc>
          <w:tcPr>
            <w:tcW w:w="349" w:type="pct"/>
            <w:vAlign w:val="center"/>
          </w:tcPr>
          <w:p>
            <w:pPr>
              <w:pStyle w:val="42"/>
              <w:adjustRightInd w:val="0"/>
              <w:textAlignment w:val="baseline"/>
            </w:pPr>
            <w:r>
              <w:rPr>
                <w:rFonts w:hint="eastAsia"/>
              </w:rPr>
              <w:t>10</w:t>
            </w:r>
          </w:p>
        </w:tc>
        <w:tc>
          <w:tcPr>
            <w:tcW w:w="2762" w:type="pct"/>
            <w:vMerge w:val="restart"/>
            <w:vAlign w:val="center"/>
          </w:tcPr>
          <w:p>
            <w:pPr>
              <w:pStyle w:val="42"/>
              <w:adjustRightInd w:val="0"/>
              <w:textAlignment w:val="baseline"/>
            </w:pPr>
            <w:r>
              <w:rPr>
                <w:sz w:val="24"/>
              </w:rPr>
              <w:t>干物质、pH</w:t>
            </w:r>
            <w:r>
              <w:rPr>
                <w:rFonts w:hint="eastAsia"/>
                <w:sz w:val="24"/>
              </w:rPr>
              <w:t>、</w:t>
            </w:r>
            <w:r>
              <w:rPr>
                <w:sz w:val="24"/>
              </w:rPr>
              <w:t>阳离子交换量</w:t>
            </w:r>
            <w:r>
              <w:rPr>
                <w:rFonts w:hint="eastAsia"/>
                <w:sz w:val="24"/>
              </w:rPr>
              <w:t>、氧化还原电位、容重、渗滤率（饱和导水率）、非毛管孔隙、毛管孔隙、总孔隙度、石油烃(C10-C40)、</w:t>
            </w:r>
            <w:r>
              <w:rPr>
                <w:sz w:val="24"/>
              </w:rPr>
              <w:t xml:space="preserve">挥发性有机物（四氯化碳；氯仿；氯甲烷；1,1 </w:t>
            </w:r>
            <w:r>
              <w:rPr>
                <w:sz w:val="24"/>
                <w:lang w:val="zh-CN" w:bidi="zh-CN"/>
              </w:rPr>
              <w:t>-二</w:t>
            </w:r>
            <w:r>
              <w:rPr>
                <w:sz w:val="24"/>
              </w:rPr>
              <w:t xml:space="preserve">氯乙烷；1,2-二氯乙烷；1,1 </w:t>
            </w:r>
            <w:r>
              <w:rPr>
                <w:sz w:val="24"/>
                <w:lang w:bidi="zh-CN"/>
              </w:rPr>
              <w:t>-</w:t>
            </w:r>
            <w:r>
              <w:rPr>
                <w:sz w:val="24"/>
                <w:lang w:val="zh-CN" w:bidi="zh-CN"/>
              </w:rPr>
              <w:t>二氯</w:t>
            </w:r>
            <w:r>
              <w:rPr>
                <w:sz w:val="24"/>
              </w:rPr>
              <w:t xml:space="preserve">乙烯；顺式-1,2 </w:t>
            </w:r>
            <w:r>
              <w:rPr>
                <w:sz w:val="24"/>
                <w:lang w:val="zh-CN" w:bidi="zh-CN"/>
              </w:rPr>
              <w:t>-二</w:t>
            </w:r>
            <w:r>
              <w:rPr>
                <w:sz w:val="24"/>
              </w:rPr>
              <w:t xml:space="preserve">氯乙烯；反式-1,2 </w:t>
            </w:r>
            <w:r>
              <w:rPr>
                <w:sz w:val="24"/>
                <w:lang w:bidi="zh-CN"/>
              </w:rPr>
              <w:t>-</w:t>
            </w:r>
            <w:r>
              <w:rPr>
                <w:sz w:val="24"/>
                <w:lang w:val="zh-CN" w:bidi="zh-CN"/>
              </w:rPr>
              <w:t>二</w:t>
            </w:r>
            <w:r>
              <w:rPr>
                <w:sz w:val="24"/>
              </w:rPr>
              <w:t xml:space="preserve">氯乙烯；二氯甲烷；1,2-二氯丙烷；1,1,1,2- 四氯乙烷；1,1,2,2-四氯乙烷；四氯乙烯；1,1,1 </w:t>
            </w:r>
            <w:r>
              <w:rPr>
                <w:sz w:val="24"/>
                <w:lang w:val="zh-CN" w:bidi="zh-CN"/>
              </w:rPr>
              <w:t>-三氯</w:t>
            </w:r>
            <w:r>
              <w:rPr>
                <w:sz w:val="24"/>
              </w:rPr>
              <w:t>乙烷；1,1,2-三氯乙烷；三氯乙烯；1,2,3-三氯丙烷；氯乙烯；苯；氯苯；1,2</w:t>
            </w:r>
            <w:r>
              <w:rPr>
                <w:sz w:val="24"/>
                <w:lang w:val="zh-CN" w:bidi="zh-CN"/>
              </w:rPr>
              <w:t>-二</w:t>
            </w:r>
            <w:r>
              <w:rPr>
                <w:sz w:val="24"/>
              </w:rPr>
              <w:t>氯苯；1,4-二氯苯；乙苯；苯乙烯；甲苯；间</w:t>
            </w:r>
            <w:r>
              <w:rPr>
                <w:sz w:val="24"/>
                <w:lang w:val="zh-CN" w:bidi="zh-CN"/>
              </w:rPr>
              <w:t>，对-</w:t>
            </w:r>
            <w:r>
              <w:rPr>
                <w:sz w:val="24"/>
              </w:rPr>
              <w:t>二甲苯；邻</w:t>
            </w:r>
            <w:r>
              <w:rPr>
                <w:sz w:val="24"/>
                <w:lang w:val="zh-CN" w:bidi="zh-CN"/>
              </w:rPr>
              <w:t>-二</w:t>
            </w:r>
            <w:r>
              <w:rPr>
                <w:sz w:val="24"/>
              </w:rPr>
              <w:t>甲苯）、半挥发性有机物（硝基苯、苯胺、2-氯酚、苯并（a）蒽、苯并（a）芘、苯并（b）荧蒽、苯并（k）荧蒽、䓛、二苯并（a,h）蒽、茚并（1,2,3-cd）芘、萘）、砷、镉、六价铬、铜、铅、汞、镍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pPr>
              <w:pStyle w:val="42"/>
              <w:adjustRightInd w:val="0"/>
              <w:textAlignment w:val="baseline"/>
            </w:pPr>
            <w:r>
              <w:rPr>
                <w:rFonts w:hint="eastAsia"/>
              </w:rPr>
              <w:t>3#废水处理站附近</w:t>
            </w:r>
          </w:p>
        </w:tc>
        <w:tc>
          <w:tcPr>
            <w:tcW w:w="702" w:type="pct"/>
            <w:vMerge w:val="restart"/>
            <w:vAlign w:val="center"/>
          </w:tcPr>
          <w:p>
            <w:pPr>
              <w:pStyle w:val="42"/>
              <w:adjustRightInd w:val="0"/>
              <w:textAlignment w:val="baseline"/>
            </w:pPr>
            <w:r>
              <w:rPr>
                <w:rFonts w:hint="eastAsia"/>
              </w:rPr>
              <w:t>经度106.9824</w:t>
            </w:r>
          </w:p>
          <w:p>
            <w:pPr>
              <w:pStyle w:val="42"/>
              <w:adjustRightInd w:val="0"/>
              <w:textAlignment w:val="baseline"/>
            </w:pPr>
            <w:r>
              <w:rPr>
                <w:rFonts w:hint="eastAsia"/>
              </w:rPr>
              <w:t>纬度29.8369</w:t>
            </w:r>
          </w:p>
        </w:tc>
        <w:tc>
          <w:tcPr>
            <w:tcW w:w="448" w:type="pct"/>
            <w:vMerge w:val="restart"/>
            <w:vAlign w:val="center"/>
          </w:tcPr>
          <w:p>
            <w:pPr>
              <w:pStyle w:val="42"/>
              <w:adjustRightInd w:val="0"/>
              <w:textAlignment w:val="baseline"/>
            </w:pPr>
            <w:r>
              <w:rPr>
                <w:rFonts w:hint="eastAsia"/>
              </w:rPr>
              <w:t>占地范围内、柱状样点</w:t>
            </w:r>
          </w:p>
        </w:tc>
        <w:tc>
          <w:tcPr>
            <w:tcW w:w="253" w:type="pct"/>
            <w:vAlign w:val="center"/>
          </w:tcPr>
          <w:p>
            <w:pPr>
              <w:pStyle w:val="42"/>
              <w:adjustRightInd w:val="0"/>
              <w:textAlignment w:val="baseline"/>
            </w:pPr>
            <w:r>
              <w:rPr>
                <w:rFonts w:hint="eastAsia"/>
              </w:rPr>
              <w:t>T-2</w:t>
            </w:r>
          </w:p>
        </w:tc>
        <w:tc>
          <w:tcPr>
            <w:tcW w:w="349" w:type="pct"/>
            <w:vAlign w:val="center"/>
          </w:tcPr>
          <w:p>
            <w:pPr>
              <w:pStyle w:val="42"/>
              <w:adjustRightInd w:val="0"/>
              <w:textAlignment w:val="baseline"/>
            </w:pPr>
            <w:r>
              <w:rPr>
                <w:rFonts w:hint="eastAsia"/>
              </w:rPr>
              <w:t>10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T-3</w:t>
            </w:r>
          </w:p>
        </w:tc>
        <w:tc>
          <w:tcPr>
            <w:tcW w:w="349" w:type="pct"/>
            <w:vAlign w:val="center"/>
          </w:tcPr>
          <w:p>
            <w:pPr>
              <w:pStyle w:val="42"/>
              <w:adjustRightInd w:val="0"/>
              <w:textAlignment w:val="baseline"/>
            </w:pPr>
            <w:r>
              <w:rPr>
                <w:rFonts w:hint="eastAsia"/>
              </w:rPr>
              <w:t>50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T-4</w:t>
            </w:r>
          </w:p>
        </w:tc>
        <w:tc>
          <w:tcPr>
            <w:tcW w:w="349" w:type="pct"/>
            <w:vAlign w:val="center"/>
          </w:tcPr>
          <w:p>
            <w:pPr>
              <w:pStyle w:val="42"/>
              <w:adjustRightInd w:val="0"/>
              <w:textAlignment w:val="baseline"/>
            </w:pPr>
            <w:r>
              <w:rPr>
                <w:rFonts w:hint="eastAsia"/>
              </w:rPr>
              <w:t>150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pPr>
              <w:pStyle w:val="42"/>
              <w:adjustRightInd w:val="0"/>
              <w:textAlignment w:val="baseline"/>
            </w:pPr>
            <w:r>
              <w:rPr>
                <w:rFonts w:hint="eastAsia"/>
              </w:rPr>
              <w:t>2#二氧化碳回收装置区</w:t>
            </w:r>
          </w:p>
        </w:tc>
        <w:tc>
          <w:tcPr>
            <w:tcW w:w="702" w:type="pct"/>
            <w:vMerge w:val="restart"/>
            <w:vAlign w:val="center"/>
          </w:tcPr>
          <w:p>
            <w:pPr>
              <w:pStyle w:val="42"/>
              <w:adjustRightInd w:val="0"/>
              <w:textAlignment w:val="baseline"/>
            </w:pPr>
            <w:r>
              <w:rPr>
                <w:rFonts w:hint="eastAsia"/>
              </w:rPr>
              <w:t>经度106.9827</w:t>
            </w:r>
          </w:p>
          <w:p>
            <w:pPr>
              <w:pStyle w:val="42"/>
              <w:adjustRightInd w:val="0"/>
              <w:textAlignment w:val="baseline"/>
            </w:pPr>
            <w:r>
              <w:rPr>
                <w:rFonts w:hint="eastAsia"/>
              </w:rPr>
              <w:t>纬度29.8380</w:t>
            </w:r>
          </w:p>
        </w:tc>
        <w:tc>
          <w:tcPr>
            <w:tcW w:w="448" w:type="pct"/>
            <w:vMerge w:val="restart"/>
            <w:vAlign w:val="center"/>
          </w:tcPr>
          <w:p>
            <w:pPr>
              <w:pStyle w:val="42"/>
              <w:adjustRightInd w:val="0"/>
              <w:textAlignment w:val="baseline"/>
            </w:pPr>
            <w:r>
              <w:rPr>
                <w:rFonts w:hint="eastAsia"/>
              </w:rPr>
              <w:t>占地范围内、柱状样点</w:t>
            </w:r>
          </w:p>
        </w:tc>
        <w:tc>
          <w:tcPr>
            <w:tcW w:w="253" w:type="pct"/>
            <w:vAlign w:val="center"/>
          </w:tcPr>
          <w:p>
            <w:pPr>
              <w:pStyle w:val="42"/>
              <w:adjustRightInd w:val="0"/>
              <w:textAlignment w:val="baseline"/>
            </w:pPr>
            <w:r>
              <w:rPr>
                <w:rFonts w:hint="eastAsia"/>
              </w:rPr>
              <w:t>T-5</w:t>
            </w:r>
          </w:p>
        </w:tc>
        <w:tc>
          <w:tcPr>
            <w:tcW w:w="349" w:type="pct"/>
            <w:vAlign w:val="center"/>
          </w:tcPr>
          <w:p>
            <w:pPr>
              <w:pStyle w:val="42"/>
              <w:adjustRightInd w:val="0"/>
              <w:textAlignment w:val="baseline"/>
              <w:rPr>
                <w:lang w:bidi="ar"/>
              </w:rPr>
            </w:pPr>
            <w:r>
              <w:rPr>
                <w:rFonts w:hint="eastAsia"/>
                <w:lang w:bidi="ar"/>
              </w:rPr>
              <w:t>10</w:t>
            </w:r>
          </w:p>
        </w:tc>
        <w:tc>
          <w:tcPr>
            <w:tcW w:w="2762" w:type="pct"/>
            <w:vMerge w:val="restart"/>
            <w:vAlign w:val="center"/>
          </w:tcPr>
          <w:p>
            <w:pPr>
              <w:pStyle w:val="42"/>
              <w:adjustRightInd w:val="0"/>
              <w:textAlignment w:val="baseline"/>
            </w:pPr>
            <w:r>
              <w:rPr>
                <w:rFonts w:hint="eastAsia"/>
              </w:rPr>
              <w:t>干物质、石油烃(C10-C40)、镍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T-6</w:t>
            </w:r>
          </w:p>
        </w:tc>
        <w:tc>
          <w:tcPr>
            <w:tcW w:w="349" w:type="pct"/>
            <w:vAlign w:val="center"/>
          </w:tcPr>
          <w:p>
            <w:pPr>
              <w:pStyle w:val="42"/>
              <w:adjustRightInd w:val="0"/>
              <w:textAlignment w:val="baseline"/>
              <w:rPr>
                <w:lang w:bidi="ar"/>
              </w:rPr>
            </w:pPr>
            <w:r>
              <w:rPr>
                <w:rFonts w:hint="eastAsia"/>
                <w:lang w:bidi="ar"/>
              </w:rPr>
              <w:t>50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T-7</w:t>
            </w:r>
          </w:p>
        </w:tc>
        <w:tc>
          <w:tcPr>
            <w:tcW w:w="349" w:type="pct"/>
            <w:vAlign w:val="center"/>
          </w:tcPr>
          <w:p>
            <w:pPr>
              <w:pStyle w:val="42"/>
              <w:adjustRightInd w:val="0"/>
              <w:textAlignment w:val="baseline"/>
              <w:rPr>
                <w:lang w:bidi="ar"/>
              </w:rPr>
            </w:pPr>
            <w:r>
              <w:rPr>
                <w:rFonts w:hint="eastAsia"/>
                <w:lang w:bidi="ar"/>
              </w:rPr>
              <w:t>150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pPr>
              <w:pStyle w:val="42"/>
              <w:adjustRightInd w:val="0"/>
              <w:textAlignment w:val="baseline"/>
            </w:pPr>
            <w:r>
              <w:rPr>
                <w:rFonts w:hint="eastAsia"/>
              </w:rPr>
              <w:t>4#合成氨装置区</w:t>
            </w:r>
          </w:p>
        </w:tc>
        <w:tc>
          <w:tcPr>
            <w:tcW w:w="702" w:type="pct"/>
            <w:vMerge w:val="restart"/>
            <w:vAlign w:val="center"/>
          </w:tcPr>
          <w:p>
            <w:pPr>
              <w:pStyle w:val="42"/>
              <w:adjustRightInd w:val="0"/>
              <w:textAlignment w:val="baseline"/>
            </w:pPr>
            <w:r>
              <w:rPr>
                <w:rFonts w:hint="eastAsia"/>
              </w:rPr>
              <w:t>经度106.9816</w:t>
            </w:r>
          </w:p>
          <w:p>
            <w:pPr>
              <w:pStyle w:val="42"/>
              <w:adjustRightInd w:val="0"/>
              <w:textAlignment w:val="baseline"/>
            </w:pPr>
            <w:r>
              <w:rPr>
                <w:rFonts w:hint="eastAsia"/>
              </w:rPr>
              <w:t>纬度29.8365</w:t>
            </w:r>
          </w:p>
        </w:tc>
        <w:tc>
          <w:tcPr>
            <w:tcW w:w="448" w:type="pct"/>
            <w:vMerge w:val="restart"/>
            <w:vAlign w:val="center"/>
          </w:tcPr>
          <w:p>
            <w:pPr>
              <w:pStyle w:val="42"/>
              <w:adjustRightInd w:val="0"/>
              <w:textAlignment w:val="baseline"/>
            </w:pPr>
            <w:r>
              <w:rPr>
                <w:rFonts w:hint="eastAsia"/>
              </w:rPr>
              <w:t>占地范围内、柱状样点</w:t>
            </w:r>
          </w:p>
        </w:tc>
        <w:tc>
          <w:tcPr>
            <w:tcW w:w="253" w:type="pct"/>
            <w:vAlign w:val="center"/>
          </w:tcPr>
          <w:p>
            <w:pPr>
              <w:pStyle w:val="42"/>
              <w:adjustRightInd w:val="0"/>
              <w:textAlignment w:val="baseline"/>
            </w:pPr>
            <w:r>
              <w:rPr>
                <w:rFonts w:hint="eastAsia"/>
              </w:rPr>
              <w:t>T-8</w:t>
            </w:r>
          </w:p>
        </w:tc>
        <w:tc>
          <w:tcPr>
            <w:tcW w:w="349" w:type="pct"/>
            <w:vAlign w:val="center"/>
          </w:tcPr>
          <w:p>
            <w:pPr>
              <w:pStyle w:val="42"/>
              <w:adjustRightInd w:val="0"/>
              <w:textAlignment w:val="baseline"/>
              <w:rPr>
                <w:lang w:bidi="ar"/>
              </w:rPr>
            </w:pPr>
            <w:r>
              <w:rPr>
                <w:rFonts w:hint="eastAsia"/>
                <w:lang w:bidi="ar"/>
              </w:rPr>
              <w:t>10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T-9</w:t>
            </w:r>
          </w:p>
        </w:tc>
        <w:tc>
          <w:tcPr>
            <w:tcW w:w="349" w:type="pct"/>
            <w:vAlign w:val="center"/>
          </w:tcPr>
          <w:p>
            <w:pPr>
              <w:pStyle w:val="42"/>
              <w:adjustRightInd w:val="0"/>
              <w:textAlignment w:val="baseline"/>
              <w:rPr>
                <w:lang w:bidi="ar"/>
              </w:rPr>
            </w:pPr>
            <w:r>
              <w:rPr>
                <w:rFonts w:hint="eastAsia"/>
                <w:lang w:bidi="ar"/>
              </w:rPr>
              <w:t>50</w:t>
            </w:r>
          </w:p>
        </w:tc>
        <w:tc>
          <w:tcPr>
            <w:tcW w:w="2762" w:type="pct"/>
            <w:vMerge w:val="continue"/>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pPr>
              <w:pStyle w:val="42"/>
              <w:adjustRightInd w:val="0"/>
              <w:textAlignment w:val="baseline"/>
            </w:pPr>
          </w:p>
        </w:tc>
        <w:tc>
          <w:tcPr>
            <w:tcW w:w="702" w:type="pct"/>
            <w:vMerge w:val="continue"/>
            <w:vAlign w:val="center"/>
          </w:tcPr>
          <w:p>
            <w:pPr>
              <w:pStyle w:val="42"/>
              <w:adjustRightInd w:val="0"/>
              <w:textAlignment w:val="baseline"/>
            </w:pPr>
          </w:p>
        </w:tc>
        <w:tc>
          <w:tcPr>
            <w:tcW w:w="448" w:type="pct"/>
            <w:vMerge w:val="continue"/>
            <w:vAlign w:val="center"/>
          </w:tcPr>
          <w:p>
            <w:pPr>
              <w:pStyle w:val="42"/>
              <w:adjustRightInd w:val="0"/>
              <w:textAlignment w:val="baseline"/>
            </w:pPr>
          </w:p>
        </w:tc>
        <w:tc>
          <w:tcPr>
            <w:tcW w:w="253" w:type="pct"/>
            <w:vAlign w:val="center"/>
          </w:tcPr>
          <w:p>
            <w:pPr>
              <w:pStyle w:val="42"/>
              <w:adjustRightInd w:val="0"/>
              <w:textAlignment w:val="baseline"/>
            </w:pPr>
            <w:r>
              <w:rPr>
                <w:rFonts w:hint="eastAsia"/>
              </w:rPr>
              <w:t>T-10</w:t>
            </w:r>
          </w:p>
        </w:tc>
        <w:tc>
          <w:tcPr>
            <w:tcW w:w="349" w:type="pct"/>
            <w:vAlign w:val="center"/>
          </w:tcPr>
          <w:p>
            <w:pPr>
              <w:pStyle w:val="42"/>
              <w:adjustRightInd w:val="0"/>
              <w:textAlignment w:val="baseline"/>
              <w:rPr>
                <w:lang w:bidi="ar"/>
              </w:rPr>
            </w:pPr>
            <w:r>
              <w:rPr>
                <w:rFonts w:hint="eastAsia"/>
                <w:lang w:bidi="ar"/>
              </w:rPr>
              <w:t>150</w:t>
            </w:r>
          </w:p>
        </w:tc>
        <w:tc>
          <w:tcPr>
            <w:tcW w:w="2762" w:type="pct"/>
            <w:vMerge w:val="continue"/>
            <w:vAlign w:val="center"/>
          </w:tcPr>
          <w:p>
            <w:pPr>
              <w:pStyle w:val="42"/>
              <w:adjustRightInd w:val="0"/>
              <w:textAlignment w:val="baseline"/>
            </w:pPr>
          </w:p>
        </w:tc>
      </w:tr>
    </w:tbl>
    <w:p>
      <w:pPr>
        <w:pStyle w:val="41"/>
      </w:pPr>
      <w:r>
        <w:rPr>
          <w:rFonts w:hint="eastAsia"/>
        </w:rPr>
        <w:t>表4.4-10 土壤环境质量现状调查引用资料情况</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545"/>
        <w:gridCol w:w="1432"/>
        <w:gridCol w:w="1840"/>
        <w:gridCol w:w="1987"/>
        <w:gridCol w:w="1559"/>
        <w:gridCol w:w="4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Align w:val="center"/>
          </w:tcPr>
          <w:p>
            <w:pPr>
              <w:pStyle w:val="42"/>
              <w:adjustRightInd w:val="0"/>
              <w:textAlignment w:val="baseline"/>
            </w:pPr>
            <w:r>
              <w:rPr>
                <w:rFonts w:hint="eastAsia"/>
              </w:rPr>
              <w:t>引用监测报告中对应编号</w:t>
            </w:r>
          </w:p>
        </w:tc>
        <w:tc>
          <w:tcPr>
            <w:tcW w:w="545" w:type="pct"/>
            <w:vAlign w:val="center"/>
          </w:tcPr>
          <w:p>
            <w:pPr>
              <w:pStyle w:val="42"/>
              <w:adjustRightInd w:val="0"/>
              <w:textAlignment w:val="baseline"/>
            </w:pPr>
            <w:r>
              <w:rPr>
                <w:rFonts w:hint="eastAsia"/>
              </w:rPr>
              <w:t>监测报告编号</w:t>
            </w:r>
          </w:p>
        </w:tc>
        <w:tc>
          <w:tcPr>
            <w:tcW w:w="505" w:type="pct"/>
            <w:vAlign w:val="center"/>
          </w:tcPr>
          <w:p>
            <w:pPr>
              <w:pStyle w:val="42"/>
              <w:adjustRightInd w:val="0"/>
              <w:textAlignment w:val="baseline"/>
            </w:pPr>
            <w:r>
              <w:rPr>
                <w:rFonts w:hint="eastAsia"/>
              </w:rPr>
              <w:t>采样时间</w:t>
            </w:r>
          </w:p>
        </w:tc>
        <w:tc>
          <w:tcPr>
            <w:tcW w:w="649" w:type="pct"/>
            <w:vAlign w:val="center"/>
          </w:tcPr>
          <w:p>
            <w:pPr>
              <w:pStyle w:val="42"/>
              <w:adjustRightInd w:val="0"/>
              <w:textAlignment w:val="baseline"/>
            </w:pPr>
            <w:r>
              <w:rPr>
                <w:rFonts w:hint="eastAsia"/>
              </w:rPr>
              <w:t>监测点坐标</w:t>
            </w:r>
          </w:p>
        </w:tc>
        <w:tc>
          <w:tcPr>
            <w:tcW w:w="701" w:type="pct"/>
            <w:vAlign w:val="center"/>
          </w:tcPr>
          <w:p>
            <w:pPr>
              <w:pStyle w:val="42"/>
              <w:adjustRightInd w:val="0"/>
              <w:textAlignment w:val="baseline"/>
            </w:pPr>
            <w:r>
              <w:rPr>
                <w:rFonts w:hint="eastAsia"/>
              </w:rPr>
              <w:t>相对方位及距离</w:t>
            </w:r>
          </w:p>
        </w:tc>
        <w:tc>
          <w:tcPr>
            <w:tcW w:w="550" w:type="pct"/>
            <w:vAlign w:val="center"/>
          </w:tcPr>
          <w:p>
            <w:pPr>
              <w:pStyle w:val="42"/>
              <w:adjustRightInd w:val="0"/>
              <w:textAlignment w:val="baseline"/>
            </w:pPr>
            <w:r>
              <w:rPr>
                <w:rFonts w:hint="eastAsia"/>
              </w:rPr>
              <w:t>监测点类型</w:t>
            </w:r>
          </w:p>
        </w:tc>
        <w:tc>
          <w:tcPr>
            <w:tcW w:w="1512" w:type="pct"/>
            <w:vAlign w:val="center"/>
          </w:tcPr>
          <w:p>
            <w:pPr>
              <w:pStyle w:val="42"/>
              <w:adjustRightInd w:val="0"/>
              <w:textAlignment w:val="baseline"/>
            </w:pPr>
            <w:r>
              <w:rPr>
                <w:rFonts w:hint="eastAsia"/>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538" w:type="pct"/>
            <w:vAlign w:val="center"/>
          </w:tcPr>
          <w:p>
            <w:pPr>
              <w:pStyle w:val="42"/>
              <w:adjustRightInd w:val="0"/>
              <w:textAlignment w:val="baseline"/>
            </w:pPr>
            <w:r>
              <w:rPr>
                <w:rFonts w:hint="eastAsia"/>
              </w:rPr>
              <w:t>4#</w:t>
            </w:r>
          </w:p>
        </w:tc>
        <w:tc>
          <w:tcPr>
            <w:tcW w:w="545" w:type="pct"/>
            <w:vMerge w:val="restart"/>
            <w:vAlign w:val="center"/>
          </w:tcPr>
          <w:p>
            <w:pPr>
              <w:pStyle w:val="42"/>
              <w:adjustRightInd w:val="0"/>
              <w:textAlignment w:val="baseline"/>
            </w:pPr>
            <w:r>
              <w:rPr>
                <w:rFonts w:hint="eastAsia"/>
              </w:rPr>
              <w:t>渝环（监）字【2020】第PJ1-5</w:t>
            </w:r>
          </w:p>
        </w:tc>
        <w:tc>
          <w:tcPr>
            <w:tcW w:w="505" w:type="pct"/>
            <w:vAlign w:val="center"/>
          </w:tcPr>
          <w:p>
            <w:pPr>
              <w:pStyle w:val="42"/>
              <w:adjustRightInd w:val="0"/>
              <w:textAlignment w:val="baseline"/>
            </w:pPr>
            <w:r>
              <w:rPr>
                <w:rFonts w:hint="eastAsia"/>
              </w:rPr>
              <w:t>2020.4.21</w:t>
            </w:r>
          </w:p>
        </w:tc>
        <w:tc>
          <w:tcPr>
            <w:tcW w:w="649" w:type="pct"/>
            <w:vAlign w:val="center"/>
          </w:tcPr>
          <w:p>
            <w:pPr>
              <w:pStyle w:val="42"/>
              <w:adjustRightInd w:val="0"/>
              <w:textAlignment w:val="baseline"/>
            </w:pPr>
            <w:r>
              <w:rPr>
                <w:rFonts w:hint="eastAsia"/>
              </w:rPr>
              <w:t>经度106.9854</w:t>
            </w:r>
          </w:p>
          <w:p>
            <w:pPr>
              <w:pStyle w:val="42"/>
              <w:adjustRightInd w:val="0"/>
              <w:textAlignment w:val="baseline"/>
            </w:pPr>
            <w:r>
              <w:rPr>
                <w:rFonts w:hint="eastAsia"/>
              </w:rPr>
              <w:t>纬度29.8451</w:t>
            </w:r>
          </w:p>
        </w:tc>
        <w:tc>
          <w:tcPr>
            <w:tcW w:w="701" w:type="pct"/>
            <w:vAlign w:val="center"/>
          </w:tcPr>
          <w:p>
            <w:pPr>
              <w:pStyle w:val="42"/>
              <w:adjustRightInd w:val="0"/>
              <w:textAlignment w:val="baseline"/>
            </w:pPr>
            <w:r>
              <w:rPr>
                <w:rFonts w:hint="eastAsia"/>
              </w:rPr>
              <w:t>N，1400m</w:t>
            </w:r>
          </w:p>
        </w:tc>
        <w:tc>
          <w:tcPr>
            <w:tcW w:w="550" w:type="pct"/>
            <w:vMerge w:val="restart"/>
            <w:vAlign w:val="center"/>
          </w:tcPr>
          <w:p>
            <w:pPr>
              <w:pStyle w:val="42"/>
              <w:adjustRightInd w:val="0"/>
              <w:textAlignment w:val="baseline"/>
            </w:pPr>
            <w:r>
              <w:rPr>
                <w:rFonts w:hint="eastAsia"/>
              </w:rPr>
              <w:t>占地范围外、表层样点</w:t>
            </w:r>
          </w:p>
        </w:tc>
        <w:tc>
          <w:tcPr>
            <w:tcW w:w="1512" w:type="pct"/>
            <w:vMerge w:val="restart"/>
            <w:vAlign w:val="center"/>
          </w:tcPr>
          <w:p>
            <w:pPr>
              <w:pStyle w:val="42"/>
              <w:adjustRightInd w:val="0"/>
              <w:textAlignment w:val="baseline"/>
            </w:pPr>
            <w:r>
              <w:rPr>
                <w:rFonts w:hint="eastAsia"/>
              </w:rPr>
              <w:t>GB36600表1基本项目：重金属和无机物7项（砷、镉、铬（六价）、铜、铅、汞、镍）、挥发性有机物27项、半挥发性有机物11项，共计45项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pct"/>
            <w:vAlign w:val="center"/>
          </w:tcPr>
          <w:p>
            <w:pPr>
              <w:pStyle w:val="42"/>
              <w:adjustRightInd w:val="0"/>
              <w:textAlignment w:val="baseline"/>
            </w:pPr>
            <w:r>
              <w:rPr>
                <w:rFonts w:hint="eastAsia"/>
              </w:rPr>
              <w:t>5#</w:t>
            </w:r>
          </w:p>
        </w:tc>
        <w:tc>
          <w:tcPr>
            <w:tcW w:w="545" w:type="pct"/>
            <w:vMerge w:val="continue"/>
            <w:vAlign w:val="center"/>
          </w:tcPr>
          <w:p>
            <w:pPr>
              <w:pStyle w:val="42"/>
              <w:adjustRightInd w:val="0"/>
              <w:textAlignment w:val="baseline"/>
            </w:pPr>
          </w:p>
        </w:tc>
        <w:tc>
          <w:tcPr>
            <w:tcW w:w="505" w:type="pct"/>
            <w:vAlign w:val="center"/>
          </w:tcPr>
          <w:p>
            <w:pPr>
              <w:pStyle w:val="42"/>
              <w:adjustRightInd w:val="0"/>
              <w:textAlignment w:val="baseline"/>
            </w:pPr>
            <w:r>
              <w:rPr>
                <w:rFonts w:hint="eastAsia"/>
              </w:rPr>
              <w:t>2020.4.21</w:t>
            </w:r>
          </w:p>
        </w:tc>
        <w:tc>
          <w:tcPr>
            <w:tcW w:w="649" w:type="pct"/>
            <w:vAlign w:val="center"/>
          </w:tcPr>
          <w:p>
            <w:pPr>
              <w:pStyle w:val="42"/>
              <w:adjustRightInd w:val="0"/>
              <w:textAlignment w:val="baseline"/>
            </w:pPr>
            <w:r>
              <w:rPr>
                <w:rFonts w:hint="eastAsia"/>
              </w:rPr>
              <w:t>经度106.9822</w:t>
            </w:r>
          </w:p>
          <w:p>
            <w:pPr>
              <w:pStyle w:val="42"/>
              <w:adjustRightInd w:val="0"/>
              <w:textAlignment w:val="baseline"/>
            </w:pPr>
            <w:r>
              <w:rPr>
                <w:rFonts w:hint="eastAsia"/>
              </w:rPr>
              <w:t>纬度29.8278</w:t>
            </w:r>
          </w:p>
        </w:tc>
        <w:tc>
          <w:tcPr>
            <w:tcW w:w="701" w:type="pct"/>
            <w:vAlign w:val="center"/>
          </w:tcPr>
          <w:p>
            <w:pPr>
              <w:pStyle w:val="42"/>
              <w:adjustRightInd w:val="0"/>
              <w:textAlignment w:val="baseline"/>
            </w:pPr>
            <w:r>
              <w:rPr>
                <w:rFonts w:hint="eastAsia"/>
              </w:rPr>
              <w:t>S，1000m</w:t>
            </w:r>
          </w:p>
        </w:tc>
        <w:tc>
          <w:tcPr>
            <w:tcW w:w="550" w:type="pct"/>
            <w:vMerge w:val="continue"/>
          </w:tcPr>
          <w:p>
            <w:pPr>
              <w:pStyle w:val="42"/>
              <w:adjustRightInd w:val="0"/>
              <w:textAlignment w:val="baseline"/>
            </w:pPr>
          </w:p>
        </w:tc>
        <w:tc>
          <w:tcPr>
            <w:tcW w:w="1512" w:type="pct"/>
            <w:vMerge w:val="continue"/>
          </w:tcPr>
          <w:p>
            <w:pPr>
              <w:pStyle w:val="42"/>
              <w:adjustRightInd w:val="0"/>
              <w:textAlignment w:val="baseline"/>
            </w:pPr>
          </w:p>
        </w:tc>
      </w:tr>
    </w:tbl>
    <w:p>
      <w:pPr>
        <w:pStyle w:val="41"/>
      </w:pPr>
      <w:r>
        <w:rPr>
          <w:rFonts w:hint="eastAsia"/>
        </w:rPr>
        <w:t>表4.4-11  土壤环境质量现状监测及评价</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3"/>
        <w:gridCol w:w="667"/>
        <w:gridCol w:w="490"/>
        <w:gridCol w:w="1684"/>
        <w:gridCol w:w="695"/>
        <w:gridCol w:w="774"/>
        <w:gridCol w:w="774"/>
        <w:gridCol w:w="774"/>
        <w:gridCol w:w="774"/>
        <w:gridCol w:w="734"/>
        <w:gridCol w:w="734"/>
        <w:gridCol w:w="734"/>
        <w:gridCol w:w="734"/>
        <w:gridCol w:w="734"/>
        <w:gridCol w:w="765"/>
        <w:gridCol w:w="824"/>
        <w:gridCol w:w="824"/>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10" w:type="pct"/>
            <w:gridSpan w:val="2"/>
            <w:vMerge w:val="restart"/>
            <w:vAlign w:val="center"/>
          </w:tcPr>
          <w:p>
            <w:pPr>
              <w:pStyle w:val="42"/>
              <w:rPr>
                <w:sz w:val="18"/>
                <w:szCs w:val="18"/>
                <w:lang w:val="zh-CN"/>
              </w:rPr>
            </w:pPr>
            <w:r>
              <w:rPr>
                <w:sz w:val="18"/>
                <w:szCs w:val="18"/>
                <w:lang w:val="zh-CN"/>
              </w:rPr>
              <w:t>污染物类别</w:t>
            </w:r>
          </w:p>
        </w:tc>
        <w:tc>
          <w:tcPr>
            <w:tcW w:w="175" w:type="pct"/>
            <w:vMerge w:val="restart"/>
            <w:vAlign w:val="center"/>
          </w:tcPr>
          <w:p>
            <w:pPr>
              <w:pStyle w:val="42"/>
              <w:rPr>
                <w:sz w:val="18"/>
                <w:szCs w:val="18"/>
                <w:lang w:val="zh-CN"/>
              </w:rPr>
            </w:pPr>
            <w:r>
              <w:rPr>
                <w:sz w:val="18"/>
                <w:szCs w:val="18"/>
                <w:lang w:val="zh-CN"/>
              </w:rPr>
              <w:t>序号</w:t>
            </w:r>
          </w:p>
        </w:tc>
        <w:tc>
          <w:tcPr>
            <w:tcW w:w="601" w:type="pct"/>
            <w:vMerge w:val="restart"/>
            <w:vAlign w:val="center"/>
          </w:tcPr>
          <w:p>
            <w:pPr>
              <w:pStyle w:val="42"/>
              <w:rPr>
                <w:kern w:val="0"/>
                <w:sz w:val="18"/>
                <w:szCs w:val="18"/>
              </w:rPr>
            </w:pPr>
            <w:r>
              <w:rPr>
                <w:sz w:val="18"/>
                <w:szCs w:val="18"/>
                <w:lang w:val="zh-CN"/>
              </w:rPr>
              <w:t>污染物项目</w:t>
            </w:r>
          </w:p>
        </w:tc>
        <w:tc>
          <w:tcPr>
            <w:tcW w:w="248" w:type="pct"/>
            <w:vMerge w:val="restart"/>
            <w:vAlign w:val="center"/>
          </w:tcPr>
          <w:p>
            <w:pPr>
              <w:pStyle w:val="42"/>
              <w:rPr>
                <w:kern w:val="0"/>
                <w:sz w:val="18"/>
                <w:szCs w:val="18"/>
              </w:rPr>
            </w:pPr>
            <w:r>
              <w:rPr>
                <w:kern w:val="0"/>
                <w:sz w:val="18"/>
                <w:szCs w:val="18"/>
              </w:rPr>
              <w:t>单位</w:t>
            </w:r>
          </w:p>
        </w:tc>
        <w:tc>
          <w:tcPr>
            <w:tcW w:w="3275" w:type="pct"/>
            <w:gridSpan w:val="12"/>
            <w:vAlign w:val="center"/>
          </w:tcPr>
          <w:p>
            <w:pPr>
              <w:pStyle w:val="42"/>
              <w:rPr>
                <w:kern w:val="0"/>
                <w:sz w:val="18"/>
                <w:szCs w:val="18"/>
              </w:rPr>
            </w:pPr>
            <w:r>
              <w:rPr>
                <w:sz w:val="18"/>
                <w:szCs w:val="18"/>
                <w:lang w:val="zh-CN"/>
              </w:rPr>
              <w:t>监测</w:t>
            </w:r>
            <w:r>
              <w:rPr>
                <w:kern w:val="0"/>
                <w:sz w:val="18"/>
                <w:szCs w:val="18"/>
              </w:rPr>
              <w:t>结果</w:t>
            </w:r>
          </w:p>
        </w:tc>
        <w:tc>
          <w:tcPr>
            <w:tcW w:w="291" w:type="pct"/>
            <w:vAlign w:val="center"/>
          </w:tcPr>
          <w:p>
            <w:pPr>
              <w:pStyle w:val="42"/>
              <w:rPr>
                <w:kern w:val="0"/>
                <w:sz w:val="18"/>
                <w:szCs w:val="18"/>
              </w:rPr>
            </w:pPr>
            <w:r>
              <w:rPr>
                <w:kern w:val="0"/>
                <w:sz w:val="18"/>
                <w:szCs w:val="18"/>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10" w:type="pct"/>
            <w:gridSpan w:val="2"/>
            <w:vMerge w:val="continue"/>
            <w:vAlign w:val="center"/>
          </w:tcPr>
          <w:p>
            <w:pPr>
              <w:pStyle w:val="42"/>
              <w:rPr>
                <w:sz w:val="18"/>
                <w:szCs w:val="18"/>
                <w:lang w:val="zh-CN"/>
              </w:rPr>
            </w:pPr>
          </w:p>
        </w:tc>
        <w:tc>
          <w:tcPr>
            <w:tcW w:w="175" w:type="pct"/>
            <w:vMerge w:val="continue"/>
            <w:vAlign w:val="center"/>
          </w:tcPr>
          <w:p>
            <w:pPr>
              <w:pStyle w:val="42"/>
              <w:rPr>
                <w:sz w:val="18"/>
                <w:szCs w:val="18"/>
                <w:lang w:val="zh-CN"/>
              </w:rPr>
            </w:pPr>
          </w:p>
        </w:tc>
        <w:tc>
          <w:tcPr>
            <w:tcW w:w="601" w:type="pct"/>
            <w:vMerge w:val="continue"/>
            <w:vAlign w:val="center"/>
          </w:tcPr>
          <w:p>
            <w:pPr>
              <w:pStyle w:val="42"/>
              <w:rPr>
                <w:kern w:val="0"/>
                <w:sz w:val="18"/>
                <w:szCs w:val="18"/>
              </w:rPr>
            </w:pPr>
          </w:p>
        </w:tc>
        <w:tc>
          <w:tcPr>
            <w:tcW w:w="248" w:type="pct"/>
            <w:vMerge w:val="continue"/>
            <w:vAlign w:val="center"/>
          </w:tcPr>
          <w:p>
            <w:pPr>
              <w:pStyle w:val="42"/>
              <w:rPr>
                <w:kern w:val="0"/>
                <w:sz w:val="18"/>
                <w:szCs w:val="18"/>
              </w:rPr>
            </w:pPr>
          </w:p>
        </w:tc>
        <w:tc>
          <w:tcPr>
            <w:tcW w:w="276" w:type="pct"/>
            <w:vAlign w:val="center"/>
          </w:tcPr>
          <w:p>
            <w:pPr>
              <w:pStyle w:val="42"/>
              <w:rPr>
                <w:kern w:val="0"/>
                <w:sz w:val="18"/>
                <w:szCs w:val="18"/>
              </w:rPr>
            </w:pPr>
            <w:r>
              <w:rPr>
                <w:rFonts w:hint="eastAsia"/>
                <w:kern w:val="0"/>
                <w:sz w:val="18"/>
                <w:szCs w:val="18"/>
              </w:rPr>
              <w:t>T-1</w:t>
            </w:r>
          </w:p>
        </w:tc>
        <w:tc>
          <w:tcPr>
            <w:tcW w:w="276" w:type="pct"/>
            <w:vAlign w:val="center"/>
          </w:tcPr>
          <w:p>
            <w:pPr>
              <w:pStyle w:val="42"/>
              <w:rPr>
                <w:sz w:val="18"/>
                <w:szCs w:val="18"/>
              </w:rPr>
            </w:pPr>
            <w:r>
              <w:rPr>
                <w:rFonts w:hint="eastAsia"/>
                <w:sz w:val="18"/>
                <w:szCs w:val="18"/>
              </w:rPr>
              <w:t>T-2</w:t>
            </w:r>
          </w:p>
        </w:tc>
        <w:tc>
          <w:tcPr>
            <w:tcW w:w="276" w:type="pct"/>
            <w:vAlign w:val="center"/>
          </w:tcPr>
          <w:p>
            <w:pPr>
              <w:pStyle w:val="42"/>
              <w:rPr>
                <w:sz w:val="18"/>
                <w:szCs w:val="18"/>
              </w:rPr>
            </w:pPr>
            <w:r>
              <w:rPr>
                <w:rFonts w:hint="eastAsia"/>
                <w:sz w:val="18"/>
                <w:szCs w:val="18"/>
              </w:rPr>
              <w:t>T-3</w:t>
            </w:r>
          </w:p>
        </w:tc>
        <w:tc>
          <w:tcPr>
            <w:tcW w:w="276" w:type="pct"/>
            <w:vAlign w:val="center"/>
          </w:tcPr>
          <w:p>
            <w:pPr>
              <w:pStyle w:val="42"/>
              <w:rPr>
                <w:sz w:val="18"/>
                <w:szCs w:val="18"/>
              </w:rPr>
            </w:pPr>
            <w:r>
              <w:rPr>
                <w:rFonts w:hint="eastAsia"/>
                <w:sz w:val="18"/>
                <w:szCs w:val="18"/>
              </w:rPr>
              <w:t>T-4</w:t>
            </w:r>
          </w:p>
        </w:tc>
        <w:tc>
          <w:tcPr>
            <w:tcW w:w="262" w:type="pct"/>
            <w:vAlign w:val="center"/>
          </w:tcPr>
          <w:p>
            <w:pPr>
              <w:pStyle w:val="42"/>
              <w:rPr>
                <w:sz w:val="18"/>
                <w:szCs w:val="18"/>
              </w:rPr>
            </w:pPr>
            <w:r>
              <w:rPr>
                <w:rFonts w:hint="eastAsia"/>
                <w:sz w:val="18"/>
                <w:szCs w:val="18"/>
              </w:rPr>
              <w:t>T-5</w:t>
            </w:r>
          </w:p>
        </w:tc>
        <w:tc>
          <w:tcPr>
            <w:tcW w:w="262" w:type="pct"/>
            <w:vAlign w:val="center"/>
          </w:tcPr>
          <w:p>
            <w:pPr>
              <w:pStyle w:val="42"/>
              <w:rPr>
                <w:sz w:val="18"/>
                <w:szCs w:val="18"/>
              </w:rPr>
            </w:pPr>
            <w:r>
              <w:rPr>
                <w:rFonts w:hint="eastAsia"/>
                <w:sz w:val="18"/>
                <w:szCs w:val="18"/>
              </w:rPr>
              <w:t>T-6</w:t>
            </w:r>
          </w:p>
        </w:tc>
        <w:tc>
          <w:tcPr>
            <w:tcW w:w="262" w:type="pct"/>
            <w:vAlign w:val="center"/>
          </w:tcPr>
          <w:p>
            <w:pPr>
              <w:pStyle w:val="42"/>
              <w:rPr>
                <w:sz w:val="18"/>
                <w:szCs w:val="18"/>
              </w:rPr>
            </w:pPr>
            <w:r>
              <w:rPr>
                <w:rFonts w:hint="eastAsia"/>
                <w:sz w:val="18"/>
                <w:szCs w:val="18"/>
              </w:rPr>
              <w:t>T-7</w:t>
            </w:r>
          </w:p>
        </w:tc>
        <w:tc>
          <w:tcPr>
            <w:tcW w:w="262" w:type="pct"/>
            <w:vAlign w:val="center"/>
          </w:tcPr>
          <w:p>
            <w:pPr>
              <w:pStyle w:val="42"/>
              <w:rPr>
                <w:sz w:val="18"/>
                <w:szCs w:val="18"/>
              </w:rPr>
            </w:pPr>
            <w:r>
              <w:rPr>
                <w:rFonts w:hint="eastAsia"/>
                <w:sz w:val="18"/>
                <w:szCs w:val="18"/>
              </w:rPr>
              <w:t>T-8</w:t>
            </w:r>
          </w:p>
        </w:tc>
        <w:tc>
          <w:tcPr>
            <w:tcW w:w="262" w:type="pct"/>
            <w:vAlign w:val="center"/>
          </w:tcPr>
          <w:p>
            <w:pPr>
              <w:pStyle w:val="42"/>
              <w:rPr>
                <w:sz w:val="18"/>
                <w:szCs w:val="18"/>
              </w:rPr>
            </w:pPr>
            <w:r>
              <w:rPr>
                <w:rFonts w:hint="eastAsia"/>
                <w:sz w:val="18"/>
                <w:szCs w:val="18"/>
              </w:rPr>
              <w:t>T-9</w:t>
            </w:r>
          </w:p>
        </w:tc>
        <w:tc>
          <w:tcPr>
            <w:tcW w:w="273" w:type="pct"/>
            <w:vAlign w:val="center"/>
          </w:tcPr>
          <w:p>
            <w:pPr>
              <w:pStyle w:val="42"/>
              <w:rPr>
                <w:sz w:val="18"/>
                <w:szCs w:val="18"/>
              </w:rPr>
            </w:pPr>
            <w:r>
              <w:rPr>
                <w:rFonts w:hint="eastAsia"/>
                <w:sz w:val="18"/>
                <w:szCs w:val="18"/>
              </w:rPr>
              <w:t>T-10</w:t>
            </w:r>
          </w:p>
        </w:tc>
        <w:tc>
          <w:tcPr>
            <w:tcW w:w="294" w:type="pct"/>
            <w:vAlign w:val="center"/>
          </w:tcPr>
          <w:p>
            <w:pPr>
              <w:pStyle w:val="42"/>
              <w:rPr>
                <w:sz w:val="18"/>
                <w:szCs w:val="18"/>
                <w:lang w:val="zh-CN"/>
              </w:rPr>
            </w:pPr>
            <w:r>
              <w:rPr>
                <w:rFonts w:hint="eastAsia"/>
                <w:sz w:val="18"/>
                <w:szCs w:val="18"/>
                <w:lang w:val="zh-CN"/>
              </w:rPr>
              <w:t>T-11</w:t>
            </w:r>
          </w:p>
        </w:tc>
        <w:tc>
          <w:tcPr>
            <w:tcW w:w="294" w:type="pct"/>
            <w:vAlign w:val="center"/>
          </w:tcPr>
          <w:p>
            <w:pPr>
              <w:pStyle w:val="42"/>
              <w:rPr>
                <w:sz w:val="18"/>
                <w:szCs w:val="18"/>
                <w:lang w:val="zh-CN"/>
              </w:rPr>
            </w:pPr>
            <w:r>
              <w:rPr>
                <w:rFonts w:hint="eastAsia"/>
                <w:sz w:val="18"/>
                <w:szCs w:val="18"/>
                <w:lang w:val="zh-CN"/>
              </w:rPr>
              <w:t>T-12</w:t>
            </w:r>
          </w:p>
        </w:tc>
        <w:tc>
          <w:tcPr>
            <w:tcW w:w="291" w:type="pct"/>
            <w:vAlign w:val="center"/>
          </w:tcPr>
          <w:p>
            <w:pPr>
              <w:pStyle w:val="42"/>
              <w:rPr>
                <w:kern w:val="0"/>
                <w:sz w:val="18"/>
                <w:szCs w:val="18"/>
              </w:rPr>
            </w:pPr>
            <w:r>
              <w:rPr>
                <w:sz w:val="18"/>
                <w:szCs w:val="18"/>
                <w:lang w:val="zh-CN"/>
              </w:rPr>
              <w:t>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restart"/>
            <w:vAlign w:val="center"/>
          </w:tcPr>
          <w:p>
            <w:pPr>
              <w:pStyle w:val="42"/>
              <w:rPr>
                <w:sz w:val="18"/>
                <w:szCs w:val="18"/>
                <w:lang w:val="zh-CN"/>
              </w:rPr>
            </w:pPr>
            <w:r>
              <w:rPr>
                <w:sz w:val="18"/>
                <w:szCs w:val="18"/>
                <w:lang w:val="zh-CN"/>
              </w:rPr>
              <w:t>基本因子</w:t>
            </w:r>
          </w:p>
        </w:tc>
        <w:tc>
          <w:tcPr>
            <w:tcW w:w="238" w:type="pct"/>
            <w:vMerge w:val="restart"/>
            <w:vAlign w:val="center"/>
          </w:tcPr>
          <w:p>
            <w:pPr>
              <w:pStyle w:val="42"/>
              <w:rPr>
                <w:sz w:val="18"/>
                <w:szCs w:val="18"/>
                <w:lang w:val="zh-CN"/>
              </w:rPr>
            </w:pPr>
            <w:r>
              <w:rPr>
                <w:sz w:val="18"/>
                <w:szCs w:val="18"/>
              </w:rPr>
              <w:t>重金属和无机物</w:t>
            </w:r>
          </w:p>
        </w:tc>
        <w:tc>
          <w:tcPr>
            <w:tcW w:w="175" w:type="pct"/>
            <w:vAlign w:val="center"/>
          </w:tcPr>
          <w:p>
            <w:pPr>
              <w:pStyle w:val="42"/>
              <w:rPr>
                <w:sz w:val="18"/>
                <w:szCs w:val="18"/>
                <w:lang w:val="zh-CN"/>
              </w:rPr>
            </w:pPr>
            <w:r>
              <w:rPr>
                <w:sz w:val="18"/>
                <w:szCs w:val="18"/>
                <w:lang w:val="zh-CN"/>
              </w:rPr>
              <w:t>1</w:t>
            </w:r>
          </w:p>
        </w:tc>
        <w:tc>
          <w:tcPr>
            <w:tcW w:w="601" w:type="pct"/>
            <w:vAlign w:val="center"/>
          </w:tcPr>
          <w:p>
            <w:pPr>
              <w:pStyle w:val="42"/>
              <w:rPr>
                <w:sz w:val="18"/>
                <w:szCs w:val="18"/>
                <w:lang w:val="zh-CN"/>
              </w:rPr>
            </w:pPr>
            <w:r>
              <w:rPr>
                <w:sz w:val="18"/>
                <w:szCs w:val="18"/>
                <w:lang w:val="zh-CN"/>
              </w:rPr>
              <w:t>砷</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8.43</w:t>
            </w:r>
          </w:p>
        </w:tc>
        <w:tc>
          <w:tcPr>
            <w:tcW w:w="276" w:type="pct"/>
            <w:vAlign w:val="center"/>
          </w:tcPr>
          <w:p>
            <w:pPr>
              <w:pStyle w:val="42"/>
              <w:rPr>
                <w:sz w:val="18"/>
                <w:szCs w:val="18"/>
              </w:rPr>
            </w:pPr>
            <w:r>
              <w:rPr>
                <w:rFonts w:hint="eastAsia"/>
                <w:sz w:val="18"/>
                <w:szCs w:val="18"/>
              </w:rPr>
              <w:t>9.07</w:t>
            </w:r>
          </w:p>
        </w:tc>
        <w:tc>
          <w:tcPr>
            <w:tcW w:w="276" w:type="pct"/>
            <w:vAlign w:val="center"/>
          </w:tcPr>
          <w:p>
            <w:pPr>
              <w:pStyle w:val="42"/>
              <w:rPr>
                <w:sz w:val="18"/>
                <w:szCs w:val="18"/>
              </w:rPr>
            </w:pPr>
            <w:r>
              <w:rPr>
                <w:rFonts w:hint="eastAsia"/>
                <w:sz w:val="18"/>
                <w:szCs w:val="18"/>
              </w:rPr>
              <w:t>7.54</w:t>
            </w:r>
          </w:p>
        </w:tc>
        <w:tc>
          <w:tcPr>
            <w:tcW w:w="276" w:type="pct"/>
            <w:vAlign w:val="center"/>
          </w:tcPr>
          <w:p>
            <w:pPr>
              <w:pStyle w:val="42"/>
              <w:rPr>
                <w:sz w:val="18"/>
                <w:szCs w:val="18"/>
              </w:rPr>
            </w:pPr>
            <w:r>
              <w:rPr>
                <w:rFonts w:hint="eastAsia"/>
                <w:sz w:val="18"/>
                <w:szCs w:val="18"/>
              </w:rPr>
              <w:t>6.52</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3.10</w:t>
            </w:r>
          </w:p>
        </w:tc>
        <w:tc>
          <w:tcPr>
            <w:tcW w:w="294" w:type="pct"/>
            <w:vAlign w:val="center"/>
          </w:tcPr>
          <w:p>
            <w:pPr>
              <w:pStyle w:val="42"/>
              <w:rPr>
                <w:sz w:val="18"/>
                <w:szCs w:val="18"/>
                <w:lang w:val="zh-CN"/>
              </w:rPr>
            </w:pPr>
            <w:r>
              <w:rPr>
                <w:rFonts w:hint="eastAsia"/>
                <w:sz w:val="18"/>
                <w:szCs w:val="18"/>
                <w:lang w:val="zh-CN"/>
              </w:rPr>
              <w:t>1.88</w:t>
            </w:r>
          </w:p>
        </w:tc>
        <w:tc>
          <w:tcPr>
            <w:tcW w:w="291" w:type="pct"/>
            <w:vAlign w:val="center"/>
          </w:tcPr>
          <w:p>
            <w:pPr>
              <w:pStyle w:val="42"/>
              <w:rPr>
                <w:sz w:val="18"/>
                <w:szCs w:val="18"/>
                <w:lang w:val="zh-CN"/>
              </w:rPr>
            </w:pPr>
            <w:r>
              <w:rPr>
                <w:sz w:val="18"/>
                <w:szCs w:val="18"/>
                <w:lang w:val="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w:t>
            </w:r>
          </w:p>
        </w:tc>
        <w:tc>
          <w:tcPr>
            <w:tcW w:w="601" w:type="pct"/>
            <w:vAlign w:val="center"/>
          </w:tcPr>
          <w:p>
            <w:pPr>
              <w:pStyle w:val="42"/>
              <w:rPr>
                <w:sz w:val="18"/>
                <w:szCs w:val="18"/>
                <w:lang w:val="zh-CN"/>
              </w:rPr>
            </w:pPr>
            <w:r>
              <w:rPr>
                <w:sz w:val="18"/>
                <w:szCs w:val="18"/>
                <w:lang w:val="zh-CN"/>
              </w:rPr>
              <w:t>镉</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0.126</w:t>
            </w:r>
          </w:p>
        </w:tc>
        <w:tc>
          <w:tcPr>
            <w:tcW w:w="276" w:type="pct"/>
            <w:vAlign w:val="center"/>
          </w:tcPr>
          <w:p>
            <w:pPr>
              <w:pStyle w:val="42"/>
              <w:rPr>
                <w:sz w:val="18"/>
                <w:szCs w:val="18"/>
              </w:rPr>
            </w:pPr>
            <w:r>
              <w:rPr>
                <w:rFonts w:hint="eastAsia"/>
                <w:sz w:val="18"/>
                <w:szCs w:val="18"/>
              </w:rPr>
              <w:t>0.075</w:t>
            </w:r>
          </w:p>
        </w:tc>
        <w:tc>
          <w:tcPr>
            <w:tcW w:w="276" w:type="pct"/>
            <w:vAlign w:val="center"/>
          </w:tcPr>
          <w:p>
            <w:pPr>
              <w:pStyle w:val="42"/>
              <w:rPr>
                <w:sz w:val="18"/>
                <w:szCs w:val="18"/>
              </w:rPr>
            </w:pPr>
            <w:r>
              <w:rPr>
                <w:rFonts w:hint="eastAsia"/>
                <w:sz w:val="18"/>
                <w:szCs w:val="18"/>
              </w:rPr>
              <w:t>0.124</w:t>
            </w:r>
          </w:p>
        </w:tc>
        <w:tc>
          <w:tcPr>
            <w:tcW w:w="276" w:type="pct"/>
            <w:vAlign w:val="center"/>
          </w:tcPr>
          <w:p>
            <w:pPr>
              <w:pStyle w:val="42"/>
              <w:rPr>
                <w:sz w:val="18"/>
                <w:szCs w:val="18"/>
              </w:rPr>
            </w:pPr>
            <w:r>
              <w:rPr>
                <w:rFonts w:hint="eastAsia"/>
                <w:sz w:val="18"/>
                <w:szCs w:val="18"/>
              </w:rPr>
              <w:t>0.114</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0.01</w:t>
            </w:r>
          </w:p>
        </w:tc>
        <w:tc>
          <w:tcPr>
            <w:tcW w:w="294" w:type="pct"/>
            <w:vAlign w:val="center"/>
          </w:tcPr>
          <w:p>
            <w:pPr>
              <w:pStyle w:val="42"/>
              <w:rPr>
                <w:sz w:val="18"/>
                <w:szCs w:val="18"/>
                <w:lang w:val="zh-CN"/>
              </w:rPr>
            </w:pPr>
            <w:r>
              <w:rPr>
                <w:rFonts w:hint="eastAsia"/>
                <w:sz w:val="18"/>
                <w:szCs w:val="18"/>
                <w:lang w:val="zh-CN"/>
              </w:rPr>
              <w:t>0.15</w:t>
            </w:r>
          </w:p>
        </w:tc>
        <w:tc>
          <w:tcPr>
            <w:tcW w:w="291" w:type="pct"/>
            <w:vAlign w:val="center"/>
          </w:tcPr>
          <w:p>
            <w:pPr>
              <w:pStyle w:val="42"/>
              <w:rPr>
                <w:sz w:val="18"/>
                <w:szCs w:val="18"/>
                <w:lang w:val="zh-CN"/>
              </w:rPr>
            </w:pPr>
            <w:r>
              <w:rPr>
                <w:sz w:val="18"/>
                <w:szCs w:val="18"/>
                <w:lang w:val="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w:t>
            </w:r>
          </w:p>
        </w:tc>
        <w:tc>
          <w:tcPr>
            <w:tcW w:w="601" w:type="pct"/>
            <w:vAlign w:val="center"/>
          </w:tcPr>
          <w:p>
            <w:pPr>
              <w:pStyle w:val="42"/>
              <w:rPr>
                <w:sz w:val="18"/>
                <w:szCs w:val="18"/>
                <w:lang w:val="zh-CN"/>
              </w:rPr>
            </w:pPr>
            <w:r>
              <w:rPr>
                <w:sz w:val="18"/>
                <w:szCs w:val="18"/>
                <w:lang w:val="zh-CN"/>
              </w:rPr>
              <w:t>铬（六价）</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sz w:val="18"/>
                <w:szCs w:val="18"/>
              </w:rPr>
              <w:t>0.5L</w:t>
            </w:r>
          </w:p>
        </w:tc>
        <w:tc>
          <w:tcPr>
            <w:tcW w:w="276" w:type="pct"/>
            <w:vAlign w:val="center"/>
          </w:tcPr>
          <w:p>
            <w:pPr>
              <w:pStyle w:val="42"/>
              <w:rPr>
                <w:sz w:val="18"/>
                <w:szCs w:val="18"/>
              </w:rPr>
            </w:pPr>
            <w:r>
              <w:rPr>
                <w:sz w:val="18"/>
                <w:szCs w:val="18"/>
              </w:rPr>
              <w:t>0.5L</w:t>
            </w:r>
          </w:p>
        </w:tc>
        <w:tc>
          <w:tcPr>
            <w:tcW w:w="276" w:type="pct"/>
            <w:vAlign w:val="center"/>
          </w:tcPr>
          <w:p>
            <w:pPr>
              <w:pStyle w:val="42"/>
              <w:rPr>
                <w:sz w:val="18"/>
                <w:szCs w:val="18"/>
              </w:rPr>
            </w:pPr>
            <w:r>
              <w:rPr>
                <w:sz w:val="18"/>
                <w:szCs w:val="18"/>
              </w:rPr>
              <w:t>0.5L</w:t>
            </w:r>
          </w:p>
        </w:tc>
        <w:tc>
          <w:tcPr>
            <w:tcW w:w="276" w:type="pct"/>
            <w:vAlign w:val="center"/>
          </w:tcPr>
          <w:p>
            <w:pPr>
              <w:pStyle w:val="42"/>
              <w:rPr>
                <w:sz w:val="18"/>
                <w:szCs w:val="18"/>
              </w:rPr>
            </w:pPr>
            <w:r>
              <w:rPr>
                <w:sz w:val="18"/>
                <w:szCs w:val="18"/>
              </w:rPr>
              <w:t>0.5L</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2.00L</w:t>
            </w:r>
          </w:p>
        </w:tc>
        <w:tc>
          <w:tcPr>
            <w:tcW w:w="294" w:type="pct"/>
            <w:vAlign w:val="center"/>
          </w:tcPr>
          <w:p>
            <w:pPr>
              <w:pStyle w:val="42"/>
              <w:rPr>
                <w:sz w:val="18"/>
                <w:szCs w:val="18"/>
                <w:lang w:val="zh-CN"/>
              </w:rPr>
            </w:pPr>
            <w:r>
              <w:rPr>
                <w:rFonts w:hint="eastAsia"/>
                <w:sz w:val="18"/>
                <w:szCs w:val="18"/>
                <w:lang w:val="zh-CN"/>
              </w:rPr>
              <w:t>2.00L</w:t>
            </w:r>
          </w:p>
        </w:tc>
        <w:tc>
          <w:tcPr>
            <w:tcW w:w="291" w:type="pct"/>
            <w:vAlign w:val="center"/>
          </w:tcPr>
          <w:p>
            <w:pPr>
              <w:pStyle w:val="42"/>
              <w:rPr>
                <w:sz w:val="18"/>
                <w:szCs w:val="18"/>
                <w:lang w:val="zh-CN"/>
              </w:rPr>
            </w:pPr>
            <w:r>
              <w:rPr>
                <w:sz w:val="18"/>
                <w:szCs w:val="18"/>
                <w:lang w:val="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w:t>
            </w:r>
          </w:p>
        </w:tc>
        <w:tc>
          <w:tcPr>
            <w:tcW w:w="601" w:type="pct"/>
            <w:vAlign w:val="center"/>
          </w:tcPr>
          <w:p>
            <w:pPr>
              <w:pStyle w:val="42"/>
              <w:rPr>
                <w:sz w:val="18"/>
                <w:szCs w:val="18"/>
                <w:lang w:val="zh-CN"/>
              </w:rPr>
            </w:pPr>
            <w:r>
              <w:rPr>
                <w:sz w:val="18"/>
                <w:szCs w:val="18"/>
                <w:lang w:val="zh-CN"/>
              </w:rPr>
              <w:t>铜</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123</w:t>
            </w:r>
          </w:p>
        </w:tc>
        <w:tc>
          <w:tcPr>
            <w:tcW w:w="276" w:type="pct"/>
            <w:vAlign w:val="center"/>
          </w:tcPr>
          <w:p>
            <w:pPr>
              <w:pStyle w:val="42"/>
              <w:rPr>
                <w:sz w:val="18"/>
                <w:szCs w:val="18"/>
              </w:rPr>
            </w:pPr>
            <w:r>
              <w:rPr>
                <w:rFonts w:hint="eastAsia"/>
                <w:sz w:val="18"/>
                <w:szCs w:val="18"/>
              </w:rPr>
              <w:t>133</w:t>
            </w:r>
          </w:p>
        </w:tc>
        <w:tc>
          <w:tcPr>
            <w:tcW w:w="276" w:type="pct"/>
            <w:vAlign w:val="center"/>
          </w:tcPr>
          <w:p>
            <w:pPr>
              <w:pStyle w:val="42"/>
              <w:rPr>
                <w:sz w:val="18"/>
                <w:szCs w:val="18"/>
              </w:rPr>
            </w:pPr>
            <w:r>
              <w:rPr>
                <w:rFonts w:hint="eastAsia"/>
                <w:sz w:val="18"/>
                <w:szCs w:val="18"/>
              </w:rPr>
              <w:t>179</w:t>
            </w:r>
          </w:p>
        </w:tc>
        <w:tc>
          <w:tcPr>
            <w:tcW w:w="276" w:type="pct"/>
            <w:vAlign w:val="center"/>
          </w:tcPr>
          <w:p>
            <w:pPr>
              <w:pStyle w:val="42"/>
              <w:rPr>
                <w:sz w:val="18"/>
                <w:szCs w:val="18"/>
              </w:rPr>
            </w:pPr>
            <w:r>
              <w:rPr>
                <w:rFonts w:hint="eastAsia"/>
                <w:sz w:val="18"/>
                <w:szCs w:val="18"/>
              </w:rPr>
              <w:t>156</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21</w:t>
            </w:r>
          </w:p>
        </w:tc>
        <w:tc>
          <w:tcPr>
            <w:tcW w:w="294" w:type="pct"/>
            <w:vAlign w:val="center"/>
          </w:tcPr>
          <w:p>
            <w:pPr>
              <w:pStyle w:val="42"/>
              <w:rPr>
                <w:sz w:val="18"/>
                <w:szCs w:val="18"/>
                <w:lang w:val="zh-CN"/>
              </w:rPr>
            </w:pPr>
            <w:r>
              <w:rPr>
                <w:rFonts w:hint="eastAsia"/>
                <w:sz w:val="18"/>
                <w:szCs w:val="18"/>
                <w:lang w:val="zh-CN"/>
              </w:rPr>
              <w:t>14</w:t>
            </w:r>
          </w:p>
        </w:tc>
        <w:tc>
          <w:tcPr>
            <w:tcW w:w="291" w:type="pct"/>
            <w:vAlign w:val="center"/>
          </w:tcPr>
          <w:p>
            <w:pPr>
              <w:pStyle w:val="42"/>
              <w:rPr>
                <w:sz w:val="18"/>
                <w:szCs w:val="18"/>
                <w:lang w:val="zh-CN"/>
              </w:rPr>
            </w:pPr>
            <w:r>
              <w:rPr>
                <w:sz w:val="18"/>
                <w:szCs w:val="18"/>
                <w:lang w:val="zh-C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5</w:t>
            </w:r>
          </w:p>
        </w:tc>
        <w:tc>
          <w:tcPr>
            <w:tcW w:w="601" w:type="pct"/>
            <w:vAlign w:val="center"/>
          </w:tcPr>
          <w:p>
            <w:pPr>
              <w:pStyle w:val="42"/>
              <w:rPr>
                <w:sz w:val="18"/>
                <w:szCs w:val="18"/>
                <w:lang w:val="zh-CN"/>
              </w:rPr>
            </w:pPr>
            <w:r>
              <w:rPr>
                <w:sz w:val="18"/>
                <w:szCs w:val="18"/>
                <w:lang w:val="zh-CN"/>
              </w:rPr>
              <w:t>铅</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23.2</w:t>
            </w:r>
          </w:p>
        </w:tc>
        <w:tc>
          <w:tcPr>
            <w:tcW w:w="276" w:type="pct"/>
            <w:vAlign w:val="center"/>
          </w:tcPr>
          <w:p>
            <w:pPr>
              <w:pStyle w:val="42"/>
              <w:rPr>
                <w:sz w:val="18"/>
                <w:szCs w:val="18"/>
              </w:rPr>
            </w:pPr>
            <w:r>
              <w:rPr>
                <w:rFonts w:hint="eastAsia"/>
                <w:sz w:val="18"/>
                <w:szCs w:val="18"/>
              </w:rPr>
              <w:t>19.4</w:t>
            </w:r>
          </w:p>
        </w:tc>
        <w:tc>
          <w:tcPr>
            <w:tcW w:w="276" w:type="pct"/>
            <w:vAlign w:val="center"/>
          </w:tcPr>
          <w:p>
            <w:pPr>
              <w:pStyle w:val="42"/>
              <w:rPr>
                <w:sz w:val="18"/>
                <w:szCs w:val="18"/>
              </w:rPr>
            </w:pPr>
            <w:r>
              <w:rPr>
                <w:rFonts w:hint="eastAsia"/>
                <w:sz w:val="18"/>
                <w:szCs w:val="18"/>
              </w:rPr>
              <w:t>23.2</w:t>
            </w:r>
          </w:p>
        </w:tc>
        <w:tc>
          <w:tcPr>
            <w:tcW w:w="276" w:type="pct"/>
            <w:vAlign w:val="center"/>
          </w:tcPr>
          <w:p>
            <w:pPr>
              <w:pStyle w:val="42"/>
              <w:rPr>
                <w:sz w:val="18"/>
                <w:szCs w:val="18"/>
              </w:rPr>
            </w:pPr>
            <w:r>
              <w:rPr>
                <w:rFonts w:hint="eastAsia"/>
                <w:sz w:val="18"/>
                <w:szCs w:val="18"/>
              </w:rPr>
              <w:t>19.4</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23</w:t>
            </w:r>
          </w:p>
        </w:tc>
        <w:tc>
          <w:tcPr>
            <w:tcW w:w="294" w:type="pct"/>
            <w:vAlign w:val="center"/>
          </w:tcPr>
          <w:p>
            <w:pPr>
              <w:pStyle w:val="42"/>
              <w:rPr>
                <w:sz w:val="18"/>
                <w:szCs w:val="18"/>
                <w:lang w:val="zh-CN"/>
              </w:rPr>
            </w:pPr>
            <w:r>
              <w:rPr>
                <w:rFonts w:hint="eastAsia"/>
                <w:sz w:val="18"/>
                <w:szCs w:val="18"/>
                <w:lang w:val="zh-CN"/>
              </w:rPr>
              <w:t>20</w:t>
            </w:r>
          </w:p>
        </w:tc>
        <w:tc>
          <w:tcPr>
            <w:tcW w:w="291" w:type="pct"/>
            <w:vAlign w:val="center"/>
          </w:tcPr>
          <w:p>
            <w:pPr>
              <w:pStyle w:val="42"/>
              <w:rPr>
                <w:sz w:val="18"/>
                <w:szCs w:val="18"/>
                <w:lang w:val="zh-CN"/>
              </w:rPr>
            </w:pPr>
            <w:r>
              <w:rPr>
                <w:sz w:val="18"/>
                <w:szCs w:val="18"/>
                <w:lang w:val="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6</w:t>
            </w:r>
          </w:p>
        </w:tc>
        <w:tc>
          <w:tcPr>
            <w:tcW w:w="601" w:type="pct"/>
            <w:vAlign w:val="center"/>
          </w:tcPr>
          <w:p>
            <w:pPr>
              <w:pStyle w:val="42"/>
              <w:rPr>
                <w:sz w:val="18"/>
                <w:szCs w:val="18"/>
                <w:lang w:val="zh-CN"/>
              </w:rPr>
            </w:pPr>
            <w:r>
              <w:rPr>
                <w:sz w:val="18"/>
                <w:szCs w:val="18"/>
                <w:lang w:val="zh-CN"/>
              </w:rPr>
              <w:t>汞</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0.092</w:t>
            </w:r>
          </w:p>
        </w:tc>
        <w:tc>
          <w:tcPr>
            <w:tcW w:w="276" w:type="pct"/>
            <w:vAlign w:val="center"/>
          </w:tcPr>
          <w:p>
            <w:pPr>
              <w:pStyle w:val="42"/>
              <w:rPr>
                <w:sz w:val="18"/>
                <w:szCs w:val="18"/>
              </w:rPr>
            </w:pPr>
            <w:r>
              <w:rPr>
                <w:rFonts w:hint="eastAsia"/>
                <w:sz w:val="18"/>
                <w:szCs w:val="18"/>
              </w:rPr>
              <w:t>0.084</w:t>
            </w:r>
          </w:p>
        </w:tc>
        <w:tc>
          <w:tcPr>
            <w:tcW w:w="276" w:type="pct"/>
            <w:vAlign w:val="center"/>
          </w:tcPr>
          <w:p>
            <w:pPr>
              <w:pStyle w:val="42"/>
              <w:rPr>
                <w:sz w:val="18"/>
                <w:szCs w:val="18"/>
              </w:rPr>
            </w:pPr>
            <w:r>
              <w:rPr>
                <w:rFonts w:hint="eastAsia"/>
                <w:sz w:val="18"/>
                <w:szCs w:val="18"/>
              </w:rPr>
              <w:t>0.080</w:t>
            </w:r>
          </w:p>
        </w:tc>
        <w:tc>
          <w:tcPr>
            <w:tcW w:w="276" w:type="pct"/>
            <w:vAlign w:val="center"/>
          </w:tcPr>
          <w:p>
            <w:pPr>
              <w:pStyle w:val="42"/>
              <w:rPr>
                <w:sz w:val="18"/>
                <w:szCs w:val="18"/>
              </w:rPr>
            </w:pPr>
            <w:r>
              <w:rPr>
                <w:rFonts w:hint="eastAsia"/>
                <w:sz w:val="18"/>
                <w:szCs w:val="18"/>
              </w:rPr>
              <w:t>0.056</w:t>
            </w: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62" w:type="pct"/>
            <w:vAlign w:val="center"/>
          </w:tcPr>
          <w:p>
            <w:pPr>
              <w:pStyle w:val="42"/>
              <w:rPr>
                <w:sz w:val="18"/>
                <w:szCs w:val="18"/>
                <w:lang w:val="zh-CN"/>
              </w:rPr>
            </w:pPr>
          </w:p>
        </w:tc>
        <w:tc>
          <w:tcPr>
            <w:tcW w:w="273" w:type="pct"/>
            <w:vAlign w:val="center"/>
          </w:tcPr>
          <w:p>
            <w:pPr>
              <w:pStyle w:val="42"/>
              <w:rPr>
                <w:sz w:val="18"/>
                <w:szCs w:val="18"/>
                <w:lang w:val="zh-CN"/>
              </w:rPr>
            </w:pPr>
          </w:p>
        </w:tc>
        <w:tc>
          <w:tcPr>
            <w:tcW w:w="294" w:type="pct"/>
            <w:vAlign w:val="center"/>
          </w:tcPr>
          <w:p>
            <w:pPr>
              <w:pStyle w:val="42"/>
              <w:rPr>
                <w:sz w:val="18"/>
                <w:szCs w:val="18"/>
                <w:lang w:val="zh-CN"/>
              </w:rPr>
            </w:pPr>
            <w:r>
              <w:rPr>
                <w:rFonts w:hint="eastAsia"/>
                <w:sz w:val="18"/>
                <w:szCs w:val="18"/>
                <w:lang w:val="zh-CN"/>
              </w:rPr>
              <w:t>0.017</w:t>
            </w:r>
          </w:p>
        </w:tc>
        <w:tc>
          <w:tcPr>
            <w:tcW w:w="294" w:type="pct"/>
            <w:vAlign w:val="center"/>
          </w:tcPr>
          <w:p>
            <w:pPr>
              <w:pStyle w:val="42"/>
              <w:rPr>
                <w:sz w:val="18"/>
                <w:szCs w:val="18"/>
                <w:lang w:val="zh-CN"/>
              </w:rPr>
            </w:pPr>
            <w:r>
              <w:rPr>
                <w:rFonts w:hint="eastAsia"/>
                <w:sz w:val="18"/>
                <w:szCs w:val="18"/>
                <w:lang w:val="zh-CN"/>
              </w:rPr>
              <w:t>0.011</w:t>
            </w:r>
          </w:p>
        </w:tc>
        <w:tc>
          <w:tcPr>
            <w:tcW w:w="291" w:type="pct"/>
            <w:vAlign w:val="center"/>
          </w:tcPr>
          <w:p>
            <w:pPr>
              <w:pStyle w:val="42"/>
              <w:rPr>
                <w:sz w:val="18"/>
                <w:szCs w:val="18"/>
                <w:lang w:val="zh-CN"/>
              </w:rPr>
            </w:pPr>
            <w:r>
              <w:rPr>
                <w:sz w:val="18"/>
                <w:szCs w:val="18"/>
                <w:lang w:val="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sz w:val="18"/>
                <w:szCs w:val="18"/>
                <w:lang w:val="zh-CN"/>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7</w:t>
            </w:r>
          </w:p>
        </w:tc>
        <w:tc>
          <w:tcPr>
            <w:tcW w:w="601" w:type="pct"/>
            <w:vAlign w:val="center"/>
          </w:tcPr>
          <w:p>
            <w:pPr>
              <w:pStyle w:val="42"/>
              <w:rPr>
                <w:sz w:val="18"/>
                <w:szCs w:val="18"/>
                <w:lang w:val="zh-CN"/>
              </w:rPr>
            </w:pPr>
            <w:r>
              <w:rPr>
                <w:sz w:val="18"/>
                <w:szCs w:val="18"/>
                <w:lang w:val="zh-CN"/>
              </w:rPr>
              <w:t>镍</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41</w:t>
            </w:r>
          </w:p>
        </w:tc>
        <w:tc>
          <w:tcPr>
            <w:tcW w:w="276" w:type="pct"/>
            <w:vAlign w:val="center"/>
          </w:tcPr>
          <w:p>
            <w:pPr>
              <w:pStyle w:val="42"/>
              <w:rPr>
                <w:sz w:val="18"/>
                <w:szCs w:val="18"/>
              </w:rPr>
            </w:pPr>
            <w:r>
              <w:rPr>
                <w:rFonts w:hint="eastAsia"/>
                <w:sz w:val="18"/>
                <w:szCs w:val="18"/>
              </w:rPr>
              <w:t>32</w:t>
            </w:r>
          </w:p>
        </w:tc>
        <w:tc>
          <w:tcPr>
            <w:tcW w:w="276" w:type="pct"/>
            <w:vAlign w:val="center"/>
          </w:tcPr>
          <w:p>
            <w:pPr>
              <w:pStyle w:val="42"/>
              <w:rPr>
                <w:sz w:val="18"/>
                <w:szCs w:val="18"/>
              </w:rPr>
            </w:pPr>
            <w:r>
              <w:rPr>
                <w:rFonts w:hint="eastAsia"/>
                <w:sz w:val="18"/>
                <w:szCs w:val="18"/>
              </w:rPr>
              <w:t>34</w:t>
            </w:r>
          </w:p>
        </w:tc>
        <w:tc>
          <w:tcPr>
            <w:tcW w:w="276" w:type="pct"/>
            <w:vAlign w:val="center"/>
          </w:tcPr>
          <w:p>
            <w:pPr>
              <w:pStyle w:val="42"/>
              <w:rPr>
                <w:sz w:val="18"/>
                <w:szCs w:val="18"/>
              </w:rPr>
            </w:pPr>
            <w:r>
              <w:rPr>
                <w:rFonts w:hint="eastAsia"/>
                <w:sz w:val="18"/>
                <w:szCs w:val="18"/>
              </w:rPr>
              <w:t>36</w:t>
            </w:r>
          </w:p>
        </w:tc>
        <w:tc>
          <w:tcPr>
            <w:tcW w:w="262" w:type="pct"/>
            <w:vAlign w:val="center"/>
          </w:tcPr>
          <w:p>
            <w:pPr>
              <w:pStyle w:val="42"/>
              <w:rPr>
                <w:sz w:val="18"/>
                <w:szCs w:val="18"/>
              </w:rPr>
            </w:pPr>
            <w:r>
              <w:rPr>
                <w:rFonts w:hint="eastAsia"/>
                <w:sz w:val="18"/>
                <w:szCs w:val="18"/>
              </w:rPr>
              <w:t>33</w:t>
            </w:r>
          </w:p>
        </w:tc>
        <w:tc>
          <w:tcPr>
            <w:tcW w:w="262" w:type="pct"/>
            <w:vAlign w:val="center"/>
          </w:tcPr>
          <w:p>
            <w:pPr>
              <w:pStyle w:val="42"/>
              <w:rPr>
                <w:sz w:val="18"/>
                <w:szCs w:val="18"/>
              </w:rPr>
            </w:pPr>
            <w:r>
              <w:rPr>
                <w:rFonts w:hint="eastAsia"/>
                <w:sz w:val="18"/>
                <w:szCs w:val="18"/>
              </w:rPr>
              <w:t>34</w:t>
            </w:r>
          </w:p>
        </w:tc>
        <w:tc>
          <w:tcPr>
            <w:tcW w:w="262" w:type="pct"/>
            <w:vAlign w:val="center"/>
          </w:tcPr>
          <w:p>
            <w:pPr>
              <w:pStyle w:val="42"/>
              <w:rPr>
                <w:sz w:val="18"/>
                <w:szCs w:val="18"/>
              </w:rPr>
            </w:pPr>
            <w:r>
              <w:rPr>
                <w:rFonts w:hint="eastAsia"/>
                <w:sz w:val="18"/>
                <w:szCs w:val="18"/>
              </w:rPr>
              <w:t>27</w:t>
            </w:r>
          </w:p>
        </w:tc>
        <w:tc>
          <w:tcPr>
            <w:tcW w:w="262" w:type="pct"/>
            <w:vAlign w:val="center"/>
          </w:tcPr>
          <w:p>
            <w:pPr>
              <w:pStyle w:val="42"/>
              <w:rPr>
                <w:sz w:val="18"/>
                <w:szCs w:val="18"/>
              </w:rPr>
            </w:pPr>
            <w:r>
              <w:rPr>
                <w:rFonts w:hint="eastAsia"/>
                <w:sz w:val="18"/>
                <w:szCs w:val="18"/>
              </w:rPr>
              <w:t>23</w:t>
            </w:r>
          </w:p>
        </w:tc>
        <w:tc>
          <w:tcPr>
            <w:tcW w:w="262" w:type="pct"/>
            <w:vAlign w:val="center"/>
          </w:tcPr>
          <w:p>
            <w:pPr>
              <w:pStyle w:val="42"/>
              <w:rPr>
                <w:sz w:val="18"/>
                <w:szCs w:val="18"/>
              </w:rPr>
            </w:pPr>
            <w:r>
              <w:rPr>
                <w:rFonts w:hint="eastAsia"/>
                <w:sz w:val="18"/>
                <w:szCs w:val="18"/>
              </w:rPr>
              <w:t>29</w:t>
            </w:r>
          </w:p>
        </w:tc>
        <w:tc>
          <w:tcPr>
            <w:tcW w:w="273" w:type="pct"/>
            <w:vAlign w:val="center"/>
          </w:tcPr>
          <w:p>
            <w:pPr>
              <w:pStyle w:val="42"/>
              <w:rPr>
                <w:sz w:val="18"/>
                <w:szCs w:val="18"/>
              </w:rPr>
            </w:pPr>
            <w:r>
              <w:rPr>
                <w:rFonts w:hint="eastAsia"/>
                <w:sz w:val="18"/>
                <w:szCs w:val="18"/>
              </w:rPr>
              <w:t>29</w:t>
            </w:r>
          </w:p>
        </w:tc>
        <w:tc>
          <w:tcPr>
            <w:tcW w:w="294" w:type="pct"/>
            <w:vAlign w:val="center"/>
          </w:tcPr>
          <w:p>
            <w:pPr>
              <w:pStyle w:val="42"/>
              <w:rPr>
                <w:sz w:val="18"/>
                <w:szCs w:val="18"/>
                <w:lang w:val="zh-CN"/>
              </w:rPr>
            </w:pPr>
            <w:r>
              <w:rPr>
                <w:rFonts w:hint="eastAsia"/>
                <w:sz w:val="18"/>
                <w:szCs w:val="18"/>
                <w:lang w:val="zh-CN"/>
              </w:rPr>
              <w:t>43</w:t>
            </w:r>
          </w:p>
        </w:tc>
        <w:tc>
          <w:tcPr>
            <w:tcW w:w="294" w:type="pct"/>
            <w:vAlign w:val="center"/>
          </w:tcPr>
          <w:p>
            <w:pPr>
              <w:pStyle w:val="42"/>
              <w:rPr>
                <w:sz w:val="18"/>
                <w:szCs w:val="18"/>
                <w:lang w:val="zh-CN"/>
              </w:rPr>
            </w:pPr>
            <w:r>
              <w:rPr>
                <w:rFonts w:hint="eastAsia"/>
                <w:sz w:val="18"/>
                <w:szCs w:val="18"/>
                <w:lang w:val="zh-CN"/>
              </w:rPr>
              <w:t>21</w:t>
            </w:r>
          </w:p>
        </w:tc>
        <w:tc>
          <w:tcPr>
            <w:tcW w:w="291" w:type="pct"/>
            <w:vAlign w:val="center"/>
          </w:tcPr>
          <w:p>
            <w:pPr>
              <w:pStyle w:val="42"/>
              <w:rPr>
                <w:sz w:val="18"/>
                <w:szCs w:val="18"/>
                <w:lang w:val="zh-CN"/>
              </w:rPr>
            </w:pPr>
            <w:r>
              <w:rPr>
                <w:sz w:val="18"/>
                <w:szCs w:val="18"/>
                <w:lang w:val="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restart"/>
            <w:vAlign w:val="center"/>
          </w:tcPr>
          <w:p>
            <w:pPr>
              <w:pStyle w:val="42"/>
              <w:rPr>
                <w:sz w:val="18"/>
                <w:szCs w:val="18"/>
                <w:lang w:val="zh-CN"/>
              </w:rPr>
            </w:pPr>
            <w:r>
              <w:rPr>
                <w:rFonts w:hint="eastAsia"/>
                <w:sz w:val="18"/>
                <w:szCs w:val="18"/>
                <w:lang w:val="zh-CN"/>
              </w:rPr>
              <w:t>挥发性有机物</w:t>
            </w:r>
          </w:p>
        </w:tc>
        <w:tc>
          <w:tcPr>
            <w:tcW w:w="175" w:type="pct"/>
            <w:vAlign w:val="center"/>
          </w:tcPr>
          <w:p>
            <w:pPr>
              <w:pStyle w:val="42"/>
              <w:rPr>
                <w:sz w:val="18"/>
                <w:szCs w:val="18"/>
                <w:lang w:val="zh-CN"/>
              </w:rPr>
            </w:pPr>
            <w:r>
              <w:rPr>
                <w:sz w:val="18"/>
                <w:szCs w:val="18"/>
                <w:lang w:val="zh-CN"/>
              </w:rPr>
              <w:t>8</w:t>
            </w:r>
          </w:p>
        </w:tc>
        <w:tc>
          <w:tcPr>
            <w:tcW w:w="601" w:type="pct"/>
            <w:vAlign w:val="center"/>
          </w:tcPr>
          <w:p>
            <w:pPr>
              <w:pStyle w:val="42"/>
              <w:rPr>
                <w:kern w:val="0"/>
                <w:sz w:val="18"/>
                <w:szCs w:val="18"/>
              </w:rPr>
            </w:pPr>
            <w:r>
              <w:rPr>
                <w:kern w:val="0"/>
                <w:sz w:val="18"/>
                <w:szCs w:val="18"/>
              </w:rPr>
              <w:t>四氯化碳</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1.3L</w:t>
            </w:r>
          </w:p>
        </w:tc>
        <w:tc>
          <w:tcPr>
            <w:tcW w:w="294" w:type="pct"/>
            <w:vAlign w:val="center"/>
          </w:tcPr>
          <w:p>
            <w:pPr>
              <w:pStyle w:val="42"/>
              <w:rPr>
                <w:sz w:val="18"/>
                <w:szCs w:val="18"/>
                <w:lang w:val="zh-CN"/>
              </w:rPr>
            </w:pPr>
            <w:r>
              <w:rPr>
                <w:rFonts w:hint="eastAsia"/>
                <w:sz w:val="18"/>
                <w:szCs w:val="18"/>
                <w:lang w:val="zh-CN"/>
              </w:rPr>
              <w:t>1.3L</w:t>
            </w:r>
          </w:p>
        </w:tc>
        <w:tc>
          <w:tcPr>
            <w:tcW w:w="291" w:type="pct"/>
            <w:vAlign w:val="center"/>
          </w:tcPr>
          <w:p>
            <w:pPr>
              <w:pStyle w:val="42"/>
              <w:rPr>
                <w:sz w:val="18"/>
                <w:szCs w:val="18"/>
                <w:lang w:val="zh-CN"/>
              </w:rPr>
            </w:pPr>
            <w:r>
              <w:rPr>
                <w:sz w:val="18"/>
                <w:szCs w:val="18"/>
                <w:lang w:val="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9</w:t>
            </w:r>
          </w:p>
        </w:tc>
        <w:tc>
          <w:tcPr>
            <w:tcW w:w="601" w:type="pct"/>
            <w:vAlign w:val="center"/>
          </w:tcPr>
          <w:p>
            <w:pPr>
              <w:pStyle w:val="42"/>
              <w:rPr>
                <w:kern w:val="0"/>
                <w:sz w:val="18"/>
                <w:szCs w:val="18"/>
              </w:rPr>
            </w:pPr>
            <w:r>
              <w:rPr>
                <w:kern w:val="0"/>
                <w:sz w:val="18"/>
                <w:szCs w:val="18"/>
              </w:rPr>
              <w:t>氯仿</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1.1L</w:t>
            </w:r>
          </w:p>
        </w:tc>
        <w:tc>
          <w:tcPr>
            <w:tcW w:w="294" w:type="pct"/>
            <w:vAlign w:val="center"/>
          </w:tcPr>
          <w:p>
            <w:pPr>
              <w:pStyle w:val="42"/>
              <w:rPr>
                <w:sz w:val="18"/>
                <w:szCs w:val="18"/>
                <w:lang w:val="zh-CN"/>
              </w:rPr>
            </w:pPr>
            <w:r>
              <w:rPr>
                <w:rFonts w:hint="eastAsia"/>
                <w:sz w:val="18"/>
                <w:szCs w:val="18"/>
                <w:lang w:val="zh-CN"/>
              </w:rPr>
              <w:t>1.1L</w:t>
            </w:r>
          </w:p>
        </w:tc>
        <w:tc>
          <w:tcPr>
            <w:tcW w:w="291" w:type="pct"/>
            <w:vAlign w:val="center"/>
          </w:tcPr>
          <w:p>
            <w:pPr>
              <w:pStyle w:val="42"/>
              <w:rPr>
                <w:sz w:val="18"/>
                <w:szCs w:val="18"/>
                <w:lang w:val="zh-CN"/>
              </w:rPr>
            </w:pPr>
            <w:r>
              <w:rPr>
                <w:sz w:val="18"/>
                <w:szCs w:val="18"/>
                <w:lang w:val="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10</w:t>
            </w:r>
          </w:p>
        </w:tc>
        <w:tc>
          <w:tcPr>
            <w:tcW w:w="601" w:type="pct"/>
            <w:vAlign w:val="center"/>
          </w:tcPr>
          <w:p>
            <w:pPr>
              <w:pStyle w:val="42"/>
              <w:rPr>
                <w:kern w:val="0"/>
                <w:sz w:val="18"/>
                <w:szCs w:val="18"/>
              </w:rPr>
            </w:pPr>
            <w:r>
              <w:rPr>
                <w:kern w:val="0"/>
                <w:sz w:val="18"/>
                <w:szCs w:val="18"/>
              </w:rPr>
              <w:t>氯甲烷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1.0L</w:t>
            </w:r>
          </w:p>
        </w:tc>
        <w:tc>
          <w:tcPr>
            <w:tcW w:w="294" w:type="pct"/>
            <w:vAlign w:val="center"/>
          </w:tcPr>
          <w:p>
            <w:pPr>
              <w:pStyle w:val="42"/>
              <w:rPr>
                <w:sz w:val="18"/>
                <w:szCs w:val="18"/>
                <w:lang w:val="zh-CN"/>
              </w:rPr>
            </w:pPr>
            <w:r>
              <w:rPr>
                <w:rFonts w:hint="eastAsia"/>
                <w:sz w:val="18"/>
                <w:szCs w:val="18"/>
                <w:lang w:val="zh-CN"/>
              </w:rPr>
              <w:t>1.0L</w:t>
            </w:r>
          </w:p>
        </w:tc>
        <w:tc>
          <w:tcPr>
            <w:tcW w:w="291" w:type="pct"/>
            <w:vAlign w:val="center"/>
          </w:tcPr>
          <w:p>
            <w:pPr>
              <w:pStyle w:val="42"/>
              <w:rPr>
                <w:sz w:val="18"/>
                <w:szCs w:val="18"/>
                <w:lang w:val="zh-CN"/>
              </w:rPr>
            </w:pPr>
            <w:r>
              <w:rPr>
                <w:sz w:val="18"/>
                <w:szCs w:val="18"/>
                <w:lang w:val="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11</w:t>
            </w:r>
          </w:p>
        </w:tc>
        <w:tc>
          <w:tcPr>
            <w:tcW w:w="601" w:type="pct"/>
            <w:vAlign w:val="center"/>
          </w:tcPr>
          <w:p>
            <w:pPr>
              <w:pStyle w:val="42"/>
              <w:rPr>
                <w:kern w:val="0"/>
                <w:sz w:val="18"/>
                <w:szCs w:val="18"/>
              </w:rPr>
            </w:pPr>
            <w:r>
              <w:rPr>
                <w:kern w:val="0"/>
                <w:sz w:val="18"/>
                <w:szCs w:val="18"/>
              </w:rPr>
              <w:t>1,1-二氯乙烷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12</w:t>
            </w:r>
          </w:p>
        </w:tc>
        <w:tc>
          <w:tcPr>
            <w:tcW w:w="601" w:type="pct"/>
            <w:vAlign w:val="center"/>
          </w:tcPr>
          <w:p>
            <w:pPr>
              <w:pStyle w:val="42"/>
              <w:rPr>
                <w:kern w:val="0"/>
                <w:sz w:val="18"/>
                <w:szCs w:val="18"/>
              </w:rPr>
            </w:pPr>
            <w:r>
              <w:rPr>
                <w:kern w:val="0"/>
                <w:sz w:val="18"/>
                <w:szCs w:val="18"/>
              </w:rPr>
              <w:t>1,2-二氯乙烷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1.3L</w:t>
            </w:r>
          </w:p>
        </w:tc>
        <w:tc>
          <w:tcPr>
            <w:tcW w:w="294" w:type="pct"/>
            <w:vAlign w:val="center"/>
          </w:tcPr>
          <w:p>
            <w:pPr>
              <w:pStyle w:val="42"/>
              <w:rPr>
                <w:sz w:val="18"/>
                <w:szCs w:val="18"/>
                <w:lang w:val="zh-CN"/>
              </w:rPr>
            </w:pPr>
            <w:r>
              <w:rPr>
                <w:rFonts w:hint="eastAsia"/>
                <w:sz w:val="18"/>
                <w:szCs w:val="18"/>
                <w:lang w:val="zh-CN"/>
              </w:rPr>
              <w:t>1.3L</w:t>
            </w:r>
          </w:p>
        </w:tc>
        <w:tc>
          <w:tcPr>
            <w:tcW w:w="291" w:type="pct"/>
            <w:vAlign w:val="center"/>
          </w:tcPr>
          <w:p>
            <w:pPr>
              <w:pStyle w:val="42"/>
              <w:rPr>
                <w:sz w:val="18"/>
                <w:szCs w:val="18"/>
                <w:lang w:val="zh-CN"/>
              </w:rPr>
            </w:pPr>
            <w:r>
              <w:rPr>
                <w:sz w:val="18"/>
                <w:szCs w:val="18"/>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13</w:t>
            </w:r>
          </w:p>
        </w:tc>
        <w:tc>
          <w:tcPr>
            <w:tcW w:w="601" w:type="pct"/>
            <w:vAlign w:val="center"/>
          </w:tcPr>
          <w:p>
            <w:pPr>
              <w:pStyle w:val="42"/>
              <w:rPr>
                <w:kern w:val="0"/>
                <w:sz w:val="18"/>
                <w:szCs w:val="18"/>
              </w:rPr>
            </w:pPr>
            <w:r>
              <w:rPr>
                <w:kern w:val="0"/>
                <w:sz w:val="18"/>
                <w:szCs w:val="18"/>
              </w:rPr>
              <w:t>1,1-二氯乙烯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62" w:type="pct"/>
            <w:vAlign w:val="center"/>
          </w:tcPr>
          <w:p>
            <w:pPr>
              <w:pStyle w:val="42"/>
              <w:rPr>
                <w:kern w:val="0"/>
                <w:sz w:val="18"/>
                <w:szCs w:val="18"/>
              </w:rPr>
            </w:pPr>
          </w:p>
        </w:tc>
        <w:tc>
          <w:tcPr>
            <w:tcW w:w="273" w:type="pct"/>
            <w:vAlign w:val="center"/>
          </w:tcPr>
          <w:p>
            <w:pPr>
              <w:pStyle w:val="42"/>
              <w:rPr>
                <w:kern w:val="0"/>
                <w:sz w:val="18"/>
                <w:szCs w:val="18"/>
              </w:rPr>
            </w:pPr>
          </w:p>
        </w:tc>
        <w:tc>
          <w:tcPr>
            <w:tcW w:w="294" w:type="pct"/>
            <w:vAlign w:val="center"/>
          </w:tcPr>
          <w:p>
            <w:pPr>
              <w:pStyle w:val="42"/>
              <w:rPr>
                <w:sz w:val="18"/>
                <w:szCs w:val="18"/>
                <w:lang w:val="zh-CN"/>
              </w:rPr>
            </w:pPr>
            <w:r>
              <w:rPr>
                <w:rFonts w:hint="eastAsia"/>
                <w:sz w:val="18"/>
                <w:szCs w:val="18"/>
                <w:lang w:val="zh-CN"/>
              </w:rPr>
              <w:t>1.0L</w:t>
            </w:r>
          </w:p>
        </w:tc>
        <w:tc>
          <w:tcPr>
            <w:tcW w:w="294" w:type="pct"/>
            <w:vAlign w:val="center"/>
          </w:tcPr>
          <w:p>
            <w:pPr>
              <w:pStyle w:val="42"/>
              <w:rPr>
                <w:sz w:val="18"/>
                <w:szCs w:val="18"/>
                <w:lang w:val="zh-CN"/>
              </w:rPr>
            </w:pPr>
            <w:r>
              <w:rPr>
                <w:rFonts w:hint="eastAsia"/>
                <w:sz w:val="18"/>
                <w:szCs w:val="18"/>
                <w:lang w:val="zh-CN"/>
              </w:rPr>
              <w:t>1.0L</w:t>
            </w:r>
          </w:p>
        </w:tc>
        <w:tc>
          <w:tcPr>
            <w:tcW w:w="291" w:type="pct"/>
            <w:vAlign w:val="center"/>
          </w:tcPr>
          <w:p>
            <w:pPr>
              <w:pStyle w:val="42"/>
              <w:rPr>
                <w:sz w:val="18"/>
                <w:szCs w:val="18"/>
                <w:lang w:val="zh-CN"/>
              </w:rPr>
            </w:pPr>
            <w:r>
              <w:rPr>
                <w:sz w:val="18"/>
                <w:szCs w:val="18"/>
                <w:lang w:val="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14</w:t>
            </w:r>
          </w:p>
        </w:tc>
        <w:tc>
          <w:tcPr>
            <w:tcW w:w="601" w:type="pct"/>
            <w:vAlign w:val="center"/>
          </w:tcPr>
          <w:p>
            <w:pPr>
              <w:pStyle w:val="42"/>
              <w:rPr>
                <w:kern w:val="0"/>
                <w:sz w:val="18"/>
                <w:szCs w:val="18"/>
              </w:rPr>
            </w:pPr>
            <w:r>
              <w:rPr>
                <w:kern w:val="0"/>
                <w:sz w:val="18"/>
                <w:szCs w:val="18"/>
              </w:rPr>
              <w:t>顺式-1,2-二氯乙烯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73" w:type="pct"/>
            <w:vAlign w:val="center"/>
          </w:tcPr>
          <w:p>
            <w:pPr>
              <w:pStyle w:val="42"/>
              <w:rPr>
                <w:kern w:val="0"/>
                <w:sz w:val="18"/>
                <w:szCs w:val="18"/>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1.3L</w:t>
            </w:r>
          </w:p>
        </w:tc>
        <w:tc>
          <w:tcPr>
            <w:tcW w:w="294" w:type="pct"/>
            <w:vAlign w:val="center"/>
          </w:tcPr>
          <w:p>
            <w:pPr>
              <w:pStyle w:val="42"/>
              <w:rPr>
                <w:sz w:val="18"/>
                <w:szCs w:val="18"/>
                <w:lang w:val="zh-CN"/>
              </w:rPr>
            </w:pPr>
            <w:r>
              <w:rPr>
                <w:rFonts w:hint="eastAsia"/>
                <w:sz w:val="18"/>
                <w:szCs w:val="18"/>
                <w:lang w:val="zh-CN"/>
              </w:rPr>
              <w:t>1.3L</w:t>
            </w:r>
          </w:p>
        </w:tc>
        <w:tc>
          <w:tcPr>
            <w:tcW w:w="291" w:type="pct"/>
            <w:vAlign w:val="center"/>
          </w:tcPr>
          <w:p>
            <w:pPr>
              <w:pStyle w:val="42"/>
              <w:rPr>
                <w:sz w:val="18"/>
                <w:szCs w:val="18"/>
                <w:lang w:val="zh-CN"/>
              </w:rPr>
            </w:pPr>
            <w:r>
              <w:rPr>
                <w:sz w:val="18"/>
                <w:szCs w:val="18"/>
                <w:lang w:val="zh-C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15</w:t>
            </w:r>
          </w:p>
        </w:tc>
        <w:tc>
          <w:tcPr>
            <w:tcW w:w="601" w:type="pct"/>
            <w:vAlign w:val="center"/>
          </w:tcPr>
          <w:p>
            <w:pPr>
              <w:pStyle w:val="42"/>
              <w:rPr>
                <w:kern w:val="0"/>
                <w:sz w:val="18"/>
                <w:szCs w:val="18"/>
              </w:rPr>
            </w:pPr>
            <w:r>
              <w:rPr>
                <w:kern w:val="0"/>
                <w:sz w:val="18"/>
                <w:szCs w:val="18"/>
              </w:rPr>
              <w:t>反式-1,2-二氯乙烯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73" w:type="pct"/>
            <w:vAlign w:val="center"/>
          </w:tcPr>
          <w:p>
            <w:pPr>
              <w:pStyle w:val="42"/>
              <w:rPr>
                <w:kern w:val="0"/>
                <w:sz w:val="18"/>
                <w:szCs w:val="18"/>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1.4L</w:t>
            </w:r>
          </w:p>
        </w:tc>
        <w:tc>
          <w:tcPr>
            <w:tcW w:w="294" w:type="pct"/>
            <w:vAlign w:val="center"/>
          </w:tcPr>
          <w:p>
            <w:pPr>
              <w:pStyle w:val="42"/>
              <w:rPr>
                <w:sz w:val="18"/>
                <w:szCs w:val="18"/>
                <w:lang w:val="zh-CN"/>
              </w:rPr>
            </w:pPr>
            <w:r>
              <w:rPr>
                <w:rFonts w:hint="eastAsia"/>
                <w:sz w:val="18"/>
                <w:szCs w:val="18"/>
                <w:lang w:val="zh-CN"/>
              </w:rPr>
              <w:t>1.4L</w:t>
            </w:r>
          </w:p>
        </w:tc>
        <w:tc>
          <w:tcPr>
            <w:tcW w:w="291" w:type="pct"/>
            <w:vAlign w:val="center"/>
          </w:tcPr>
          <w:p>
            <w:pPr>
              <w:pStyle w:val="42"/>
              <w:rPr>
                <w:sz w:val="18"/>
                <w:szCs w:val="18"/>
                <w:lang w:val="zh-CN"/>
              </w:rPr>
            </w:pPr>
            <w:r>
              <w:rPr>
                <w:sz w:val="18"/>
                <w:szCs w:val="18"/>
                <w:lang w:val="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16</w:t>
            </w:r>
          </w:p>
        </w:tc>
        <w:tc>
          <w:tcPr>
            <w:tcW w:w="601" w:type="pct"/>
            <w:vAlign w:val="center"/>
          </w:tcPr>
          <w:p>
            <w:pPr>
              <w:pStyle w:val="42"/>
              <w:rPr>
                <w:kern w:val="0"/>
                <w:sz w:val="18"/>
                <w:szCs w:val="18"/>
              </w:rPr>
            </w:pPr>
            <w:r>
              <w:rPr>
                <w:kern w:val="0"/>
                <w:sz w:val="18"/>
                <w:szCs w:val="18"/>
              </w:rPr>
              <w:t>二氯甲烷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1.5L</w:t>
            </w:r>
          </w:p>
        </w:tc>
        <w:tc>
          <w:tcPr>
            <w:tcW w:w="294" w:type="pct"/>
            <w:vAlign w:val="center"/>
          </w:tcPr>
          <w:p>
            <w:pPr>
              <w:pStyle w:val="42"/>
              <w:rPr>
                <w:sz w:val="18"/>
                <w:szCs w:val="18"/>
                <w:lang w:val="zh-CN"/>
              </w:rPr>
            </w:pPr>
            <w:r>
              <w:rPr>
                <w:rFonts w:hint="eastAsia"/>
                <w:sz w:val="18"/>
                <w:szCs w:val="18"/>
                <w:lang w:val="zh-CN"/>
              </w:rPr>
              <w:t>1.5L</w:t>
            </w:r>
          </w:p>
        </w:tc>
        <w:tc>
          <w:tcPr>
            <w:tcW w:w="291" w:type="pct"/>
            <w:vAlign w:val="center"/>
          </w:tcPr>
          <w:p>
            <w:pPr>
              <w:pStyle w:val="42"/>
              <w:rPr>
                <w:sz w:val="18"/>
                <w:szCs w:val="18"/>
                <w:lang w:val="zh-CN"/>
              </w:rPr>
            </w:pPr>
            <w:r>
              <w:rPr>
                <w:sz w:val="18"/>
                <w:szCs w:val="18"/>
                <w:lang w:val="zh-CN"/>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17</w:t>
            </w:r>
          </w:p>
        </w:tc>
        <w:tc>
          <w:tcPr>
            <w:tcW w:w="601" w:type="pct"/>
            <w:vAlign w:val="center"/>
          </w:tcPr>
          <w:p>
            <w:pPr>
              <w:pStyle w:val="42"/>
              <w:rPr>
                <w:kern w:val="0"/>
                <w:sz w:val="18"/>
                <w:szCs w:val="18"/>
              </w:rPr>
            </w:pPr>
            <w:r>
              <w:rPr>
                <w:kern w:val="0"/>
                <w:sz w:val="18"/>
                <w:szCs w:val="18"/>
              </w:rPr>
              <w:t>1,2-二氯丙烷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1.1L</w:t>
            </w:r>
          </w:p>
        </w:tc>
        <w:tc>
          <w:tcPr>
            <w:tcW w:w="294" w:type="pct"/>
            <w:vAlign w:val="center"/>
          </w:tcPr>
          <w:p>
            <w:pPr>
              <w:pStyle w:val="42"/>
              <w:rPr>
                <w:sz w:val="18"/>
                <w:szCs w:val="18"/>
                <w:lang w:val="zh-CN"/>
              </w:rPr>
            </w:pPr>
            <w:r>
              <w:rPr>
                <w:rFonts w:hint="eastAsia"/>
                <w:sz w:val="18"/>
                <w:szCs w:val="18"/>
                <w:lang w:val="zh-CN"/>
              </w:rPr>
              <w:t>1.1L</w:t>
            </w:r>
          </w:p>
        </w:tc>
        <w:tc>
          <w:tcPr>
            <w:tcW w:w="291" w:type="pct"/>
            <w:vAlign w:val="center"/>
          </w:tcPr>
          <w:p>
            <w:pPr>
              <w:pStyle w:val="42"/>
              <w:rPr>
                <w:sz w:val="18"/>
                <w:szCs w:val="18"/>
                <w:lang w:val="zh-CN"/>
              </w:rPr>
            </w:pPr>
            <w:r>
              <w:rPr>
                <w:sz w:val="18"/>
                <w:szCs w:val="18"/>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18</w:t>
            </w:r>
          </w:p>
        </w:tc>
        <w:tc>
          <w:tcPr>
            <w:tcW w:w="601" w:type="pct"/>
            <w:vAlign w:val="center"/>
          </w:tcPr>
          <w:p>
            <w:pPr>
              <w:pStyle w:val="42"/>
              <w:rPr>
                <w:kern w:val="0"/>
                <w:sz w:val="18"/>
                <w:szCs w:val="18"/>
              </w:rPr>
            </w:pPr>
            <w:r>
              <w:rPr>
                <w:kern w:val="0"/>
                <w:sz w:val="18"/>
                <w:szCs w:val="18"/>
              </w:rPr>
              <w:t>1,1,1,2-四氯乙烷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19</w:t>
            </w:r>
          </w:p>
        </w:tc>
        <w:tc>
          <w:tcPr>
            <w:tcW w:w="601" w:type="pct"/>
            <w:vAlign w:val="center"/>
          </w:tcPr>
          <w:p>
            <w:pPr>
              <w:pStyle w:val="42"/>
              <w:rPr>
                <w:kern w:val="0"/>
                <w:sz w:val="18"/>
                <w:szCs w:val="18"/>
              </w:rPr>
            </w:pPr>
            <w:r>
              <w:rPr>
                <w:kern w:val="0"/>
                <w:sz w:val="18"/>
                <w:szCs w:val="18"/>
              </w:rPr>
              <w:t>1,1,2,2-四氯乙烷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20</w:t>
            </w:r>
          </w:p>
        </w:tc>
        <w:tc>
          <w:tcPr>
            <w:tcW w:w="601" w:type="pct"/>
            <w:vAlign w:val="center"/>
          </w:tcPr>
          <w:p>
            <w:pPr>
              <w:pStyle w:val="42"/>
              <w:rPr>
                <w:kern w:val="0"/>
                <w:sz w:val="18"/>
                <w:szCs w:val="18"/>
              </w:rPr>
            </w:pPr>
            <w:r>
              <w:rPr>
                <w:kern w:val="0"/>
                <w:sz w:val="18"/>
                <w:szCs w:val="18"/>
              </w:rPr>
              <w:t>四氯乙烯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1.4×10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1.4L</w:t>
            </w:r>
          </w:p>
        </w:tc>
        <w:tc>
          <w:tcPr>
            <w:tcW w:w="294" w:type="pct"/>
            <w:vAlign w:val="center"/>
          </w:tcPr>
          <w:p>
            <w:pPr>
              <w:pStyle w:val="42"/>
              <w:rPr>
                <w:sz w:val="18"/>
                <w:szCs w:val="18"/>
                <w:lang w:val="zh-CN"/>
              </w:rPr>
            </w:pPr>
            <w:r>
              <w:rPr>
                <w:rFonts w:hint="eastAsia"/>
                <w:sz w:val="18"/>
                <w:szCs w:val="18"/>
                <w:lang w:val="zh-CN"/>
              </w:rPr>
              <w:t>1.4L</w:t>
            </w:r>
          </w:p>
        </w:tc>
        <w:tc>
          <w:tcPr>
            <w:tcW w:w="291" w:type="pct"/>
            <w:vAlign w:val="center"/>
          </w:tcPr>
          <w:p>
            <w:pPr>
              <w:pStyle w:val="42"/>
              <w:rPr>
                <w:sz w:val="18"/>
                <w:szCs w:val="18"/>
                <w:lang w:val="zh-CN"/>
              </w:rPr>
            </w:pPr>
            <w:r>
              <w:rPr>
                <w:sz w:val="18"/>
                <w:szCs w:val="18"/>
                <w:lang w:val="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21</w:t>
            </w:r>
          </w:p>
        </w:tc>
        <w:tc>
          <w:tcPr>
            <w:tcW w:w="601" w:type="pct"/>
            <w:vAlign w:val="center"/>
          </w:tcPr>
          <w:p>
            <w:pPr>
              <w:pStyle w:val="42"/>
              <w:rPr>
                <w:kern w:val="0"/>
                <w:sz w:val="18"/>
                <w:szCs w:val="18"/>
              </w:rPr>
            </w:pPr>
            <w:r>
              <w:rPr>
                <w:kern w:val="0"/>
                <w:sz w:val="18"/>
                <w:szCs w:val="18"/>
              </w:rPr>
              <w:t>1,1,1-三氯乙烷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1.3L</w:t>
            </w:r>
          </w:p>
        </w:tc>
        <w:tc>
          <w:tcPr>
            <w:tcW w:w="294" w:type="pct"/>
            <w:vAlign w:val="center"/>
          </w:tcPr>
          <w:p>
            <w:pPr>
              <w:pStyle w:val="42"/>
              <w:rPr>
                <w:sz w:val="18"/>
                <w:szCs w:val="18"/>
                <w:lang w:val="zh-CN"/>
              </w:rPr>
            </w:pPr>
            <w:r>
              <w:rPr>
                <w:rFonts w:hint="eastAsia"/>
                <w:sz w:val="18"/>
                <w:szCs w:val="18"/>
                <w:lang w:val="zh-CN"/>
              </w:rPr>
              <w:t>1.3L</w:t>
            </w:r>
          </w:p>
        </w:tc>
        <w:tc>
          <w:tcPr>
            <w:tcW w:w="291" w:type="pct"/>
            <w:vAlign w:val="center"/>
          </w:tcPr>
          <w:p>
            <w:pPr>
              <w:pStyle w:val="42"/>
              <w:rPr>
                <w:sz w:val="18"/>
                <w:szCs w:val="18"/>
                <w:lang w:val="zh-CN"/>
              </w:rPr>
            </w:pPr>
            <w:r>
              <w:rPr>
                <w:sz w:val="18"/>
                <w:szCs w:val="18"/>
                <w:lang w:val="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22</w:t>
            </w:r>
          </w:p>
        </w:tc>
        <w:tc>
          <w:tcPr>
            <w:tcW w:w="601" w:type="pct"/>
            <w:vAlign w:val="center"/>
          </w:tcPr>
          <w:p>
            <w:pPr>
              <w:pStyle w:val="42"/>
              <w:rPr>
                <w:kern w:val="0"/>
                <w:sz w:val="18"/>
                <w:szCs w:val="18"/>
              </w:rPr>
            </w:pPr>
            <w:r>
              <w:rPr>
                <w:kern w:val="0"/>
                <w:sz w:val="18"/>
                <w:szCs w:val="18"/>
              </w:rPr>
              <w:t>1,1,2-三氯乙烷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23</w:t>
            </w:r>
          </w:p>
        </w:tc>
        <w:tc>
          <w:tcPr>
            <w:tcW w:w="601" w:type="pct"/>
            <w:vAlign w:val="center"/>
          </w:tcPr>
          <w:p>
            <w:pPr>
              <w:pStyle w:val="42"/>
              <w:rPr>
                <w:kern w:val="0"/>
                <w:sz w:val="18"/>
                <w:szCs w:val="18"/>
              </w:rPr>
            </w:pPr>
            <w:r>
              <w:rPr>
                <w:kern w:val="0"/>
                <w:sz w:val="18"/>
                <w:szCs w:val="18"/>
              </w:rPr>
              <w:t>三氯乙烯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24</w:t>
            </w:r>
          </w:p>
        </w:tc>
        <w:tc>
          <w:tcPr>
            <w:tcW w:w="601" w:type="pct"/>
            <w:vAlign w:val="center"/>
          </w:tcPr>
          <w:p>
            <w:pPr>
              <w:pStyle w:val="42"/>
              <w:rPr>
                <w:kern w:val="0"/>
                <w:sz w:val="18"/>
                <w:szCs w:val="18"/>
              </w:rPr>
            </w:pPr>
            <w:r>
              <w:rPr>
                <w:kern w:val="0"/>
                <w:sz w:val="18"/>
                <w:szCs w:val="18"/>
              </w:rPr>
              <w:t>1,2,3-三氯丙烷</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25</w:t>
            </w:r>
          </w:p>
        </w:tc>
        <w:tc>
          <w:tcPr>
            <w:tcW w:w="601" w:type="pct"/>
            <w:vAlign w:val="center"/>
          </w:tcPr>
          <w:p>
            <w:pPr>
              <w:pStyle w:val="42"/>
              <w:rPr>
                <w:kern w:val="0"/>
                <w:sz w:val="18"/>
                <w:szCs w:val="18"/>
              </w:rPr>
            </w:pPr>
            <w:r>
              <w:rPr>
                <w:kern w:val="0"/>
                <w:sz w:val="18"/>
                <w:szCs w:val="18"/>
              </w:rPr>
              <w:t>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1.0×10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1.0L</w:t>
            </w:r>
          </w:p>
        </w:tc>
        <w:tc>
          <w:tcPr>
            <w:tcW w:w="294" w:type="pct"/>
            <w:vAlign w:val="center"/>
          </w:tcPr>
          <w:p>
            <w:pPr>
              <w:pStyle w:val="42"/>
              <w:rPr>
                <w:sz w:val="18"/>
                <w:szCs w:val="18"/>
                <w:lang w:val="zh-CN"/>
              </w:rPr>
            </w:pPr>
            <w:r>
              <w:rPr>
                <w:rFonts w:hint="eastAsia"/>
                <w:sz w:val="18"/>
                <w:szCs w:val="18"/>
                <w:lang w:val="zh-CN"/>
              </w:rPr>
              <w:t>1.0L</w:t>
            </w:r>
          </w:p>
        </w:tc>
        <w:tc>
          <w:tcPr>
            <w:tcW w:w="291" w:type="pct"/>
            <w:vAlign w:val="center"/>
          </w:tcPr>
          <w:p>
            <w:pPr>
              <w:pStyle w:val="42"/>
              <w:rPr>
                <w:sz w:val="18"/>
                <w:szCs w:val="18"/>
                <w:lang w:val="zh-CN"/>
              </w:rPr>
            </w:pPr>
            <w:r>
              <w:rPr>
                <w:sz w:val="18"/>
                <w:szCs w:val="18"/>
                <w:lang w:val="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26</w:t>
            </w:r>
          </w:p>
        </w:tc>
        <w:tc>
          <w:tcPr>
            <w:tcW w:w="601" w:type="pct"/>
            <w:vAlign w:val="center"/>
          </w:tcPr>
          <w:p>
            <w:pPr>
              <w:pStyle w:val="42"/>
              <w:rPr>
                <w:kern w:val="0"/>
                <w:sz w:val="18"/>
                <w:szCs w:val="18"/>
              </w:rPr>
            </w:pPr>
            <w:r>
              <w:rPr>
                <w:kern w:val="0"/>
                <w:sz w:val="18"/>
                <w:szCs w:val="18"/>
              </w:rPr>
              <w:t>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1.9×10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1.9×10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1.9×10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1.9×10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1.9L</w:t>
            </w:r>
          </w:p>
        </w:tc>
        <w:tc>
          <w:tcPr>
            <w:tcW w:w="294" w:type="pct"/>
            <w:vAlign w:val="center"/>
          </w:tcPr>
          <w:p>
            <w:pPr>
              <w:pStyle w:val="42"/>
              <w:rPr>
                <w:sz w:val="18"/>
                <w:szCs w:val="18"/>
                <w:lang w:val="zh-CN"/>
              </w:rPr>
            </w:pPr>
            <w:r>
              <w:rPr>
                <w:rFonts w:hint="eastAsia"/>
                <w:sz w:val="18"/>
                <w:szCs w:val="18"/>
                <w:lang w:val="zh-CN"/>
              </w:rPr>
              <w:t>1.9L</w:t>
            </w:r>
          </w:p>
        </w:tc>
        <w:tc>
          <w:tcPr>
            <w:tcW w:w="291" w:type="pct"/>
            <w:vAlign w:val="center"/>
          </w:tcPr>
          <w:p>
            <w:pPr>
              <w:pStyle w:val="42"/>
              <w:rPr>
                <w:sz w:val="18"/>
                <w:szCs w:val="18"/>
                <w:lang w:val="zh-CN"/>
              </w:rPr>
            </w:pPr>
            <w:r>
              <w:rPr>
                <w:sz w:val="18"/>
                <w:szCs w:val="18"/>
                <w:lang w:val="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27</w:t>
            </w:r>
          </w:p>
        </w:tc>
        <w:tc>
          <w:tcPr>
            <w:tcW w:w="601" w:type="pct"/>
            <w:vAlign w:val="center"/>
          </w:tcPr>
          <w:p>
            <w:pPr>
              <w:pStyle w:val="42"/>
              <w:rPr>
                <w:kern w:val="0"/>
                <w:sz w:val="18"/>
                <w:szCs w:val="18"/>
              </w:rPr>
            </w:pPr>
            <w:r>
              <w:rPr>
                <w:kern w:val="0"/>
                <w:sz w:val="18"/>
                <w:szCs w:val="18"/>
              </w:rPr>
              <w:t>氯苯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restart"/>
            <w:vAlign w:val="center"/>
          </w:tcPr>
          <w:p>
            <w:pPr>
              <w:pStyle w:val="42"/>
              <w:rPr>
                <w:kern w:val="0"/>
                <w:sz w:val="18"/>
                <w:szCs w:val="18"/>
              </w:rPr>
            </w:pPr>
            <w:r>
              <w:rPr>
                <w:kern w:val="0"/>
                <w:sz w:val="18"/>
                <w:szCs w:val="18"/>
              </w:rPr>
              <w:t>基本因子</w:t>
            </w:r>
          </w:p>
        </w:tc>
        <w:tc>
          <w:tcPr>
            <w:tcW w:w="238" w:type="pct"/>
            <w:vMerge w:val="restart"/>
            <w:vAlign w:val="center"/>
          </w:tcPr>
          <w:p>
            <w:pPr>
              <w:pStyle w:val="42"/>
              <w:rPr>
                <w:sz w:val="18"/>
                <w:szCs w:val="18"/>
                <w:lang w:val="zh-CN"/>
              </w:rPr>
            </w:pPr>
            <w:r>
              <w:rPr>
                <w:rFonts w:hint="eastAsia"/>
                <w:sz w:val="18"/>
                <w:szCs w:val="18"/>
              </w:rPr>
              <w:t>挥发性有机物</w:t>
            </w:r>
          </w:p>
        </w:tc>
        <w:tc>
          <w:tcPr>
            <w:tcW w:w="175" w:type="pct"/>
            <w:vAlign w:val="center"/>
          </w:tcPr>
          <w:p>
            <w:pPr>
              <w:pStyle w:val="42"/>
              <w:rPr>
                <w:sz w:val="18"/>
                <w:szCs w:val="18"/>
                <w:lang w:val="zh-CN"/>
              </w:rPr>
            </w:pPr>
            <w:r>
              <w:rPr>
                <w:sz w:val="18"/>
                <w:szCs w:val="18"/>
                <w:lang w:val="zh-CN"/>
              </w:rPr>
              <w:t>28</w:t>
            </w:r>
          </w:p>
        </w:tc>
        <w:tc>
          <w:tcPr>
            <w:tcW w:w="601" w:type="pct"/>
            <w:vAlign w:val="center"/>
          </w:tcPr>
          <w:p>
            <w:pPr>
              <w:pStyle w:val="42"/>
              <w:rPr>
                <w:kern w:val="0"/>
                <w:sz w:val="18"/>
                <w:szCs w:val="18"/>
              </w:rPr>
            </w:pPr>
            <w:r>
              <w:rPr>
                <w:kern w:val="0"/>
                <w:sz w:val="18"/>
                <w:szCs w:val="18"/>
              </w:rPr>
              <w:t>1,2-二氯苯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1.5L</w:t>
            </w:r>
          </w:p>
        </w:tc>
        <w:tc>
          <w:tcPr>
            <w:tcW w:w="294" w:type="pct"/>
            <w:vAlign w:val="center"/>
          </w:tcPr>
          <w:p>
            <w:pPr>
              <w:pStyle w:val="42"/>
              <w:rPr>
                <w:sz w:val="18"/>
                <w:szCs w:val="18"/>
                <w:lang w:val="zh-CN"/>
              </w:rPr>
            </w:pPr>
            <w:r>
              <w:rPr>
                <w:rFonts w:hint="eastAsia"/>
                <w:sz w:val="18"/>
                <w:szCs w:val="18"/>
                <w:lang w:val="zh-CN"/>
              </w:rPr>
              <w:t>1.5L</w:t>
            </w:r>
          </w:p>
        </w:tc>
        <w:tc>
          <w:tcPr>
            <w:tcW w:w="291" w:type="pct"/>
            <w:vAlign w:val="center"/>
          </w:tcPr>
          <w:p>
            <w:pPr>
              <w:pStyle w:val="42"/>
              <w:rPr>
                <w:sz w:val="18"/>
                <w:szCs w:val="18"/>
                <w:lang w:val="zh-CN"/>
              </w:rPr>
            </w:pPr>
            <w:r>
              <w:rPr>
                <w:sz w:val="18"/>
                <w:szCs w:val="18"/>
                <w:lang w:val="zh-C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29</w:t>
            </w:r>
          </w:p>
        </w:tc>
        <w:tc>
          <w:tcPr>
            <w:tcW w:w="601" w:type="pct"/>
            <w:vAlign w:val="center"/>
          </w:tcPr>
          <w:p>
            <w:pPr>
              <w:pStyle w:val="42"/>
              <w:rPr>
                <w:kern w:val="0"/>
                <w:sz w:val="18"/>
                <w:szCs w:val="18"/>
              </w:rPr>
            </w:pPr>
            <w:r>
              <w:rPr>
                <w:kern w:val="0"/>
                <w:sz w:val="18"/>
                <w:szCs w:val="18"/>
              </w:rPr>
              <w:t>1,4-二氯苯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1.5×10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1.5L</w:t>
            </w:r>
          </w:p>
        </w:tc>
        <w:tc>
          <w:tcPr>
            <w:tcW w:w="294" w:type="pct"/>
            <w:vAlign w:val="center"/>
          </w:tcPr>
          <w:p>
            <w:pPr>
              <w:pStyle w:val="42"/>
              <w:rPr>
                <w:sz w:val="18"/>
                <w:szCs w:val="18"/>
                <w:lang w:val="zh-CN"/>
              </w:rPr>
            </w:pPr>
            <w:r>
              <w:rPr>
                <w:rFonts w:hint="eastAsia"/>
                <w:sz w:val="18"/>
                <w:szCs w:val="18"/>
                <w:lang w:val="zh-CN"/>
              </w:rPr>
              <w:t>1.5L</w:t>
            </w:r>
          </w:p>
        </w:tc>
        <w:tc>
          <w:tcPr>
            <w:tcW w:w="291" w:type="pct"/>
            <w:vAlign w:val="center"/>
          </w:tcPr>
          <w:p>
            <w:pPr>
              <w:pStyle w:val="42"/>
              <w:rPr>
                <w:sz w:val="18"/>
                <w:szCs w:val="18"/>
                <w:lang w:val="zh-CN"/>
              </w:rPr>
            </w:pPr>
            <w:r>
              <w:rPr>
                <w:sz w:val="18"/>
                <w:szCs w:val="18"/>
                <w:lang w:val="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30</w:t>
            </w:r>
          </w:p>
        </w:tc>
        <w:tc>
          <w:tcPr>
            <w:tcW w:w="601" w:type="pct"/>
            <w:vAlign w:val="center"/>
          </w:tcPr>
          <w:p>
            <w:pPr>
              <w:pStyle w:val="42"/>
              <w:rPr>
                <w:kern w:val="0"/>
                <w:sz w:val="18"/>
                <w:szCs w:val="18"/>
              </w:rPr>
            </w:pPr>
            <w:r>
              <w:rPr>
                <w:kern w:val="0"/>
                <w:sz w:val="18"/>
                <w:szCs w:val="18"/>
              </w:rPr>
              <w:t>乙苯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31</w:t>
            </w:r>
          </w:p>
        </w:tc>
        <w:tc>
          <w:tcPr>
            <w:tcW w:w="601" w:type="pct"/>
            <w:vAlign w:val="center"/>
          </w:tcPr>
          <w:p>
            <w:pPr>
              <w:pStyle w:val="42"/>
              <w:rPr>
                <w:kern w:val="0"/>
                <w:sz w:val="18"/>
                <w:szCs w:val="18"/>
              </w:rPr>
            </w:pPr>
            <w:r>
              <w:rPr>
                <w:kern w:val="0"/>
                <w:sz w:val="18"/>
                <w:szCs w:val="18"/>
              </w:rPr>
              <w:t>苯乙烯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1.1×10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1.1L</w:t>
            </w:r>
          </w:p>
        </w:tc>
        <w:tc>
          <w:tcPr>
            <w:tcW w:w="294" w:type="pct"/>
            <w:vAlign w:val="center"/>
          </w:tcPr>
          <w:p>
            <w:pPr>
              <w:pStyle w:val="42"/>
              <w:rPr>
                <w:sz w:val="18"/>
                <w:szCs w:val="18"/>
                <w:lang w:val="zh-CN"/>
              </w:rPr>
            </w:pPr>
            <w:r>
              <w:rPr>
                <w:rFonts w:hint="eastAsia"/>
                <w:sz w:val="18"/>
                <w:szCs w:val="18"/>
                <w:lang w:val="zh-CN"/>
              </w:rPr>
              <w:t>1.1L</w:t>
            </w:r>
          </w:p>
        </w:tc>
        <w:tc>
          <w:tcPr>
            <w:tcW w:w="291" w:type="pct"/>
            <w:vAlign w:val="center"/>
          </w:tcPr>
          <w:p>
            <w:pPr>
              <w:pStyle w:val="42"/>
              <w:rPr>
                <w:sz w:val="18"/>
                <w:szCs w:val="18"/>
                <w:lang w:val="zh-CN"/>
              </w:rPr>
            </w:pPr>
            <w:r>
              <w:rPr>
                <w:sz w:val="18"/>
                <w:szCs w:val="18"/>
                <w:lang w:val="zh-CN"/>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32</w:t>
            </w:r>
          </w:p>
        </w:tc>
        <w:tc>
          <w:tcPr>
            <w:tcW w:w="601" w:type="pct"/>
            <w:vAlign w:val="center"/>
          </w:tcPr>
          <w:p>
            <w:pPr>
              <w:pStyle w:val="42"/>
              <w:rPr>
                <w:kern w:val="0"/>
                <w:sz w:val="18"/>
                <w:szCs w:val="18"/>
              </w:rPr>
            </w:pPr>
            <w:r>
              <w:rPr>
                <w:kern w:val="0"/>
                <w:sz w:val="18"/>
                <w:szCs w:val="18"/>
              </w:rPr>
              <w:t>甲苯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1.3×10</w:t>
            </w:r>
            <w:r>
              <w:rPr>
                <w:rFonts w:hint="eastAsia"/>
                <w:sz w:val="18"/>
                <w:szCs w:val="18"/>
                <w:vertAlign w:val="superscript"/>
              </w:rPr>
              <w:t>-3</w:t>
            </w:r>
            <w:r>
              <w:rPr>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1.3L</w:t>
            </w:r>
          </w:p>
        </w:tc>
        <w:tc>
          <w:tcPr>
            <w:tcW w:w="294" w:type="pct"/>
            <w:vAlign w:val="center"/>
          </w:tcPr>
          <w:p>
            <w:pPr>
              <w:pStyle w:val="42"/>
              <w:rPr>
                <w:sz w:val="18"/>
                <w:szCs w:val="18"/>
                <w:lang w:val="zh-CN"/>
              </w:rPr>
            </w:pPr>
            <w:r>
              <w:rPr>
                <w:rFonts w:hint="eastAsia"/>
                <w:sz w:val="18"/>
                <w:szCs w:val="18"/>
                <w:lang w:val="zh-CN"/>
              </w:rPr>
              <w:t>1.3L</w:t>
            </w:r>
          </w:p>
        </w:tc>
        <w:tc>
          <w:tcPr>
            <w:tcW w:w="291" w:type="pct"/>
            <w:vAlign w:val="center"/>
          </w:tcPr>
          <w:p>
            <w:pPr>
              <w:pStyle w:val="42"/>
              <w:rPr>
                <w:sz w:val="18"/>
                <w:szCs w:val="18"/>
                <w:lang w:val="zh-CN"/>
              </w:rPr>
            </w:pPr>
            <w:r>
              <w:rPr>
                <w:sz w:val="18"/>
                <w:szCs w:val="18"/>
                <w:lang w:val="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33</w:t>
            </w:r>
          </w:p>
        </w:tc>
        <w:tc>
          <w:tcPr>
            <w:tcW w:w="601" w:type="pct"/>
            <w:vAlign w:val="center"/>
          </w:tcPr>
          <w:p>
            <w:pPr>
              <w:pStyle w:val="42"/>
              <w:rPr>
                <w:kern w:val="0"/>
                <w:sz w:val="18"/>
                <w:szCs w:val="18"/>
              </w:rPr>
            </w:pPr>
            <w:r>
              <w:rPr>
                <w:kern w:val="0"/>
                <w:sz w:val="18"/>
                <w:szCs w:val="18"/>
              </w:rPr>
              <w:t>对+间二甲苯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73" w:type="pct"/>
            <w:vAlign w:val="center"/>
          </w:tcPr>
          <w:p>
            <w:pPr>
              <w:pStyle w:val="42"/>
              <w:rPr>
                <w:kern w:val="0"/>
                <w:sz w:val="18"/>
                <w:szCs w:val="18"/>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34</w:t>
            </w:r>
          </w:p>
        </w:tc>
        <w:tc>
          <w:tcPr>
            <w:tcW w:w="601" w:type="pct"/>
            <w:vAlign w:val="center"/>
          </w:tcPr>
          <w:p>
            <w:pPr>
              <w:pStyle w:val="42"/>
              <w:rPr>
                <w:kern w:val="0"/>
                <w:sz w:val="18"/>
                <w:szCs w:val="18"/>
              </w:rPr>
            </w:pPr>
            <w:r>
              <w:rPr>
                <w:kern w:val="0"/>
                <w:sz w:val="18"/>
                <w:szCs w:val="18"/>
              </w:rPr>
              <w:t>邻二甲苯</w:t>
            </w:r>
          </w:p>
        </w:tc>
        <w:tc>
          <w:tcPr>
            <w:tcW w:w="248" w:type="pct"/>
            <w:vAlign w:val="center"/>
          </w:tcPr>
          <w:p>
            <w:pPr>
              <w:pStyle w:val="42"/>
              <w:rPr>
                <w:kern w:val="0"/>
                <w:sz w:val="18"/>
                <w:szCs w:val="18"/>
              </w:rPr>
            </w:pPr>
            <w:r>
              <w:rPr>
                <w:kern w:val="0"/>
                <w:sz w:val="18"/>
                <w:szCs w:val="18"/>
              </w:rPr>
              <w:t>mg/kg</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76" w:type="pct"/>
            <w:vAlign w:val="center"/>
          </w:tcPr>
          <w:p>
            <w:pPr>
              <w:pStyle w:val="42"/>
              <w:rPr>
                <w:sz w:val="18"/>
                <w:szCs w:val="18"/>
              </w:rPr>
            </w:pPr>
            <w:r>
              <w:rPr>
                <w:sz w:val="18"/>
                <w:szCs w:val="18"/>
              </w:rPr>
              <w:t>1.2×10</w:t>
            </w:r>
            <w:r>
              <w:rPr>
                <w:rFonts w:hint="eastAsia"/>
                <w:sz w:val="18"/>
                <w:szCs w:val="18"/>
                <w:vertAlign w:val="superscript"/>
              </w:rPr>
              <w:t>-3</w:t>
            </w:r>
            <w:r>
              <w:rPr>
                <w:sz w:val="18"/>
                <w:szCs w:val="18"/>
              </w:rPr>
              <w:t>L</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62" w:type="pct"/>
            <w:vAlign w:val="center"/>
          </w:tcPr>
          <w:p>
            <w:pPr>
              <w:pStyle w:val="42"/>
              <w:rPr>
                <w:kern w:val="0"/>
                <w:sz w:val="18"/>
                <w:szCs w:val="18"/>
              </w:rPr>
            </w:pPr>
            <w:r>
              <w:rPr>
                <w:rFonts w:hint="eastAsia"/>
                <w:sz w:val="18"/>
                <w:szCs w:val="18"/>
                <w:lang w:val="zh-CN"/>
              </w:rPr>
              <w:t>/</w:t>
            </w:r>
          </w:p>
        </w:tc>
        <w:tc>
          <w:tcPr>
            <w:tcW w:w="273" w:type="pct"/>
            <w:vAlign w:val="center"/>
          </w:tcPr>
          <w:p>
            <w:pPr>
              <w:pStyle w:val="42"/>
              <w:rPr>
                <w:kern w:val="0"/>
                <w:sz w:val="18"/>
                <w:szCs w:val="18"/>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1.2L</w:t>
            </w:r>
          </w:p>
        </w:tc>
        <w:tc>
          <w:tcPr>
            <w:tcW w:w="294" w:type="pct"/>
            <w:vAlign w:val="center"/>
          </w:tcPr>
          <w:p>
            <w:pPr>
              <w:pStyle w:val="42"/>
              <w:rPr>
                <w:sz w:val="18"/>
                <w:szCs w:val="18"/>
                <w:lang w:val="zh-CN"/>
              </w:rPr>
            </w:pPr>
            <w:r>
              <w:rPr>
                <w:rFonts w:hint="eastAsia"/>
                <w:sz w:val="18"/>
                <w:szCs w:val="18"/>
                <w:lang w:val="zh-CN"/>
              </w:rPr>
              <w:t>1.2L</w:t>
            </w:r>
          </w:p>
        </w:tc>
        <w:tc>
          <w:tcPr>
            <w:tcW w:w="291" w:type="pct"/>
            <w:vAlign w:val="center"/>
          </w:tcPr>
          <w:p>
            <w:pPr>
              <w:pStyle w:val="42"/>
              <w:rPr>
                <w:sz w:val="18"/>
                <w:szCs w:val="18"/>
                <w:lang w:val="zh-CN"/>
              </w:rPr>
            </w:pPr>
            <w:r>
              <w:rPr>
                <w:sz w:val="18"/>
                <w:szCs w:val="18"/>
                <w:lang w:val="zh-C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restart"/>
            <w:vAlign w:val="center"/>
          </w:tcPr>
          <w:p>
            <w:pPr>
              <w:pStyle w:val="42"/>
              <w:rPr>
                <w:sz w:val="18"/>
                <w:szCs w:val="18"/>
                <w:lang w:val="zh-CN"/>
              </w:rPr>
            </w:pPr>
            <w:r>
              <w:rPr>
                <w:rFonts w:hint="eastAsia"/>
                <w:sz w:val="18"/>
                <w:szCs w:val="18"/>
              </w:rPr>
              <w:t>半挥发性有机物</w:t>
            </w:r>
          </w:p>
        </w:tc>
        <w:tc>
          <w:tcPr>
            <w:tcW w:w="175" w:type="pct"/>
            <w:vAlign w:val="center"/>
          </w:tcPr>
          <w:p>
            <w:pPr>
              <w:pStyle w:val="42"/>
              <w:rPr>
                <w:sz w:val="18"/>
                <w:szCs w:val="18"/>
                <w:lang w:val="zh-CN"/>
              </w:rPr>
            </w:pPr>
            <w:r>
              <w:rPr>
                <w:sz w:val="18"/>
                <w:szCs w:val="18"/>
                <w:lang w:val="zh-CN"/>
              </w:rPr>
              <w:t>35</w:t>
            </w:r>
          </w:p>
        </w:tc>
        <w:tc>
          <w:tcPr>
            <w:tcW w:w="601" w:type="pct"/>
            <w:vAlign w:val="center"/>
          </w:tcPr>
          <w:p>
            <w:pPr>
              <w:pStyle w:val="42"/>
              <w:rPr>
                <w:sz w:val="18"/>
                <w:szCs w:val="18"/>
                <w:lang w:val="zh-CN"/>
              </w:rPr>
            </w:pPr>
            <w:r>
              <w:rPr>
                <w:sz w:val="18"/>
                <w:szCs w:val="18"/>
                <w:lang w:val="zh-CN"/>
              </w:rPr>
              <w:t>硝基苯</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0.09L</w:t>
            </w:r>
          </w:p>
        </w:tc>
        <w:tc>
          <w:tcPr>
            <w:tcW w:w="276" w:type="pct"/>
            <w:vAlign w:val="center"/>
          </w:tcPr>
          <w:p>
            <w:pPr>
              <w:pStyle w:val="42"/>
              <w:rPr>
                <w:sz w:val="18"/>
                <w:szCs w:val="18"/>
              </w:rPr>
            </w:pPr>
            <w:r>
              <w:rPr>
                <w:rFonts w:hint="eastAsia"/>
                <w:sz w:val="18"/>
                <w:szCs w:val="18"/>
              </w:rPr>
              <w:t>0.09L</w:t>
            </w:r>
          </w:p>
        </w:tc>
        <w:tc>
          <w:tcPr>
            <w:tcW w:w="276" w:type="pct"/>
            <w:vAlign w:val="center"/>
          </w:tcPr>
          <w:p>
            <w:pPr>
              <w:pStyle w:val="42"/>
              <w:rPr>
                <w:sz w:val="18"/>
                <w:szCs w:val="18"/>
              </w:rPr>
            </w:pPr>
            <w:r>
              <w:rPr>
                <w:rFonts w:hint="eastAsia"/>
                <w:sz w:val="18"/>
                <w:szCs w:val="18"/>
              </w:rPr>
              <w:t>0.09L</w:t>
            </w:r>
          </w:p>
        </w:tc>
        <w:tc>
          <w:tcPr>
            <w:tcW w:w="276" w:type="pct"/>
            <w:vAlign w:val="center"/>
          </w:tcPr>
          <w:p>
            <w:pPr>
              <w:pStyle w:val="42"/>
              <w:rPr>
                <w:sz w:val="18"/>
                <w:szCs w:val="18"/>
              </w:rPr>
            </w:pPr>
            <w:r>
              <w:rPr>
                <w:rFonts w:hint="eastAsia"/>
                <w:sz w:val="18"/>
                <w:szCs w:val="18"/>
              </w:rPr>
              <w:t>0.09L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0.09L</w:t>
            </w:r>
          </w:p>
        </w:tc>
        <w:tc>
          <w:tcPr>
            <w:tcW w:w="294" w:type="pct"/>
            <w:vAlign w:val="center"/>
          </w:tcPr>
          <w:p>
            <w:pPr>
              <w:pStyle w:val="42"/>
              <w:rPr>
                <w:sz w:val="18"/>
                <w:szCs w:val="18"/>
                <w:lang w:val="zh-CN"/>
              </w:rPr>
            </w:pPr>
            <w:r>
              <w:rPr>
                <w:rFonts w:hint="eastAsia"/>
                <w:sz w:val="18"/>
                <w:szCs w:val="18"/>
                <w:lang w:val="zh-CN"/>
              </w:rPr>
              <w:t>0.09L</w:t>
            </w:r>
          </w:p>
        </w:tc>
        <w:tc>
          <w:tcPr>
            <w:tcW w:w="291" w:type="pct"/>
            <w:vAlign w:val="center"/>
          </w:tcPr>
          <w:p>
            <w:pPr>
              <w:pStyle w:val="42"/>
              <w:rPr>
                <w:sz w:val="18"/>
                <w:szCs w:val="18"/>
                <w:lang w:val="zh-CN"/>
              </w:rPr>
            </w:pPr>
            <w:r>
              <w:rPr>
                <w:sz w:val="18"/>
                <w:szCs w:val="18"/>
                <w:lang w:val="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36</w:t>
            </w:r>
          </w:p>
        </w:tc>
        <w:tc>
          <w:tcPr>
            <w:tcW w:w="601" w:type="pct"/>
            <w:vAlign w:val="center"/>
          </w:tcPr>
          <w:p>
            <w:pPr>
              <w:pStyle w:val="42"/>
              <w:rPr>
                <w:sz w:val="18"/>
                <w:szCs w:val="18"/>
                <w:lang w:val="zh-CN"/>
              </w:rPr>
            </w:pPr>
            <w:r>
              <w:rPr>
                <w:sz w:val="18"/>
                <w:szCs w:val="18"/>
                <w:lang w:val="zh-CN"/>
              </w:rPr>
              <w:t>苯胺</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0.1L</w:t>
            </w:r>
          </w:p>
        </w:tc>
        <w:tc>
          <w:tcPr>
            <w:tcW w:w="276" w:type="pct"/>
            <w:vAlign w:val="center"/>
          </w:tcPr>
          <w:p>
            <w:pPr>
              <w:pStyle w:val="42"/>
              <w:rPr>
                <w:sz w:val="18"/>
                <w:szCs w:val="18"/>
              </w:rPr>
            </w:pPr>
            <w:r>
              <w:rPr>
                <w:rFonts w:hint="eastAsia"/>
                <w:sz w:val="18"/>
                <w:szCs w:val="18"/>
              </w:rPr>
              <w:t>0.1L</w:t>
            </w:r>
          </w:p>
        </w:tc>
        <w:tc>
          <w:tcPr>
            <w:tcW w:w="276" w:type="pct"/>
            <w:vAlign w:val="center"/>
          </w:tcPr>
          <w:p>
            <w:pPr>
              <w:pStyle w:val="42"/>
              <w:rPr>
                <w:sz w:val="18"/>
                <w:szCs w:val="18"/>
              </w:rPr>
            </w:pPr>
            <w:r>
              <w:rPr>
                <w:rFonts w:hint="eastAsia"/>
                <w:sz w:val="18"/>
                <w:szCs w:val="18"/>
              </w:rPr>
              <w:t>0.1L</w:t>
            </w:r>
          </w:p>
        </w:tc>
        <w:tc>
          <w:tcPr>
            <w:tcW w:w="276" w:type="pct"/>
            <w:vAlign w:val="center"/>
          </w:tcPr>
          <w:p>
            <w:pPr>
              <w:pStyle w:val="42"/>
              <w:rPr>
                <w:sz w:val="18"/>
                <w:szCs w:val="18"/>
              </w:rPr>
            </w:pPr>
            <w:r>
              <w:rPr>
                <w:rFonts w:hint="eastAsia"/>
                <w:sz w:val="18"/>
                <w:szCs w:val="18"/>
              </w:rPr>
              <w:t>0.1L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w:t>
            </w:r>
          </w:p>
        </w:tc>
        <w:tc>
          <w:tcPr>
            <w:tcW w:w="291" w:type="pct"/>
            <w:vAlign w:val="center"/>
          </w:tcPr>
          <w:p>
            <w:pPr>
              <w:pStyle w:val="42"/>
              <w:rPr>
                <w:sz w:val="18"/>
                <w:szCs w:val="18"/>
                <w:lang w:val="zh-CN"/>
              </w:rPr>
            </w:pPr>
            <w:r>
              <w:rPr>
                <w:sz w:val="18"/>
                <w:szCs w:val="18"/>
                <w:lang w:val="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37</w:t>
            </w:r>
          </w:p>
        </w:tc>
        <w:tc>
          <w:tcPr>
            <w:tcW w:w="601" w:type="pct"/>
            <w:vAlign w:val="center"/>
          </w:tcPr>
          <w:p>
            <w:pPr>
              <w:pStyle w:val="42"/>
              <w:rPr>
                <w:sz w:val="18"/>
                <w:szCs w:val="18"/>
                <w:lang w:val="zh-CN"/>
              </w:rPr>
            </w:pPr>
            <w:r>
              <w:rPr>
                <w:sz w:val="18"/>
                <w:szCs w:val="18"/>
                <w:lang w:val="zh-CN"/>
              </w:rPr>
              <w:t>2-氯苯酚</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0.04L</w:t>
            </w:r>
          </w:p>
        </w:tc>
        <w:tc>
          <w:tcPr>
            <w:tcW w:w="276" w:type="pct"/>
            <w:vAlign w:val="center"/>
          </w:tcPr>
          <w:p>
            <w:pPr>
              <w:pStyle w:val="42"/>
              <w:rPr>
                <w:sz w:val="18"/>
                <w:szCs w:val="18"/>
              </w:rPr>
            </w:pPr>
            <w:r>
              <w:rPr>
                <w:rFonts w:hint="eastAsia"/>
                <w:sz w:val="18"/>
                <w:szCs w:val="18"/>
              </w:rPr>
              <w:t>0.04L</w:t>
            </w:r>
          </w:p>
        </w:tc>
        <w:tc>
          <w:tcPr>
            <w:tcW w:w="276" w:type="pct"/>
            <w:vAlign w:val="center"/>
          </w:tcPr>
          <w:p>
            <w:pPr>
              <w:pStyle w:val="42"/>
              <w:rPr>
                <w:sz w:val="18"/>
                <w:szCs w:val="18"/>
              </w:rPr>
            </w:pPr>
            <w:r>
              <w:rPr>
                <w:rFonts w:hint="eastAsia"/>
                <w:sz w:val="18"/>
                <w:szCs w:val="18"/>
              </w:rPr>
              <w:t>0.04L</w:t>
            </w:r>
          </w:p>
        </w:tc>
        <w:tc>
          <w:tcPr>
            <w:tcW w:w="276" w:type="pct"/>
            <w:vAlign w:val="center"/>
          </w:tcPr>
          <w:p>
            <w:pPr>
              <w:pStyle w:val="42"/>
              <w:rPr>
                <w:sz w:val="18"/>
                <w:szCs w:val="18"/>
              </w:rPr>
            </w:pPr>
            <w:r>
              <w:rPr>
                <w:rFonts w:hint="eastAsia"/>
                <w:sz w:val="18"/>
                <w:szCs w:val="18"/>
              </w:rPr>
              <w:t>0.04L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0.06L</w:t>
            </w:r>
          </w:p>
        </w:tc>
        <w:tc>
          <w:tcPr>
            <w:tcW w:w="294" w:type="pct"/>
            <w:vAlign w:val="center"/>
          </w:tcPr>
          <w:p>
            <w:pPr>
              <w:pStyle w:val="42"/>
              <w:rPr>
                <w:sz w:val="18"/>
                <w:szCs w:val="18"/>
                <w:lang w:val="zh-CN"/>
              </w:rPr>
            </w:pPr>
            <w:r>
              <w:rPr>
                <w:rFonts w:hint="eastAsia"/>
                <w:sz w:val="18"/>
                <w:szCs w:val="18"/>
                <w:lang w:val="zh-CN"/>
              </w:rPr>
              <w:t>0.06L</w:t>
            </w:r>
          </w:p>
        </w:tc>
        <w:tc>
          <w:tcPr>
            <w:tcW w:w="291" w:type="pct"/>
            <w:vAlign w:val="center"/>
          </w:tcPr>
          <w:p>
            <w:pPr>
              <w:pStyle w:val="42"/>
              <w:rPr>
                <w:sz w:val="18"/>
                <w:szCs w:val="18"/>
                <w:lang w:val="zh-CN"/>
              </w:rPr>
            </w:pPr>
            <w:r>
              <w:rPr>
                <w:sz w:val="18"/>
                <w:szCs w:val="18"/>
                <w:lang w:val="zh-CN"/>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38</w:t>
            </w:r>
          </w:p>
        </w:tc>
        <w:tc>
          <w:tcPr>
            <w:tcW w:w="601" w:type="pct"/>
            <w:vAlign w:val="center"/>
          </w:tcPr>
          <w:p>
            <w:pPr>
              <w:pStyle w:val="42"/>
              <w:rPr>
                <w:sz w:val="18"/>
                <w:szCs w:val="18"/>
                <w:lang w:val="zh-CN"/>
              </w:rPr>
            </w:pPr>
            <w:r>
              <w:rPr>
                <w:sz w:val="18"/>
                <w:szCs w:val="18"/>
                <w:lang w:val="zh-CN"/>
              </w:rPr>
              <w:t>苯并[a]蒽</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4.7</w:t>
            </w:r>
            <w:r>
              <w:rPr>
                <w:sz w:val="18"/>
                <w:szCs w:val="18"/>
              </w:rPr>
              <w:t>×10</w:t>
            </w:r>
            <w:r>
              <w:rPr>
                <w:rFonts w:hint="eastAsia"/>
                <w:sz w:val="18"/>
                <w:szCs w:val="18"/>
                <w:vertAlign w:val="superscript"/>
              </w:rPr>
              <w:t>-3</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39</w:t>
            </w:r>
          </w:p>
        </w:tc>
        <w:tc>
          <w:tcPr>
            <w:tcW w:w="601" w:type="pct"/>
            <w:vAlign w:val="center"/>
          </w:tcPr>
          <w:p>
            <w:pPr>
              <w:pStyle w:val="42"/>
              <w:rPr>
                <w:sz w:val="18"/>
                <w:szCs w:val="18"/>
                <w:lang w:val="zh-CN"/>
              </w:rPr>
            </w:pPr>
            <w:r>
              <w:rPr>
                <w:sz w:val="18"/>
                <w:szCs w:val="18"/>
                <w:lang w:val="zh-CN"/>
              </w:rPr>
              <w:t>苯并[a]芘</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40</w:t>
            </w:r>
          </w:p>
        </w:tc>
        <w:tc>
          <w:tcPr>
            <w:tcW w:w="601" w:type="pct"/>
            <w:vAlign w:val="center"/>
          </w:tcPr>
          <w:p>
            <w:pPr>
              <w:pStyle w:val="42"/>
              <w:rPr>
                <w:sz w:val="18"/>
                <w:szCs w:val="18"/>
                <w:lang w:val="zh-CN"/>
              </w:rPr>
            </w:pPr>
            <w:r>
              <w:rPr>
                <w:sz w:val="18"/>
                <w:szCs w:val="18"/>
                <w:lang w:val="zh-CN"/>
              </w:rPr>
              <w:t>苯并[b]荧蒽</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0.2L</w:t>
            </w:r>
          </w:p>
        </w:tc>
        <w:tc>
          <w:tcPr>
            <w:tcW w:w="294" w:type="pct"/>
            <w:vAlign w:val="center"/>
          </w:tcPr>
          <w:p>
            <w:pPr>
              <w:pStyle w:val="42"/>
              <w:rPr>
                <w:sz w:val="18"/>
                <w:szCs w:val="18"/>
                <w:lang w:val="zh-CN"/>
              </w:rPr>
            </w:pPr>
            <w:r>
              <w:rPr>
                <w:rFonts w:hint="eastAsia"/>
                <w:sz w:val="18"/>
                <w:szCs w:val="18"/>
                <w:lang w:val="zh-CN"/>
              </w:rPr>
              <w:t>0.2L</w:t>
            </w:r>
          </w:p>
        </w:tc>
        <w:tc>
          <w:tcPr>
            <w:tcW w:w="291" w:type="pct"/>
            <w:vAlign w:val="center"/>
          </w:tcPr>
          <w:p>
            <w:pPr>
              <w:pStyle w:val="42"/>
              <w:rPr>
                <w:sz w:val="18"/>
                <w:szCs w:val="18"/>
                <w:lang w:val="zh-CN"/>
              </w:rPr>
            </w:pPr>
            <w:r>
              <w:rPr>
                <w:sz w:val="18"/>
                <w:szCs w:val="18"/>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41</w:t>
            </w:r>
          </w:p>
        </w:tc>
        <w:tc>
          <w:tcPr>
            <w:tcW w:w="601" w:type="pct"/>
            <w:vAlign w:val="center"/>
          </w:tcPr>
          <w:p>
            <w:pPr>
              <w:pStyle w:val="42"/>
              <w:rPr>
                <w:sz w:val="18"/>
                <w:szCs w:val="18"/>
                <w:lang w:val="zh-CN"/>
              </w:rPr>
            </w:pPr>
            <w:r>
              <w:rPr>
                <w:sz w:val="18"/>
                <w:szCs w:val="18"/>
                <w:lang w:val="zh-CN"/>
              </w:rPr>
              <w:t>苯并[k]荧蒽</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42</w:t>
            </w:r>
          </w:p>
        </w:tc>
        <w:tc>
          <w:tcPr>
            <w:tcW w:w="601" w:type="pct"/>
            <w:vAlign w:val="center"/>
          </w:tcPr>
          <w:p>
            <w:pPr>
              <w:pStyle w:val="42"/>
              <w:rPr>
                <w:sz w:val="18"/>
                <w:szCs w:val="18"/>
                <w:lang w:val="zh-CN"/>
              </w:rPr>
            </w:pPr>
            <w:r>
              <w:rPr>
                <w:sz w:val="18"/>
                <w:szCs w:val="18"/>
                <w:lang w:val="zh-CN"/>
              </w:rPr>
              <w:t>䓛</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43</w:t>
            </w:r>
          </w:p>
        </w:tc>
        <w:tc>
          <w:tcPr>
            <w:tcW w:w="601" w:type="pct"/>
            <w:vAlign w:val="center"/>
          </w:tcPr>
          <w:p>
            <w:pPr>
              <w:pStyle w:val="42"/>
              <w:rPr>
                <w:sz w:val="18"/>
                <w:szCs w:val="18"/>
                <w:lang w:val="zh-CN"/>
              </w:rPr>
            </w:pPr>
            <w:r>
              <w:rPr>
                <w:sz w:val="18"/>
                <w:szCs w:val="18"/>
                <w:lang w:val="zh-CN"/>
              </w:rPr>
              <w:t>二苯并[a,h]蒽</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44</w:t>
            </w:r>
          </w:p>
        </w:tc>
        <w:tc>
          <w:tcPr>
            <w:tcW w:w="601" w:type="pct"/>
            <w:vAlign w:val="center"/>
          </w:tcPr>
          <w:p>
            <w:pPr>
              <w:pStyle w:val="42"/>
              <w:rPr>
                <w:sz w:val="18"/>
                <w:szCs w:val="18"/>
                <w:lang w:val="zh-CN"/>
              </w:rPr>
            </w:pPr>
            <w:r>
              <w:rPr>
                <w:sz w:val="18"/>
                <w:szCs w:val="18"/>
                <w:lang w:val="zh-CN"/>
              </w:rPr>
              <w:t>茚并[1,2,3-cd]芘</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4</w:t>
            </w:r>
            <w:r>
              <w:rPr>
                <w:sz w:val="18"/>
                <w:szCs w:val="18"/>
              </w:rPr>
              <w:t>×10</w:t>
            </w:r>
            <w:r>
              <w:rPr>
                <w:rFonts w:hint="eastAsia"/>
                <w:sz w:val="18"/>
                <w:szCs w:val="18"/>
                <w:vertAlign w:val="superscript"/>
              </w:rPr>
              <w:t>-3</w:t>
            </w:r>
            <w:r>
              <w:rPr>
                <w:rFonts w:hint="eastAsia"/>
                <w:sz w:val="18"/>
                <w:szCs w:val="18"/>
              </w:rPr>
              <w:t>L</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0.1L</w:t>
            </w:r>
          </w:p>
        </w:tc>
        <w:tc>
          <w:tcPr>
            <w:tcW w:w="294" w:type="pct"/>
            <w:vAlign w:val="center"/>
          </w:tcPr>
          <w:p>
            <w:pPr>
              <w:pStyle w:val="42"/>
              <w:rPr>
                <w:sz w:val="18"/>
                <w:szCs w:val="18"/>
                <w:lang w:val="zh-CN"/>
              </w:rPr>
            </w:pPr>
            <w:r>
              <w:rPr>
                <w:rFonts w:hint="eastAsia"/>
                <w:sz w:val="18"/>
                <w:szCs w:val="18"/>
                <w:lang w:val="zh-CN"/>
              </w:rPr>
              <w:t>0.1L</w:t>
            </w:r>
          </w:p>
        </w:tc>
        <w:tc>
          <w:tcPr>
            <w:tcW w:w="291" w:type="pct"/>
            <w:vAlign w:val="center"/>
          </w:tcPr>
          <w:p>
            <w:pPr>
              <w:pStyle w:val="42"/>
              <w:rPr>
                <w:sz w:val="18"/>
                <w:szCs w:val="18"/>
                <w:lang w:val="zh-CN"/>
              </w:rPr>
            </w:pPr>
            <w:r>
              <w:rPr>
                <w:sz w:val="18"/>
                <w:szCs w:val="18"/>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2" w:type="pct"/>
            <w:vMerge w:val="continue"/>
            <w:vAlign w:val="center"/>
          </w:tcPr>
          <w:p>
            <w:pPr>
              <w:pStyle w:val="42"/>
              <w:rPr>
                <w:kern w:val="0"/>
                <w:sz w:val="18"/>
                <w:szCs w:val="18"/>
              </w:rPr>
            </w:pPr>
          </w:p>
        </w:tc>
        <w:tc>
          <w:tcPr>
            <w:tcW w:w="238" w:type="pct"/>
            <w:vMerge w:val="continue"/>
            <w:vAlign w:val="center"/>
          </w:tcPr>
          <w:p>
            <w:pPr>
              <w:pStyle w:val="42"/>
              <w:rPr>
                <w:sz w:val="18"/>
                <w:szCs w:val="18"/>
                <w:lang w:val="zh-CN"/>
              </w:rPr>
            </w:pPr>
          </w:p>
        </w:tc>
        <w:tc>
          <w:tcPr>
            <w:tcW w:w="175" w:type="pct"/>
            <w:vAlign w:val="center"/>
          </w:tcPr>
          <w:p>
            <w:pPr>
              <w:pStyle w:val="42"/>
              <w:rPr>
                <w:sz w:val="18"/>
                <w:szCs w:val="18"/>
                <w:lang w:val="zh-CN"/>
              </w:rPr>
            </w:pPr>
            <w:r>
              <w:rPr>
                <w:sz w:val="18"/>
                <w:szCs w:val="18"/>
                <w:lang w:val="zh-CN"/>
              </w:rPr>
              <w:t>45</w:t>
            </w:r>
          </w:p>
        </w:tc>
        <w:tc>
          <w:tcPr>
            <w:tcW w:w="601" w:type="pct"/>
            <w:vAlign w:val="center"/>
          </w:tcPr>
          <w:p>
            <w:pPr>
              <w:pStyle w:val="42"/>
              <w:rPr>
                <w:sz w:val="18"/>
                <w:szCs w:val="18"/>
                <w:lang w:val="zh-CN"/>
              </w:rPr>
            </w:pPr>
            <w:r>
              <w:rPr>
                <w:sz w:val="18"/>
                <w:szCs w:val="18"/>
                <w:lang w:val="zh-CN"/>
              </w:rPr>
              <w:t>萘</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5.57</w:t>
            </w:r>
            <w:r>
              <w:rPr>
                <w:sz w:val="18"/>
                <w:szCs w:val="18"/>
              </w:rPr>
              <w:t>×10</w:t>
            </w:r>
            <w:r>
              <w:rPr>
                <w:rFonts w:hint="eastAsia"/>
                <w:sz w:val="18"/>
                <w:szCs w:val="18"/>
                <w:vertAlign w:val="superscript"/>
              </w:rPr>
              <w:t>-2</w:t>
            </w:r>
          </w:p>
        </w:tc>
        <w:tc>
          <w:tcPr>
            <w:tcW w:w="276" w:type="pct"/>
            <w:vAlign w:val="center"/>
          </w:tcPr>
          <w:p>
            <w:pPr>
              <w:pStyle w:val="42"/>
              <w:rPr>
                <w:sz w:val="18"/>
                <w:szCs w:val="18"/>
              </w:rPr>
            </w:pPr>
            <w:r>
              <w:rPr>
                <w:rFonts w:hint="eastAsia"/>
                <w:sz w:val="18"/>
                <w:szCs w:val="18"/>
              </w:rPr>
              <w:t>3</w:t>
            </w:r>
            <w:r>
              <w:rPr>
                <w:sz w:val="18"/>
                <w:szCs w:val="18"/>
              </w:rPr>
              <w:t>×10</w:t>
            </w:r>
            <w:r>
              <w:rPr>
                <w:rFonts w:hint="eastAsia"/>
                <w:sz w:val="18"/>
                <w:szCs w:val="18"/>
                <w:vertAlign w:val="superscript"/>
              </w:rPr>
              <w:t>-3</w:t>
            </w:r>
            <w:r>
              <w:rPr>
                <w:rFonts w:hint="eastAsia"/>
                <w:sz w:val="18"/>
                <w:szCs w:val="18"/>
              </w:rPr>
              <w:t>L</w:t>
            </w:r>
          </w:p>
        </w:tc>
        <w:tc>
          <w:tcPr>
            <w:tcW w:w="276" w:type="pct"/>
            <w:vAlign w:val="center"/>
          </w:tcPr>
          <w:p>
            <w:pPr>
              <w:pStyle w:val="42"/>
              <w:rPr>
                <w:sz w:val="18"/>
                <w:szCs w:val="18"/>
              </w:rPr>
            </w:pPr>
            <w:r>
              <w:rPr>
                <w:rFonts w:hint="eastAsia"/>
                <w:sz w:val="18"/>
                <w:szCs w:val="18"/>
              </w:rPr>
              <w:t>1.73</w:t>
            </w:r>
            <w:r>
              <w:rPr>
                <w:sz w:val="18"/>
                <w:szCs w:val="18"/>
              </w:rPr>
              <w:t>×10</w:t>
            </w:r>
            <w:r>
              <w:rPr>
                <w:rFonts w:hint="eastAsia"/>
                <w:sz w:val="18"/>
                <w:szCs w:val="18"/>
                <w:vertAlign w:val="superscript"/>
              </w:rPr>
              <w:t>-2</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62" w:type="pct"/>
            <w:vAlign w:val="center"/>
          </w:tcPr>
          <w:p>
            <w:pPr>
              <w:pStyle w:val="42"/>
              <w:rPr>
                <w:sz w:val="18"/>
                <w:szCs w:val="18"/>
                <w:lang w:val="zh-CN"/>
              </w:rPr>
            </w:pPr>
            <w:r>
              <w:rPr>
                <w:rFonts w:hint="eastAsia"/>
                <w:sz w:val="18"/>
                <w:szCs w:val="18"/>
                <w:lang w:val="zh-CN"/>
              </w:rPr>
              <w:t>/</w:t>
            </w:r>
          </w:p>
        </w:tc>
        <w:tc>
          <w:tcPr>
            <w:tcW w:w="273"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0.09L</w:t>
            </w:r>
          </w:p>
        </w:tc>
        <w:tc>
          <w:tcPr>
            <w:tcW w:w="294" w:type="pct"/>
            <w:vAlign w:val="center"/>
          </w:tcPr>
          <w:p>
            <w:pPr>
              <w:pStyle w:val="42"/>
              <w:rPr>
                <w:sz w:val="18"/>
                <w:szCs w:val="18"/>
                <w:lang w:val="zh-CN"/>
              </w:rPr>
            </w:pPr>
            <w:r>
              <w:rPr>
                <w:rFonts w:hint="eastAsia"/>
                <w:sz w:val="18"/>
                <w:szCs w:val="18"/>
                <w:lang w:val="zh-CN"/>
              </w:rPr>
              <w:t>0.09L</w:t>
            </w:r>
          </w:p>
        </w:tc>
        <w:tc>
          <w:tcPr>
            <w:tcW w:w="291" w:type="pct"/>
            <w:vAlign w:val="center"/>
          </w:tcPr>
          <w:p>
            <w:pPr>
              <w:pStyle w:val="42"/>
              <w:rPr>
                <w:sz w:val="18"/>
                <w:szCs w:val="18"/>
                <w:lang w:val="zh-CN"/>
              </w:rPr>
            </w:pPr>
            <w:r>
              <w:rPr>
                <w:sz w:val="18"/>
                <w:szCs w:val="18"/>
                <w:lang w:val="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10" w:type="pct"/>
            <w:gridSpan w:val="2"/>
            <w:vAlign w:val="center"/>
          </w:tcPr>
          <w:p>
            <w:pPr>
              <w:pStyle w:val="42"/>
              <w:rPr>
                <w:sz w:val="18"/>
                <w:szCs w:val="18"/>
                <w:lang w:val="zh-CN"/>
              </w:rPr>
            </w:pPr>
            <w:r>
              <w:rPr>
                <w:rFonts w:hint="eastAsia"/>
                <w:sz w:val="18"/>
                <w:szCs w:val="18"/>
                <w:lang w:val="zh-CN"/>
              </w:rPr>
              <w:t>特征因子</w:t>
            </w:r>
          </w:p>
        </w:tc>
        <w:tc>
          <w:tcPr>
            <w:tcW w:w="175" w:type="pct"/>
            <w:vAlign w:val="center"/>
          </w:tcPr>
          <w:p>
            <w:pPr>
              <w:pStyle w:val="42"/>
              <w:rPr>
                <w:sz w:val="18"/>
                <w:szCs w:val="18"/>
                <w:lang w:val="zh-CN"/>
              </w:rPr>
            </w:pPr>
            <w:r>
              <w:rPr>
                <w:rFonts w:hint="eastAsia"/>
                <w:sz w:val="18"/>
                <w:szCs w:val="18"/>
                <w:lang w:val="zh-CN"/>
              </w:rPr>
              <w:t>46</w:t>
            </w:r>
          </w:p>
        </w:tc>
        <w:tc>
          <w:tcPr>
            <w:tcW w:w="601" w:type="pct"/>
            <w:vAlign w:val="center"/>
          </w:tcPr>
          <w:p>
            <w:pPr>
              <w:pStyle w:val="42"/>
              <w:rPr>
                <w:sz w:val="18"/>
                <w:szCs w:val="18"/>
                <w:lang w:val="zh-CN"/>
              </w:rPr>
            </w:pPr>
            <w:r>
              <w:rPr>
                <w:rFonts w:hint="eastAsia"/>
                <w:sz w:val="18"/>
                <w:szCs w:val="18"/>
                <w:lang w:val="zh-CN"/>
              </w:rPr>
              <w:t>石油烃（C10-C40）</w:t>
            </w:r>
          </w:p>
        </w:tc>
        <w:tc>
          <w:tcPr>
            <w:tcW w:w="248" w:type="pct"/>
            <w:vAlign w:val="center"/>
          </w:tcPr>
          <w:p>
            <w:pPr>
              <w:pStyle w:val="42"/>
              <w:rPr>
                <w:sz w:val="18"/>
                <w:szCs w:val="18"/>
                <w:lang w:val="zh-CN"/>
              </w:rPr>
            </w:pPr>
            <w:r>
              <w:rPr>
                <w:sz w:val="18"/>
                <w:szCs w:val="18"/>
                <w:lang w:val="zh-CN"/>
              </w:rPr>
              <w:t>mg/kg</w:t>
            </w:r>
          </w:p>
        </w:tc>
        <w:tc>
          <w:tcPr>
            <w:tcW w:w="276" w:type="pct"/>
            <w:vAlign w:val="center"/>
          </w:tcPr>
          <w:p>
            <w:pPr>
              <w:pStyle w:val="42"/>
              <w:rPr>
                <w:sz w:val="18"/>
                <w:szCs w:val="18"/>
              </w:rPr>
            </w:pPr>
            <w:r>
              <w:rPr>
                <w:rFonts w:hint="eastAsia"/>
                <w:sz w:val="18"/>
                <w:szCs w:val="18"/>
              </w:rPr>
              <w:t>12</w:t>
            </w:r>
          </w:p>
        </w:tc>
        <w:tc>
          <w:tcPr>
            <w:tcW w:w="276" w:type="pct"/>
            <w:vAlign w:val="center"/>
          </w:tcPr>
          <w:p>
            <w:pPr>
              <w:pStyle w:val="42"/>
              <w:rPr>
                <w:sz w:val="18"/>
                <w:szCs w:val="18"/>
              </w:rPr>
            </w:pPr>
            <w:r>
              <w:rPr>
                <w:rFonts w:hint="eastAsia"/>
                <w:sz w:val="18"/>
                <w:szCs w:val="18"/>
              </w:rPr>
              <w:t>10</w:t>
            </w:r>
          </w:p>
        </w:tc>
        <w:tc>
          <w:tcPr>
            <w:tcW w:w="276" w:type="pct"/>
            <w:vAlign w:val="center"/>
          </w:tcPr>
          <w:p>
            <w:pPr>
              <w:pStyle w:val="42"/>
              <w:rPr>
                <w:sz w:val="18"/>
                <w:szCs w:val="18"/>
              </w:rPr>
            </w:pPr>
            <w:r>
              <w:rPr>
                <w:rFonts w:hint="eastAsia"/>
                <w:sz w:val="18"/>
                <w:szCs w:val="18"/>
              </w:rPr>
              <w:t>10</w:t>
            </w:r>
          </w:p>
        </w:tc>
        <w:tc>
          <w:tcPr>
            <w:tcW w:w="276" w:type="pct"/>
            <w:vAlign w:val="center"/>
          </w:tcPr>
          <w:p>
            <w:pPr>
              <w:pStyle w:val="42"/>
              <w:rPr>
                <w:sz w:val="18"/>
                <w:szCs w:val="18"/>
              </w:rPr>
            </w:pPr>
            <w:r>
              <w:rPr>
                <w:rFonts w:hint="eastAsia"/>
                <w:sz w:val="18"/>
                <w:szCs w:val="18"/>
              </w:rPr>
              <w:t>10</w:t>
            </w:r>
          </w:p>
        </w:tc>
        <w:tc>
          <w:tcPr>
            <w:tcW w:w="262" w:type="pct"/>
            <w:vAlign w:val="center"/>
          </w:tcPr>
          <w:p>
            <w:pPr>
              <w:pStyle w:val="42"/>
              <w:rPr>
                <w:sz w:val="18"/>
                <w:szCs w:val="18"/>
              </w:rPr>
            </w:pPr>
            <w:r>
              <w:rPr>
                <w:rFonts w:hint="eastAsia"/>
                <w:sz w:val="18"/>
                <w:szCs w:val="18"/>
              </w:rPr>
              <w:t>9</w:t>
            </w:r>
          </w:p>
        </w:tc>
        <w:tc>
          <w:tcPr>
            <w:tcW w:w="262" w:type="pct"/>
            <w:vAlign w:val="center"/>
          </w:tcPr>
          <w:p>
            <w:pPr>
              <w:pStyle w:val="42"/>
              <w:rPr>
                <w:sz w:val="18"/>
                <w:szCs w:val="18"/>
              </w:rPr>
            </w:pPr>
            <w:r>
              <w:rPr>
                <w:rFonts w:hint="eastAsia"/>
                <w:sz w:val="18"/>
                <w:szCs w:val="18"/>
              </w:rPr>
              <w:t>10</w:t>
            </w:r>
          </w:p>
        </w:tc>
        <w:tc>
          <w:tcPr>
            <w:tcW w:w="262" w:type="pct"/>
            <w:vAlign w:val="center"/>
          </w:tcPr>
          <w:p>
            <w:pPr>
              <w:pStyle w:val="42"/>
              <w:rPr>
                <w:sz w:val="18"/>
                <w:szCs w:val="18"/>
              </w:rPr>
            </w:pPr>
            <w:r>
              <w:rPr>
                <w:rFonts w:hint="eastAsia"/>
                <w:sz w:val="18"/>
                <w:szCs w:val="18"/>
              </w:rPr>
              <w:t>8</w:t>
            </w:r>
          </w:p>
        </w:tc>
        <w:tc>
          <w:tcPr>
            <w:tcW w:w="262" w:type="pct"/>
            <w:vAlign w:val="center"/>
          </w:tcPr>
          <w:p>
            <w:pPr>
              <w:pStyle w:val="42"/>
              <w:rPr>
                <w:sz w:val="18"/>
                <w:szCs w:val="18"/>
              </w:rPr>
            </w:pPr>
            <w:r>
              <w:rPr>
                <w:rFonts w:hint="eastAsia"/>
                <w:sz w:val="18"/>
                <w:szCs w:val="18"/>
              </w:rPr>
              <w:t>8</w:t>
            </w:r>
          </w:p>
        </w:tc>
        <w:tc>
          <w:tcPr>
            <w:tcW w:w="262" w:type="pct"/>
            <w:vAlign w:val="center"/>
          </w:tcPr>
          <w:p>
            <w:pPr>
              <w:pStyle w:val="42"/>
              <w:rPr>
                <w:sz w:val="18"/>
                <w:szCs w:val="18"/>
              </w:rPr>
            </w:pPr>
            <w:r>
              <w:rPr>
                <w:rFonts w:hint="eastAsia"/>
                <w:sz w:val="18"/>
                <w:szCs w:val="18"/>
              </w:rPr>
              <w:t>9</w:t>
            </w:r>
          </w:p>
        </w:tc>
        <w:tc>
          <w:tcPr>
            <w:tcW w:w="273" w:type="pct"/>
            <w:vAlign w:val="center"/>
          </w:tcPr>
          <w:p>
            <w:pPr>
              <w:pStyle w:val="42"/>
              <w:rPr>
                <w:sz w:val="18"/>
                <w:szCs w:val="18"/>
              </w:rPr>
            </w:pPr>
            <w:r>
              <w:rPr>
                <w:rFonts w:hint="eastAsia"/>
                <w:sz w:val="18"/>
                <w:szCs w:val="18"/>
              </w:rPr>
              <w:t>11</w:t>
            </w:r>
          </w:p>
        </w:tc>
        <w:tc>
          <w:tcPr>
            <w:tcW w:w="294" w:type="pct"/>
            <w:vAlign w:val="center"/>
          </w:tcPr>
          <w:p>
            <w:pPr>
              <w:pStyle w:val="42"/>
              <w:rPr>
                <w:sz w:val="18"/>
                <w:szCs w:val="18"/>
                <w:lang w:val="zh-CN"/>
              </w:rPr>
            </w:pPr>
            <w:r>
              <w:rPr>
                <w:rFonts w:hint="eastAsia"/>
                <w:sz w:val="18"/>
                <w:szCs w:val="18"/>
                <w:lang w:val="zh-CN"/>
              </w:rPr>
              <w:t>/</w:t>
            </w:r>
          </w:p>
        </w:tc>
        <w:tc>
          <w:tcPr>
            <w:tcW w:w="294" w:type="pct"/>
            <w:vAlign w:val="center"/>
          </w:tcPr>
          <w:p>
            <w:pPr>
              <w:pStyle w:val="42"/>
              <w:rPr>
                <w:sz w:val="18"/>
                <w:szCs w:val="18"/>
                <w:lang w:val="zh-CN"/>
              </w:rPr>
            </w:pPr>
            <w:r>
              <w:rPr>
                <w:rFonts w:hint="eastAsia"/>
                <w:sz w:val="18"/>
                <w:szCs w:val="18"/>
                <w:lang w:val="zh-CN"/>
              </w:rPr>
              <w:t>/</w:t>
            </w:r>
          </w:p>
        </w:tc>
        <w:tc>
          <w:tcPr>
            <w:tcW w:w="291" w:type="pct"/>
            <w:vAlign w:val="center"/>
          </w:tcPr>
          <w:p>
            <w:pPr>
              <w:pStyle w:val="42"/>
              <w:rPr>
                <w:sz w:val="18"/>
                <w:szCs w:val="18"/>
                <w:lang w:val="zh-CN"/>
              </w:rPr>
            </w:pPr>
            <w:r>
              <w:rPr>
                <w:rFonts w:hint="eastAsia"/>
                <w:sz w:val="18"/>
                <w:szCs w:val="18"/>
                <w:lang w:val="zh-CN"/>
              </w:rPr>
              <w:t>/</w:t>
            </w:r>
          </w:p>
        </w:tc>
      </w:tr>
    </w:tbl>
    <w:p>
      <w:pPr>
        <w:ind w:firstLine="480"/>
      </w:pPr>
    </w:p>
    <w:p>
      <w:pPr>
        <w:ind w:firstLine="480"/>
        <w:sectPr>
          <w:pgSz w:w="16838" w:h="11906" w:orient="landscape"/>
          <w:pgMar w:top="1800" w:right="1440" w:bottom="1800" w:left="1440" w:header="851" w:footer="992" w:gutter="0"/>
          <w:cols w:space="425" w:num="1"/>
          <w:docGrid w:type="lines" w:linePitch="326" w:charSpace="0"/>
        </w:sectPr>
      </w:pPr>
    </w:p>
    <w:p>
      <w:pPr>
        <w:pStyle w:val="2"/>
        <w:spacing w:before="163" w:after="163"/>
      </w:pPr>
      <w:bookmarkStart w:id="113" w:name="_Toc84844285"/>
      <w:r>
        <w:rPr>
          <w:rFonts w:hint="eastAsia"/>
        </w:rPr>
        <w:t>5环境影响预测及评价</w:t>
      </w:r>
      <w:bookmarkEnd w:id="113"/>
    </w:p>
    <w:p>
      <w:pPr>
        <w:pStyle w:val="3"/>
        <w:spacing w:before="163" w:after="163"/>
      </w:pPr>
      <w:bookmarkStart w:id="114" w:name="_Toc84844286"/>
      <w:r>
        <w:rPr>
          <w:rFonts w:hint="eastAsia"/>
        </w:rPr>
        <w:t>5.1施工期环境影响预测及评价</w:t>
      </w:r>
      <w:bookmarkEnd w:id="114"/>
    </w:p>
    <w:p>
      <w:pPr>
        <w:ind w:firstLine="480"/>
      </w:pPr>
      <w:r>
        <w:rPr>
          <w:rFonts w:hint="eastAsia"/>
        </w:rPr>
        <w:t>拟建项目位于重庆（长寿）经济技术开发区，基础设施依托园区，施工内容主要包括厂区建设，涉及开挖和回填土石方、地基平整、压实，浇混凝土垫层、现浇混凝土、预制构件安装、厂区道路建设、给排水管网系统建设和绿化建设等。项目不设取/弃土场。</w:t>
      </w:r>
    </w:p>
    <w:p>
      <w:pPr>
        <w:ind w:firstLine="480"/>
      </w:pPr>
      <w:r>
        <w:rPr>
          <w:rFonts w:hint="eastAsia"/>
        </w:rPr>
        <w:t>工程建设可分为土石方开挖、打桩、建筑结构、设备安装调试4个阶段。各项施工活动将不可避免地对周围环境产生影响，主要包括粉尘、车辆尾气、噪声、固体废物、废水等对周围环境的影响，其中以粉尘和施工噪声影响较为明显。</w:t>
      </w:r>
    </w:p>
    <w:p>
      <w:pPr>
        <w:pStyle w:val="4"/>
        <w:spacing w:before="163" w:after="163"/>
      </w:pPr>
      <w:bookmarkStart w:id="115" w:name="_Toc84844287"/>
      <w:r>
        <w:rPr>
          <w:rFonts w:hint="eastAsia"/>
        </w:rPr>
        <w:t>5.1.1施工期环境影响分析</w:t>
      </w:r>
      <w:bookmarkEnd w:id="115"/>
    </w:p>
    <w:p>
      <w:pPr>
        <w:pStyle w:val="5"/>
        <w:spacing w:before="163" w:after="163"/>
      </w:pPr>
      <w:r>
        <w:rPr>
          <w:rFonts w:hint="eastAsia"/>
        </w:rPr>
        <w:t>5.1.1.1废气和扬尘</w:t>
      </w:r>
    </w:p>
    <w:p>
      <w:pPr>
        <w:ind w:firstLine="480"/>
      </w:pPr>
      <w:r>
        <w:rPr>
          <w:rFonts w:hint="eastAsia"/>
        </w:rPr>
        <w:t>施工期间的大气污染物主要为粉尘和各种燃油动力机械在施工过程中产生的燃油废气，但属于短期影响。粉尘主要来源于施工场地的清理、平整，挖填方以及建筑施工在运输、装卸、浇注过程中产生的扬尘；厂区和管线的建设使区内植被被破坏，表层土壤裸露，产生扬尘。根据类似工程实地监测资料，在正常情况下，施工活动产生的粉尘在区域近地面环境空气中的TSP浓度可达1.5~3.0mg/m</w:t>
      </w:r>
      <w:r>
        <w:rPr>
          <w:rFonts w:hint="eastAsia"/>
          <w:vertAlign w:val="superscript"/>
        </w:rPr>
        <w:t>3</w:t>
      </w:r>
      <w:r>
        <w:rPr>
          <w:rFonts w:hint="eastAsia"/>
        </w:rPr>
        <w:t>，对施工区域周围50~100m以外的贡献值满足二级标准；在大风（&gt;5级）的情况下，施工粉尘对施工区域周围100~300m以外的贡献值满足二级标准。</w:t>
      </w:r>
    </w:p>
    <w:p>
      <w:pPr>
        <w:ind w:firstLine="480"/>
      </w:pPr>
      <w:r>
        <w:rPr>
          <w:rFonts w:hint="eastAsia"/>
        </w:rPr>
        <w:t>施工过程中作业机械有载重汽车、柴油动力机械等燃油机械，排放的污染物主要有一氧化碳、二氧化氮、总烃。由于施工机械多为大型机械，单车排放系数较大，但施工机械数量少且较分散，其污染程度相对较轻。据类似工程监测，在距离现场50m处，CO、NO</w:t>
      </w:r>
      <w:r>
        <w:rPr>
          <w:rFonts w:hint="eastAsia"/>
          <w:vertAlign w:val="subscript"/>
        </w:rPr>
        <w:t>2</w:t>
      </w:r>
      <w:r>
        <w:rPr>
          <w:rFonts w:hint="eastAsia"/>
        </w:rPr>
        <w:t>1小时平均浓度分别为0.2mg/m</w:t>
      </w:r>
      <w:r>
        <w:rPr>
          <w:rFonts w:hint="eastAsia"/>
          <w:vertAlign w:val="superscript"/>
        </w:rPr>
        <w:t>3</w:t>
      </w:r>
      <w:r>
        <w:rPr>
          <w:rFonts w:hint="eastAsia"/>
        </w:rPr>
        <w:t>和0.13mg/m</w:t>
      </w:r>
      <w:r>
        <w:rPr>
          <w:rFonts w:hint="eastAsia"/>
          <w:vertAlign w:val="superscript"/>
        </w:rPr>
        <w:t>3</w:t>
      </w:r>
      <w:r>
        <w:rPr>
          <w:rFonts w:hint="eastAsia"/>
        </w:rPr>
        <w:t>，日平均浓度分别为0.13mg/m</w:t>
      </w:r>
      <w:r>
        <w:rPr>
          <w:rFonts w:hint="eastAsia"/>
          <w:vertAlign w:val="superscript"/>
        </w:rPr>
        <w:t>3</w:t>
      </w:r>
      <w:r>
        <w:rPr>
          <w:rFonts w:hint="eastAsia"/>
        </w:rPr>
        <w:t>和0.062mg/m</w:t>
      </w:r>
      <w:r>
        <w:rPr>
          <w:rFonts w:hint="eastAsia"/>
          <w:vertAlign w:val="superscript"/>
        </w:rPr>
        <w:t>3</w:t>
      </w:r>
      <w:r>
        <w:rPr>
          <w:rFonts w:hint="eastAsia"/>
        </w:rPr>
        <w:t>。</w:t>
      </w:r>
    </w:p>
    <w:p>
      <w:pPr>
        <w:ind w:firstLine="480"/>
      </w:pPr>
      <w:r>
        <w:rPr>
          <w:rFonts w:hint="eastAsia"/>
        </w:rPr>
        <w:t>施工营地施工人员的日常生活使用天然气等清洁燃料，污染物排放量小。</w:t>
      </w:r>
    </w:p>
    <w:p>
      <w:pPr>
        <w:ind w:firstLine="480"/>
      </w:pPr>
      <w:r>
        <w:rPr>
          <w:rFonts w:hint="eastAsia"/>
        </w:rPr>
        <w:t>拟建项目施工场地位于重庆（长寿）经济技术开发区，周边主要为已建成工业企业或规划工业用地，因此，施工期废气和扬尘对环境影响可接受。</w:t>
      </w:r>
    </w:p>
    <w:p>
      <w:pPr>
        <w:pStyle w:val="5"/>
        <w:spacing w:before="163" w:after="163"/>
      </w:pPr>
      <w:r>
        <w:rPr>
          <w:rFonts w:hint="eastAsia"/>
        </w:rPr>
        <w:t>5.1.1.2废水</w:t>
      </w:r>
    </w:p>
    <w:p>
      <w:pPr>
        <w:ind w:firstLine="480"/>
      </w:pPr>
      <w:r>
        <w:rPr>
          <w:rFonts w:hint="eastAsia"/>
        </w:rPr>
        <w:t>拟建项目施工期废水主要包括砂石冲洗水、混凝土养护水、设备水压试验水以及设备车辆冲洗水等。这些废水主要含泥沙和油污。少量生活废水含有少量的有机物和细菌。</w:t>
      </w:r>
    </w:p>
    <w:p>
      <w:pPr>
        <w:ind w:firstLine="480"/>
      </w:pPr>
      <w:r>
        <w:rPr>
          <w:rFonts w:hint="eastAsia"/>
        </w:rPr>
        <w:t>在整个工程的基础开挖、混凝土养护过程产生养护废水，预计废水量约5m</w:t>
      </w:r>
      <w:r>
        <w:rPr>
          <w:rFonts w:hint="eastAsia"/>
          <w:vertAlign w:val="superscript"/>
        </w:rPr>
        <w:t>3</w:t>
      </w:r>
      <w:r>
        <w:rPr>
          <w:rFonts w:hint="eastAsia"/>
        </w:rPr>
        <w:t>/d，主要污染物为SS，其排放浓度为SS 1200mg/L（6kg/d）。</w:t>
      </w:r>
    </w:p>
    <w:p>
      <w:pPr>
        <w:ind w:firstLine="480"/>
      </w:pPr>
      <w:r>
        <w:rPr>
          <w:rFonts w:hint="eastAsia"/>
        </w:rPr>
        <w:t>施工期运输车辆、施工动力设备、机械设备的维护与清洗等产生施工场地废水，预计排放量为3m</w:t>
      </w:r>
      <w:r>
        <w:rPr>
          <w:rFonts w:hint="eastAsia"/>
          <w:vertAlign w:val="superscript"/>
        </w:rPr>
        <w:t>3</w:t>
      </w:r>
      <w:r>
        <w:rPr>
          <w:rFonts w:hint="eastAsia"/>
        </w:rPr>
        <w:t>/d，主要污染物为石油类和SS，其排放浓度为石油类12mg/L（0.036kg/d）、SS 300mg/L（0.9kg/d）。</w:t>
      </w:r>
    </w:p>
    <w:p>
      <w:pPr>
        <w:ind w:firstLine="480"/>
      </w:pPr>
      <w:r>
        <w:rPr>
          <w:rFonts w:hint="eastAsia"/>
        </w:rPr>
        <w:t>施工生活废水：施工人员预计高峰期最大100人/d，用水按平均100L/d•人计（排放系数0.9），将产生生活污水9m</w:t>
      </w:r>
      <w:r>
        <w:rPr>
          <w:rFonts w:hint="eastAsia"/>
          <w:vertAlign w:val="superscript"/>
        </w:rPr>
        <w:t>3</w:t>
      </w:r>
      <w:r>
        <w:rPr>
          <w:rFonts w:hint="eastAsia"/>
        </w:rPr>
        <w:t>/d，主要污染物浓度COD350mg/L、SS300mg/L、NH</w:t>
      </w:r>
      <w:r>
        <w:rPr>
          <w:rFonts w:hint="eastAsia"/>
          <w:vertAlign w:val="subscript"/>
        </w:rPr>
        <w:t>3</w:t>
      </w:r>
      <w:r>
        <w:rPr>
          <w:rFonts w:hint="eastAsia"/>
        </w:rPr>
        <w:t>-N35mg/L，生活污水排放于临时修建的化粪池，预处理后经市政污水管网进入园区污水处理厂进一步处理达标后排放。</w:t>
      </w:r>
    </w:p>
    <w:p>
      <w:pPr>
        <w:ind w:firstLine="480"/>
      </w:pPr>
      <w:r>
        <w:rPr>
          <w:rFonts w:hint="eastAsia"/>
        </w:rPr>
        <w:t>施工中产生的砂石冲洗水、混凝土养护水、设备水压试验水以及设备车辆冲洗等，主要含有悬浮物和石油类，废水应导入事先设置的沉淀池进行沉淀后回用。对各类车辆、设备使用的燃油、机油和润滑油等应加强管理，所有废弃油脂类均要集中处理，不得随意倾倒。</w:t>
      </w:r>
    </w:p>
    <w:p>
      <w:pPr>
        <w:ind w:firstLine="480"/>
      </w:pPr>
      <w:r>
        <w:rPr>
          <w:rFonts w:hint="eastAsia"/>
        </w:rPr>
        <w:t>拟建项目施工期废水集中收集后处理达标排放，杜绝废水“跑、冒、滴、漏”现象的发生，采用上述措施处理后，拟建项目对地表水和地下水环境影响小。</w:t>
      </w:r>
    </w:p>
    <w:p>
      <w:pPr>
        <w:pStyle w:val="5"/>
        <w:spacing w:before="163" w:after="163"/>
      </w:pPr>
      <w:r>
        <w:rPr>
          <w:rFonts w:hint="eastAsia"/>
        </w:rPr>
        <w:t>5.1.1.3固体废物</w:t>
      </w:r>
    </w:p>
    <w:p>
      <w:pPr>
        <w:ind w:firstLine="480"/>
      </w:pPr>
      <w:r>
        <w:rPr>
          <w:rFonts w:hint="eastAsia"/>
        </w:rPr>
        <w:t>施工期的固体废物主要有两类：一是施工过程产生的弃渣；二是施工人员的生活垃圾。</w:t>
      </w:r>
    </w:p>
    <w:p>
      <w:pPr>
        <w:ind w:firstLine="480"/>
      </w:pPr>
      <w:r>
        <w:rPr>
          <w:rFonts w:hint="eastAsia"/>
        </w:rPr>
        <w:t>（1）弃渣：拟建项目建筑面积17560m</w:t>
      </w:r>
      <w:r>
        <w:rPr>
          <w:rFonts w:hint="eastAsia"/>
          <w:vertAlign w:val="superscript"/>
        </w:rPr>
        <w:t>2</w:t>
      </w:r>
      <w:r>
        <w:rPr>
          <w:rFonts w:hint="eastAsia"/>
        </w:rPr>
        <w:t>，经与工业企业施工期建筑弃渣排放情况类比，每1m</w:t>
      </w:r>
      <w:r>
        <w:rPr>
          <w:rFonts w:hint="eastAsia"/>
          <w:vertAlign w:val="superscript"/>
        </w:rPr>
        <w:t>2</w:t>
      </w:r>
      <w:r>
        <w:rPr>
          <w:rFonts w:hint="eastAsia"/>
        </w:rPr>
        <w:t>建筑面积产生建筑垃圾约2kg，故本项目在建设期将产生约35.12t的建筑垃圾，其主要成份为：废包材、废金属等。建筑垃圾需要集中收集堆放，分选后尽量回收利用。多余的建筑垃圾集中收集后，运往指定渣场处理。对周围环境影响较小。</w:t>
      </w:r>
    </w:p>
    <w:p>
      <w:pPr>
        <w:ind w:firstLine="480"/>
      </w:pPr>
      <w:r>
        <w:rPr>
          <w:rFonts w:hint="eastAsia"/>
        </w:rPr>
        <w:t>（2）施工人员的生活垃圾：生活垃圾主要为就餐后的废饭盒和办公区的少量日常办公垃圾，施工期间及时收集、清理，并由环卫部门集中收集后运往城市生活垃圾填埋场，不会对当地环境产生明显影响。</w:t>
      </w:r>
    </w:p>
    <w:p>
      <w:pPr>
        <w:pStyle w:val="5"/>
        <w:spacing w:before="163" w:after="163"/>
      </w:pPr>
      <w:r>
        <w:rPr>
          <w:rFonts w:hint="eastAsia"/>
        </w:rPr>
        <w:t>5.1.1.4噪声</w:t>
      </w:r>
    </w:p>
    <w:p>
      <w:pPr>
        <w:ind w:firstLine="480"/>
      </w:pPr>
      <w:r>
        <w:rPr>
          <w:rFonts w:hint="eastAsia"/>
        </w:rPr>
        <w:t>施工噪声仅发生在施工期间，影响是短期的，并随着施工结束而消失，但由于施工期间使用的机械种类多，且施工机械的共同特点是噪声值高，对施工现场造成较大的影响。同时，施工场地是敞开的，施工机械噪声不易采取吸声、隔声等措施来控制对环境的影响。因此，容易引起人们的反感和不适。</w:t>
      </w:r>
    </w:p>
    <w:p>
      <w:pPr>
        <w:ind w:firstLine="480"/>
      </w:pPr>
      <w:r>
        <w:rPr>
          <w:rFonts w:hint="eastAsia"/>
        </w:rPr>
        <w:t>施工期噪声源主要是推土机、装载机、平地机、挖掘机、打桩机、振捣棒、砼输送泵、混凝土搅拌机和运输车辆等施工机械。上述施工机械均产生较强的噪声。根据类比资料，将主要噪声源在不同距离上的噪声值列于表5.1-1。</w:t>
      </w:r>
    </w:p>
    <w:p>
      <w:pPr>
        <w:pStyle w:val="41"/>
      </w:pPr>
      <w:r>
        <w:rPr>
          <w:rFonts w:hint="eastAsia"/>
        </w:rPr>
        <w:t>表5.1-1 施工期主要噪声源强一览表单位：dB（A）</w:t>
      </w:r>
    </w:p>
    <w:tbl>
      <w:tblPr>
        <w:tblStyle w:val="33"/>
        <w:tblW w:w="90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63"/>
        <w:gridCol w:w="2267"/>
        <w:gridCol w:w="2265"/>
        <w:gridCol w:w="22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263" w:type="dxa"/>
            <w:vAlign w:val="center"/>
          </w:tcPr>
          <w:p>
            <w:pPr>
              <w:pStyle w:val="42"/>
              <w:ind w:firstLine="400"/>
            </w:pPr>
            <w:r>
              <w:rPr>
                <w:rFonts w:hint="eastAsia"/>
              </w:rPr>
              <w:t>机械名称</w:t>
            </w:r>
          </w:p>
        </w:tc>
        <w:tc>
          <w:tcPr>
            <w:tcW w:w="2267" w:type="dxa"/>
            <w:vAlign w:val="center"/>
          </w:tcPr>
          <w:p>
            <w:pPr>
              <w:pStyle w:val="42"/>
              <w:ind w:firstLine="400"/>
            </w:pPr>
            <w:r>
              <w:rPr>
                <w:rFonts w:hint="eastAsia"/>
              </w:rPr>
              <w:t>噪声级</w:t>
            </w:r>
          </w:p>
        </w:tc>
        <w:tc>
          <w:tcPr>
            <w:tcW w:w="2265" w:type="dxa"/>
            <w:vAlign w:val="center"/>
          </w:tcPr>
          <w:p>
            <w:pPr>
              <w:pStyle w:val="42"/>
              <w:ind w:firstLine="400"/>
            </w:pPr>
            <w:r>
              <w:rPr>
                <w:rFonts w:hint="eastAsia"/>
              </w:rPr>
              <w:t>机械名称</w:t>
            </w:r>
          </w:p>
        </w:tc>
        <w:tc>
          <w:tcPr>
            <w:tcW w:w="2265" w:type="dxa"/>
            <w:vAlign w:val="center"/>
          </w:tcPr>
          <w:p>
            <w:pPr>
              <w:pStyle w:val="42"/>
              <w:ind w:firstLine="400"/>
            </w:pPr>
            <w:r>
              <w:rPr>
                <w:rFonts w:hint="eastAsia"/>
              </w:rPr>
              <w:t>噪声级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63" w:type="dxa"/>
            <w:vAlign w:val="center"/>
          </w:tcPr>
          <w:p>
            <w:pPr>
              <w:pStyle w:val="42"/>
              <w:ind w:firstLine="400"/>
            </w:pPr>
            <w:r>
              <w:rPr>
                <w:rFonts w:hint="eastAsia"/>
              </w:rPr>
              <w:t>推土机</w:t>
            </w:r>
          </w:p>
        </w:tc>
        <w:tc>
          <w:tcPr>
            <w:tcW w:w="2267" w:type="dxa"/>
            <w:vAlign w:val="center"/>
          </w:tcPr>
          <w:p>
            <w:pPr>
              <w:pStyle w:val="42"/>
              <w:ind w:firstLine="400"/>
            </w:pPr>
            <w:r>
              <w:t>75</w:t>
            </w:r>
            <w:r>
              <w:rPr>
                <w:rFonts w:hint="eastAsia"/>
              </w:rPr>
              <w:t>～</w:t>
            </w:r>
            <w:r>
              <w:t>90</w:t>
            </w:r>
          </w:p>
        </w:tc>
        <w:tc>
          <w:tcPr>
            <w:tcW w:w="2265" w:type="dxa"/>
            <w:vAlign w:val="center"/>
          </w:tcPr>
          <w:p>
            <w:pPr>
              <w:pStyle w:val="42"/>
              <w:ind w:firstLine="400"/>
            </w:pPr>
            <w:r>
              <w:rPr>
                <w:rFonts w:hint="eastAsia"/>
              </w:rPr>
              <w:t>挖掘机</w:t>
            </w:r>
          </w:p>
        </w:tc>
        <w:tc>
          <w:tcPr>
            <w:tcW w:w="2265" w:type="dxa"/>
            <w:vAlign w:val="center"/>
          </w:tcPr>
          <w:p>
            <w:pPr>
              <w:pStyle w:val="42"/>
              <w:ind w:firstLine="400"/>
            </w:pPr>
            <w:r>
              <w:t>80</w:t>
            </w:r>
            <w:r>
              <w:rPr>
                <w:rFonts w:hint="eastAsia"/>
              </w:rPr>
              <w:t>～</w:t>
            </w:r>
            <w: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63" w:type="dxa"/>
            <w:vAlign w:val="center"/>
          </w:tcPr>
          <w:p>
            <w:pPr>
              <w:pStyle w:val="42"/>
              <w:ind w:firstLine="400"/>
            </w:pPr>
            <w:r>
              <w:rPr>
                <w:rFonts w:hint="eastAsia"/>
              </w:rPr>
              <w:t>搅拌机</w:t>
            </w:r>
          </w:p>
        </w:tc>
        <w:tc>
          <w:tcPr>
            <w:tcW w:w="2267" w:type="dxa"/>
            <w:vAlign w:val="center"/>
          </w:tcPr>
          <w:p>
            <w:pPr>
              <w:pStyle w:val="42"/>
              <w:ind w:firstLine="400"/>
            </w:pPr>
            <w:r>
              <w:t>75</w:t>
            </w:r>
            <w:r>
              <w:rPr>
                <w:rFonts w:hint="eastAsia"/>
              </w:rPr>
              <w:t>～</w:t>
            </w:r>
            <w:r>
              <w:t>85</w:t>
            </w:r>
          </w:p>
        </w:tc>
        <w:tc>
          <w:tcPr>
            <w:tcW w:w="2265" w:type="dxa"/>
            <w:vAlign w:val="center"/>
          </w:tcPr>
          <w:p>
            <w:pPr>
              <w:pStyle w:val="42"/>
              <w:ind w:firstLine="400"/>
            </w:pPr>
            <w:r>
              <w:rPr>
                <w:rFonts w:hint="eastAsia"/>
              </w:rPr>
              <w:t>运土卡车</w:t>
            </w:r>
          </w:p>
        </w:tc>
        <w:tc>
          <w:tcPr>
            <w:tcW w:w="2265" w:type="dxa"/>
            <w:vAlign w:val="center"/>
          </w:tcPr>
          <w:p>
            <w:pPr>
              <w:pStyle w:val="42"/>
              <w:ind w:firstLine="400"/>
            </w:pPr>
            <w:r>
              <w:t>85</w:t>
            </w:r>
            <w:r>
              <w:rPr>
                <w:rFonts w:hint="eastAsia"/>
              </w:rPr>
              <w:t>～</w:t>
            </w:r>
            <w: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63" w:type="dxa"/>
            <w:vAlign w:val="center"/>
          </w:tcPr>
          <w:p>
            <w:pPr>
              <w:pStyle w:val="42"/>
              <w:ind w:firstLine="400"/>
            </w:pPr>
            <w:r>
              <w:rPr>
                <w:rFonts w:hint="eastAsia"/>
              </w:rPr>
              <w:t>气锺、风钻</w:t>
            </w:r>
          </w:p>
        </w:tc>
        <w:tc>
          <w:tcPr>
            <w:tcW w:w="2267" w:type="dxa"/>
            <w:vAlign w:val="center"/>
          </w:tcPr>
          <w:p>
            <w:pPr>
              <w:pStyle w:val="42"/>
              <w:ind w:firstLine="400"/>
            </w:pPr>
            <w:r>
              <w:t>82</w:t>
            </w:r>
            <w:r>
              <w:rPr>
                <w:rFonts w:hint="eastAsia"/>
              </w:rPr>
              <w:t>～</w:t>
            </w:r>
            <w:r>
              <w:t>95</w:t>
            </w:r>
          </w:p>
        </w:tc>
        <w:tc>
          <w:tcPr>
            <w:tcW w:w="2265" w:type="dxa"/>
            <w:vAlign w:val="center"/>
          </w:tcPr>
          <w:p>
            <w:pPr>
              <w:pStyle w:val="42"/>
              <w:ind w:firstLine="400"/>
            </w:pPr>
            <w:r>
              <w:rPr>
                <w:rFonts w:hint="eastAsia"/>
              </w:rPr>
              <w:t>卷扬机</w:t>
            </w:r>
          </w:p>
        </w:tc>
        <w:tc>
          <w:tcPr>
            <w:tcW w:w="2265" w:type="dxa"/>
            <w:vAlign w:val="center"/>
          </w:tcPr>
          <w:p>
            <w:pPr>
              <w:pStyle w:val="42"/>
              <w:ind w:firstLine="400"/>
            </w:pPr>
            <w:r>
              <w:t>75</w:t>
            </w:r>
            <w:r>
              <w:rPr>
                <w:rFonts w:hint="eastAsia"/>
              </w:rPr>
              <w:t>～</w:t>
            </w:r>
            <w: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63" w:type="dxa"/>
            <w:vAlign w:val="center"/>
          </w:tcPr>
          <w:p>
            <w:pPr>
              <w:pStyle w:val="42"/>
              <w:ind w:firstLine="400"/>
            </w:pPr>
            <w:r>
              <w:rPr>
                <w:rFonts w:hint="eastAsia"/>
              </w:rPr>
              <w:t>混凝土破碎机</w:t>
            </w:r>
          </w:p>
        </w:tc>
        <w:tc>
          <w:tcPr>
            <w:tcW w:w="2267" w:type="dxa"/>
            <w:vAlign w:val="center"/>
          </w:tcPr>
          <w:p>
            <w:pPr>
              <w:pStyle w:val="42"/>
              <w:ind w:firstLine="400"/>
            </w:pPr>
            <w:r>
              <w:t>85</w:t>
            </w:r>
          </w:p>
        </w:tc>
        <w:tc>
          <w:tcPr>
            <w:tcW w:w="2265" w:type="dxa"/>
            <w:vAlign w:val="center"/>
          </w:tcPr>
          <w:p>
            <w:pPr>
              <w:pStyle w:val="42"/>
              <w:ind w:firstLine="400"/>
            </w:pPr>
            <w:r>
              <w:rPr>
                <w:rFonts w:hint="eastAsia"/>
              </w:rPr>
              <w:t>钻</w:t>
            </w:r>
            <w:r>
              <w:t xml:space="preserve">  </w:t>
            </w:r>
            <w:r>
              <w:rPr>
                <w:rFonts w:hint="eastAsia"/>
              </w:rPr>
              <w:t>机</w:t>
            </w:r>
          </w:p>
        </w:tc>
        <w:tc>
          <w:tcPr>
            <w:tcW w:w="2265" w:type="dxa"/>
            <w:vAlign w:val="center"/>
          </w:tcPr>
          <w:p>
            <w:pPr>
              <w:pStyle w:val="42"/>
              <w:ind w:firstLine="400"/>
            </w:pPr>
            <w:r>
              <w:t>85</w:t>
            </w:r>
          </w:p>
        </w:tc>
      </w:tr>
    </w:tbl>
    <w:p>
      <w:pPr>
        <w:spacing w:before="120" w:after="120"/>
        <w:ind w:firstLine="480"/>
      </w:pPr>
      <w:r>
        <w:pict>
          <v:shape id="对象 35" o:spid="_x0000_s1052" o:spt="75" type="#_x0000_t75" style="position:absolute;left:0pt;margin-left:134.05pt;margin-top:106.2pt;height:20.3pt;width:123.6pt;z-index:251659264;mso-width-relative:page;mso-height-relative:page;" o:ole="t" fillcolor="#6D6D6D" filled="t" coordsize="21600,21600">
            <v:path/>
            <v:fill on="t" focussize="0,0"/>
            <v:stroke/>
            <v:imagedata r:id="rId75" o:title=""/>
            <o:lock v:ext="edit" aspectratio="t"/>
          </v:shape>
          <o:OLEObject Type="Embed" ProgID="Equation.3" ShapeID="对象 35" DrawAspect="Content" ObjectID="_1468075737" r:id="rId74">
            <o:LockedField>false</o:LockedField>
          </o:OLEObject>
        </w:pict>
      </w:r>
      <w:r>
        <w:rPr>
          <w:rFonts w:hint="eastAsia"/>
        </w:rPr>
        <w:t>根据重庆市环境监测中心多年对各类建筑施工工地的噪声监测结果统计，施工工地的噪声声级峰至值约</w:t>
      </w:r>
      <w:r>
        <w:t>90dB</w:t>
      </w:r>
      <w:r>
        <w:rPr>
          <w:rFonts w:hint="eastAsia"/>
        </w:rPr>
        <w:t>，一般情况声级为</w:t>
      </w:r>
      <w:r>
        <w:t>81dB</w:t>
      </w:r>
      <w:r>
        <w:rPr>
          <w:rFonts w:hint="eastAsia"/>
        </w:rPr>
        <w:t>。利用距离传播衰减模式预测施工工地场区周围总体噪声分布情况（不考虑任何隔声措施），结果见表5.1</w:t>
      </w:r>
      <w:r>
        <w:t>-2</w:t>
      </w:r>
      <w:r>
        <w:rPr>
          <w:rFonts w:hint="eastAsia"/>
        </w:rPr>
        <w:t>。传播衰减模式：</w:t>
      </w:r>
    </w:p>
    <w:p>
      <w:pPr>
        <w:spacing w:before="120" w:after="120"/>
        <w:ind w:firstLine="480"/>
      </w:pPr>
    </w:p>
    <w:p>
      <w:pPr>
        <w:ind w:firstLine="480"/>
      </w:pPr>
      <w:r>
        <w:rPr>
          <w:rFonts w:hint="eastAsia"/>
        </w:rPr>
        <w:t>式中：</w:t>
      </w:r>
      <w:r>
        <w:t>L</w:t>
      </w:r>
      <w:r>
        <w:rPr>
          <w:vertAlign w:val="subscript"/>
        </w:rPr>
        <w:t>2</w:t>
      </w:r>
      <w:r>
        <w:rPr>
          <w:rFonts w:hint="eastAsia"/>
        </w:rPr>
        <w:t>为与声源相距</w:t>
      </w:r>
      <w:r>
        <w:t>r</w:t>
      </w:r>
      <w:r>
        <w:rPr>
          <w:vertAlign w:val="subscript"/>
        </w:rPr>
        <w:t>2</w:t>
      </w:r>
      <w:r>
        <w:t>m</w:t>
      </w:r>
      <w:r>
        <w:rPr>
          <w:rFonts w:hint="eastAsia"/>
        </w:rPr>
        <w:t>处的施工噪声级，</w:t>
      </w:r>
      <w:r>
        <w:t>dB</w:t>
      </w:r>
      <w:r>
        <w:rPr>
          <w:rFonts w:hint="eastAsia"/>
        </w:rPr>
        <w:t>。</w:t>
      </w:r>
    </w:p>
    <w:p>
      <w:pPr>
        <w:pStyle w:val="41"/>
      </w:pPr>
      <w:r>
        <w:rPr>
          <w:rFonts w:hint="eastAsia"/>
        </w:rPr>
        <w:t>表5.1-2    施工噪声影响预测结果单位：dB</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508"/>
        <w:gridCol w:w="509"/>
        <w:gridCol w:w="509"/>
        <w:gridCol w:w="511"/>
        <w:gridCol w:w="509"/>
        <w:gridCol w:w="509"/>
        <w:gridCol w:w="511"/>
        <w:gridCol w:w="509"/>
        <w:gridCol w:w="509"/>
        <w:gridCol w:w="509"/>
        <w:gridCol w:w="511"/>
        <w:gridCol w:w="509"/>
        <w:gridCol w:w="509"/>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pct"/>
            <w:tcMar>
              <w:left w:w="0" w:type="dxa"/>
              <w:right w:w="0" w:type="dxa"/>
            </w:tcMar>
            <w:vAlign w:val="center"/>
          </w:tcPr>
          <w:p>
            <w:pPr>
              <w:pStyle w:val="42"/>
              <w:ind w:firstLine="400"/>
            </w:pPr>
            <w:r>
              <w:rPr>
                <w:rFonts w:hint="eastAsia"/>
              </w:rPr>
              <w:t>距离</w:t>
            </w:r>
            <w:r>
              <w:t>(m)</w:t>
            </w:r>
          </w:p>
        </w:tc>
        <w:tc>
          <w:tcPr>
            <w:tcW w:w="305" w:type="pct"/>
            <w:tcMar>
              <w:left w:w="0" w:type="dxa"/>
              <w:right w:w="0" w:type="dxa"/>
            </w:tcMar>
            <w:vAlign w:val="center"/>
          </w:tcPr>
          <w:p>
            <w:pPr>
              <w:pStyle w:val="42"/>
              <w:ind w:firstLine="400"/>
            </w:pPr>
            <w:r>
              <w:t>5</w:t>
            </w:r>
          </w:p>
        </w:tc>
        <w:tc>
          <w:tcPr>
            <w:tcW w:w="306" w:type="pct"/>
            <w:tcMar>
              <w:left w:w="0" w:type="dxa"/>
              <w:right w:w="0" w:type="dxa"/>
            </w:tcMar>
            <w:vAlign w:val="center"/>
          </w:tcPr>
          <w:p>
            <w:pPr>
              <w:pStyle w:val="42"/>
              <w:ind w:firstLine="400"/>
            </w:pPr>
            <w:r>
              <w:t>10</w:t>
            </w:r>
          </w:p>
        </w:tc>
        <w:tc>
          <w:tcPr>
            <w:tcW w:w="306" w:type="pct"/>
            <w:tcMar>
              <w:left w:w="0" w:type="dxa"/>
              <w:right w:w="0" w:type="dxa"/>
            </w:tcMar>
            <w:vAlign w:val="center"/>
          </w:tcPr>
          <w:p>
            <w:pPr>
              <w:pStyle w:val="42"/>
              <w:ind w:firstLine="400"/>
            </w:pPr>
            <w:r>
              <w:t>15</w:t>
            </w:r>
          </w:p>
        </w:tc>
        <w:tc>
          <w:tcPr>
            <w:tcW w:w="307" w:type="pct"/>
            <w:tcMar>
              <w:left w:w="0" w:type="dxa"/>
              <w:right w:w="0" w:type="dxa"/>
            </w:tcMar>
            <w:vAlign w:val="center"/>
          </w:tcPr>
          <w:p>
            <w:pPr>
              <w:pStyle w:val="42"/>
              <w:ind w:firstLine="400"/>
            </w:pPr>
            <w:r>
              <w:t>20</w:t>
            </w:r>
          </w:p>
        </w:tc>
        <w:tc>
          <w:tcPr>
            <w:tcW w:w="306" w:type="pct"/>
            <w:tcMar>
              <w:left w:w="0" w:type="dxa"/>
              <w:right w:w="0" w:type="dxa"/>
            </w:tcMar>
            <w:vAlign w:val="center"/>
          </w:tcPr>
          <w:p>
            <w:pPr>
              <w:pStyle w:val="42"/>
              <w:ind w:firstLine="400"/>
            </w:pPr>
            <w:r>
              <w:t>30</w:t>
            </w:r>
          </w:p>
        </w:tc>
        <w:tc>
          <w:tcPr>
            <w:tcW w:w="306" w:type="pct"/>
            <w:tcMar>
              <w:left w:w="0" w:type="dxa"/>
              <w:right w:w="0" w:type="dxa"/>
            </w:tcMar>
            <w:vAlign w:val="center"/>
          </w:tcPr>
          <w:p>
            <w:pPr>
              <w:pStyle w:val="42"/>
              <w:ind w:firstLine="400"/>
            </w:pPr>
            <w:r>
              <w:t>40</w:t>
            </w:r>
          </w:p>
        </w:tc>
        <w:tc>
          <w:tcPr>
            <w:tcW w:w="307" w:type="pct"/>
            <w:tcMar>
              <w:left w:w="0" w:type="dxa"/>
              <w:right w:w="0" w:type="dxa"/>
            </w:tcMar>
            <w:vAlign w:val="center"/>
          </w:tcPr>
          <w:p>
            <w:pPr>
              <w:pStyle w:val="42"/>
              <w:ind w:firstLine="400"/>
            </w:pPr>
            <w:r>
              <w:t>50</w:t>
            </w:r>
          </w:p>
        </w:tc>
        <w:tc>
          <w:tcPr>
            <w:tcW w:w="306" w:type="pct"/>
            <w:tcMar>
              <w:left w:w="0" w:type="dxa"/>
              <w:right w:w="0" w:type="dxa"/>
            </w:tcMar>
            <w:vAlign w:val="center"/>
          </w:tcPr>
          <w:p>
            <w:pPr>
              <w:pStyle w:val="42"/>
              <w:ind w:firstLine="400"/>
            </w:pPr>
            <w:r>
              <w:t>60</w:t>
            </w:r>
          </w:p>
        </w:tc>
        <w:tc>
          <w:tcPr>
            <w:tcW w:w="306" w:type="pct"/>
            <w:tcMar>
              <w:left w:w="0" w:type="dxa"/>
              <w:right w:w="0" w:type="dxa"/>
            </w:tcMar>
            <w:vAlign w:val="center"/>
          </w:tcPr>
          <w:p>
            <w:pPr>
              <w:pStyle w:val="42"/>
              <w:ind w:firstLine="400"/>
            </w:pPr>
            <w:r>
              <w:t>80</w:t>
            </w:r>
          </w:p>
        </w:tc>
        <w:tc>
          <w:tcPr>
            <w:tcW w:w="306" w:type="pct"/>
            <w:tcMar>
              <w:left w:w="0" w:type="dxa"/>
              <w:right w:w="0" w:type="dxa"/>
            </w:tcMar>
            <w:vAlign w:val="center"/>
          </w:tcPr>
          <w:p>
            <w:pPr>
              <w:pStyle w:val="42"/>
              <w:ind w:firstLine="400"/>
            </w:pPr>
            <w:r>
              <w:t>100</w:t>
            </w:r>
          </w:p>
        </w:tc>
        <w:tc>
          <w:tcPr>
            <w:tcW w:w="307" w:type="pct"/>
            <w:tcMar>
              <w:left w:w="0" w:type="dxa"/>
              <w:right w:w="0" w:type="dxa"/>
            </w:tcMar>
            <w:vAlign w:val="center"/>
          </w:tcPr>
          <w:p>
            <w:pPr>
              <w:pStyle w:val="42"/>
              <w:ind w:firstLine="400"/>
            </w:pPr>
            <w:r>
              <w:t>110</w:t>
            </w:r>
          </w:p>
        </w:tc>
        <w:tc>
          <w:tcPr>
            <w:tcW w:w="306" w:type="pct"/>
            <w:tcMar>
              <w:left w:w="0" w:type="dxa"/>
              <w:right w:w="0" w:type="dxa"/>
            </w:tcMar>
            <w:vAlign w:val="center"/>
          </w:tcPr>
          <w:p>
            <w:pPr>
              <w:pStyle w:val="42"/>
              <w:ind w:firstLine="400"/>
            </w:pPr>
            <w:r>
              <w:t>130</w:t>
            </w:r>
          </w:p>
        </w:tc>
        <w:tc>
          <w:tcPr>
            <w:tcW w:w="306" w:type="pct"/>
            <w:tcMar>
              <w:left w:w="0" w:type="dxa"/>
              <w:right w:w="0" w:type="dxa"/>
            </w:tcMar>
            <w:vAlign w:val="center"/>
          </w:tcPr>
          <w:p>
            <w:pPr>
              <w:pStyle w:val="42"/>
              <w:ind w:firstLine="400"/>
            </w:pPr>
            <w:r>
              <w:t>150</w:t>
            </w:r>
          </w:p>
        </w:tc>
        <w:tc>
          <w:tcPr>
            <w:tcW w:w="306" w:type="pct"/>
            <w:tcMar>
              <w:left w:w="0" w:type="dxa"/>
              <w:right w:w="0" w:type="dxa"/>
            </w:tcMar>
            <w:vAlign w:val="center"/>
          </w:tcPr>
          <w:p>
            <w:pPr>
              <w:pStyle w:val="42"/>
              <w:ind w:firstLine="400"/>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pct"/>
            <w:tcMar>
              <w:left w:w="0" w:type="dxa"/>
              <w:right w:w="0" w:type="dxa"/>
            </w:tcMar>
            <w:vAlign w:val="center"/>
          </w:tcPr>
          <w:p>
            <w:pPr>
              <w:pStyle w:val="42"/>
              <w:ind w:firstLine="400"/>
            </w:pPr>
            <w:r>
              <w:rPr>
                <w:rFonts w:hint="eastAsia"/>
              </w:rPr>
              <w:t>峰值声级</w:t>
            </w:r>
          </w:p>
        </w:tc>
        <w:tc>
          <w:tcPr>
            <w:tcW w:w="305" w:type="pct"/>
            <w:tcMar>
              <w:left w:w="0" w:type="dxa"/>
              <w:right w:w="0" w:type="dxa"/>
            </w:tcMar>
            <w:vAlign w:val="center"/>
          </w:tcPr>
          <w:p>
            <w:pPr>
              <w:pStyle w:val="42"/>
              <w:ind w:firstLine="400"/>
            </w:pPr>
            <w:r>
              <w:t>87</w:t>
            </w:r>
          </w:p>
        </w:tc>
        <w:tc>
          <w:tcPr>
            <w:tcW w:w="306" w:type="pct"/>
            <w:tcMar>
              <w:left w:w="0" w:type="dxa"/>
              <w:right w:w="0" w:type="dxa"/>
            </w:tcMar>
            <w:vAlign w:val="center"/>
          </w:tcPr>
          <w:p>
            <w:pPr>
              <w:pStyle w:val="42"/>
              <w:ind w:firstLine="400"/>
            </w:pPr>
            <w:r>
              <w:t>81</w:t>
            </w:r>
          </w:p>
        </w:tc>
        <w:tc>
          <w:tcPr>
            <w:tcW w:w="306" w:type="pct"/>
            <w:tcMar>
              <w:left w:w="0" w:type="dxa"/>
              <w:right w:w="0" w:type="dxa"/>
            </w:tcMar>
            <w:vAlign w:val="center"/>
          </w:tcPr>
          <w:p>
            <w:pPr>
              <w:pStyle w:val="42"/>
              <w:ind w:firstLine="400"/>
            </w:pPr>
            <w:r>
              <w:t>77</w:t>
            </w:r>
          </w:p>
        </w:tc>
        <w:tc>
          <w:tcPr>
            <w:tcW w:w="307" w:type="pct"/>
            <w:tcMar>
              <w:left w:w="0" w:type="dxa"/>
              <w:right w:w="0" w:type="dxa"/>
            </w:tcMar>
            <w:vAlign w:val="center"/>
          </w:tcPr>
          <w:p>
            <w:pPr>
              <w:pStyle w:val="42"/>
              <w:ind w:firstLine="400"/>
            </w:pPr>
            <w:r>
              <w:t>75</w:t>
            </w:r>
          </w:p>
        </w:tc>
        <w:tc>
          <w:tcPr>
            <w:tcW w:w="306" w:type="pct"/>
            <w:tcMar>
              <w:left w:w="0" w:type="dxa"/>
              <w:right w:w="0" w:type="dxa"/>
            </w:tcMar>
            <w:vAlign w:val="center"/>
          </w:tcPr>
          <w:p>
            <w:pPr>
              <w:pStyle w:val="42"/>
              <w:ind w:firstLine="400"/>
            </w:pPr>
            <w:r>
              <w:t>71</w:t>
            </w:r>
          </w:p>
        </w:tc>
        <w:tc>
          <w:tcPr>
            <w:tcW w:w="306" w:type="pct"/>
            <w:tcMar>
              <w:left w:w="0" w:type="dxa"/>
              <w:right w:w="0" w:type="dxa"/>
            </w:tcMar>
            <w:vAlign w:val="center"/>
          </w:tcPr>
          <w:p>
            <w:pPr>
              <w:pStyle w:val="42"/>
              <w:ind w:firstLine="400"/>
            </w:pPr>
            <w:r>
              <w:t>69</w:t>
            </w:r>
          </w:p>
        </w:tc>
        <w:tc>
          <w:tcPr>
            <w:tcW w:w="307" w:type="pct"/>
            <w:tcMar>
              <w:left w:w="0" w:type="dxa"/>
              <w:right w:w="0" w:type="dxa"/>
            </w:tcMar>
            <w:vAlign w:val="center"/>
          </w:tcPr>
          <w:p>
            <w:pPr>
              <w:pStyle w:val="42"/>
              <w:ind w:firstLine="400"/>
            </w:pPr>
            <w:r>
              <w:t>67</w:t>
            </w:r>
          </w:p>
        </w:tc>
        <w:tc>
          <w:tcPr>
            <w:tcW w:w="306" w:type="pct"/>
            <w:tcMar>
              <w:left w:w="0" w:type="dxa"/>
              <w:right w:w="0" w:type="dxa"/>
            </w:tcMar>
            <w:vAlign w:val="center"/>
          </w:tcPr>
          <w:p>
            <w:pPr>
              <w:pStyle w:val="42"/>
              <w:ind w:firstLine="400"/>
            </w:pPr>
            <w:r>
              <w:t>65</w:t>
            </w:r>
          </w:p>
        </w:tc>
        <w:tc>
          <w:tcPr>
            <w:tcW w:w="306" w:type="pct"/>
            <w:tcMar>
              <w:left w:w="0" w:type="dxa"/>
              <w:right w:w="0" w:type="dxa"/>
            </w:tcMar>
            <w:vAlign w:val="center"/>
          </w:tcPr>
          <w:p>
            <w:pPr>
              <w:pStyle w:val="42"/>
              <w:ind w:firstLine="400"/>
            </w:pPr>
            <w:r>
              <w:t>63</w:t>
            </w:r>
          </w:p>
        </w:tc>
        <w:tc>
          <w:tcPr>
            <w:tcW w:w="306" w:type="pct"/>
            <w:tcMar>
              <w:left w:w="0" w:type="dxa"/>
              <w:right w:w="0" w:type="dxa"/>
            </w:tcMar>
            <w:vAlign w:val="center"/>
          </w:tcPr>
          <w:p>
            <w:pPr>
              <w:pStyle w:val="42"/>
              <w:ind w:firstLine="400"/>
            </w:pPr>
            <w:r>
              <w:t>61</w:t>
            </w:r>
          </w:p>
        </w:tc>
        <w:tc>
          <w:tcPr>
            <w:tcW w:w="307" w:type="pct"/>
            <w:tcMar>
              <w:left w:w="0" w:type="dxa"/>
              <w:right w:w="0" w:type="dxa"/>
            </w:tcMar>
            <w:vAlign w:val="center"/>
          </w:tcPr>
          <w:p>
            <w:pPr>
              <w:pStyle w:val="42"/>
              <w:ind w:firstLine="400"/>
            </w:pPr>
            <w:r>
              <w:t>60</w:t>
            </w:r>
          </w:p>
        </w:tc>
        <w:tc>
          <w:tcPr>
            <w:tcW w:w="306" w:type="pct"/>
            <w:tcMar>
              <w:left w:w="0" w:type="dxa"/>
              <w:right w:w="0" w:type="dxa"/>
            </w:tcMar>
            <w:vAlign w:val="center"/>
          </w:tcPr>
          <w:p>
            <w:pPr>
              <w:pStyle w:val="42"/>
              <w:ind w:firstLine="400"/>
            </w:pPr>
            <w:r>
              <w:t>59</w:t>
            </w:r>
          </w:p>
        </w:tc>
        <w:tc>
          <w:tcPr>
            <w:tcW w:w="306" w:type="pct"/>
            <w:tcMar>
              <w:left w:w="0" w:type="dxa"/>
              <w:right w:w="0" w:type="dxa"/>
            </w:tcMar>
            <w:vAlign w:val="center"/>
          </w:tcPr>
          <w:p>
            <w:pPr>
              <w:pStyle w:val="42"/>
              <w:ind w:firstLine="400"/>
            </w:pPr>
            <w:r>
              <w:t>57</w:t>
            </w:r>
          </w:p>
        </w:tc>
        <w:tc>
          <w:tcPr>
            <w:tcW w:w="306" w:type="pct"/>
            <w:tcMar>
              <w:left w:w="0" w:type="dxa"/>
              <w:right w:w="0" w:type="dxa"/>
            </w:tcMar>
            <w:vAlign w:val="center"/>
          </w:tcPr>
          <w:p>
            <w:pPr>
              <w:pStyle w:val="42"/>
              <w:ind w:firstLine="400"/>
            </w:pPr>
            <w: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2" w:type="pct"/>
            <w:tcMar>
              <w:left w:w="0" w:type="dxa"/>
              <w:right w:w="0" w:type="dxa"/>
            </w:tcMar>
            <w:vAlign w:val="center"/>
          </w:tcPr>
          <w:p>
            <w:pPr>
              <w:pStyle w:val="42"/>
              <w:ind w:firstLine="400"/>
            </w:pPr>
            <w:r>
              <w:rPr>
                <w:rFonts w:hint="eastAsia"/>
              </w:rPr>
              <w:t>一般情况</w:t>
            </w:r>
          </w:p>
          <w:p>
            <w:pPr>
              <w:pStyle w:val="42"/>
              <w:ind w:firstLine="400"/>
            </w:pPr>
            <w:r>
              <w:rPr>
                <w:rFonts w:hint="eastAsia"/>
              </w:rPr>
              <w:t>声级</w:t>
            </w:r>
          </w:p>
        </w:tc>
        <w:tc>
          <w:tcPr>
            <w:tcW w:w="305" w:type="pct"/>
            <w:tcMar>
              <w:left w:w="0" w:type="dxa"/>
              <w:right w:w="0" w:type="dxa"/>
            </w:tcMar>
            <w:vAlign w:val="center"/>
          </w:tcPr>
          <w:p>
            <w:pPr>
              <w:pStyle w:val="42"/>
              <w:ind w:firstLine="400"/>
            </w:pPr>
            <w:r>
              <w:t>78</w:t>
            </w:r>
          </w:p>
        </w:tc>
        <w:tc>
          <w:tcPr>
            <w:tcW w:w="306" w:type="pct"/>
            <w:tcMar>
              <w:left w:w="0" w:type="dxa"/>
              <w:right w:w="0" w:type="dxa"/>
            </w:tcMar>
            <w:vAlign w:val="center"/>
          </w:tcPr>
          <w:p>
            <w:pPr>
              <w:pStyle w:val="42"/>
              <w:ind w:firstLine="400"/>
            </w:pPr>
            <w:r>
              <w:t>72</w:t>
            </w:r>
          </w:p>
        </w:tc>
        <w:tc>
          <w:tcPr>
            <w:tcW w:w="306" w:type="pct"/>
            <w:tcMar>
              <w:left w:w="0" w:type="dxa"/>
              <w:right w:w="0" w:type="dxa"/>
            </w:tcMar>
            <w:vAlign w:val="center"/>
          </w:tcPr>
          <w:p>
            <w:pPr>
              <w:pStyle w:val="42"/>
              <w:ind w:firstLine="400"/>
            </w:pPr>
            <w:r>
              <w:t>68</w:t>
            </w:r>
          </w:p>
        </w:tc>
        <w:tc>
          <w:tcPr>
            <w:tcW w:w="307" w:type="pct"/>
            <w:tcMar>
              <w:left w:w="0" w:type="dxa"/>
              <w:right w:w="0" w:type="dxa"/>
            </w:tcMar>
            <w:vAlign w:val="center"/>
          </w:tcPr>
          <w:p>
            <w:pPr>
              <w:pStyle w:val="42"/>
              <w:ind w:firstLine="400"/>
            </w:pPr>
            <w:r>
              <w:t>66</w:t>
            </w:r>
          </w:p>
        </w:tc>
        <w:tc>
          <w:tcPr>
            <w:tcW w:w="306" w:type="pct"/>
            <w:tcMar>
              <w:left w:w="0" w:type="dxa"/>
              <w:right w:w="0" w:type="dxa"/>
            </w:tcMar>
            <w:vAlign w:val="center"/>
          </w:tcPr>
          <w:p>
            <w:pPr>
              <w:pStyle w:val="42"/>
              <w:ind w:firstLine="400"/>
            </w:pPr>
            <w:r>
              <w:t>62</w:t>
            </w:r>
          </w:p>
        </w:tc>
        <w:tc>
          <w:tcPr>
            <w:tcW w:w="306" w:type="pct"/>
            <w:tcMar>
              <w:left w:w="0" w:type="dxa"/>
              <w:right w:w="0" w:type="dxa"/>
            </w:tcMar>
            <w:vAlign w:val="center"/>
          </w:tcPr>
          <w:p>
            <w:pPr>
              <w:pStyle w:val="42"/>
              <w:ind w:firstLine="400"/>
            </w:pPr>
            <w:r>
              <w:t>60</w:t>
            </w:r>
          </w:p>
        </w:tc>
        <w:tc>
          <w:tcPr>
            <w:tcW w:w="307" w:type="pct"/>
            <w:tcMar>
              <w:left w:w="0" w:type="dxa"/>
              <w:right w:w="0" w:type="dxa"/>
            </w:tcMar>
            <w:vAlign w:val="center"/>
          </w:tcPr>
          <w:p>
            <w:pPr>
              <w:pStyle w:val="42"/>
              <w:ind w:firstLine="400"/>
            </w:pPr>
            <w:r>
              <w:t>58</w:t>
            </w:r>
          </w:p>
        </w:tc>
        <w:tc>
          <w:tcPr>
            <w:tcW w:w="306" w:type="pct"/>
            <w:tcMar>
              <w:left w:w="0" w:type="dxa"/>
              <w:right w:w="0" w:type="dxa"/>
            </w:tcMar>
            <w:vAlign w:val="center"/>
          </w:tcPr>
          <w:p>
            <w:pPr>
              <w:pStyle w:val="42"/>
              <w:ind w:firstLine="400"/>
            </w:pPr>
            <w:r>
              <w:t>56</w:t>
            </w:r>
          </w:p>
        </w:tc>
        <w:tc>
          <w:tcPr>
            <w:tcW w:w="306" w:type="pct"/>
            <w:tcMar>
              <w:left w:w="0" w:type="dxa"/>
              <w:right w:w="0" w:type="dxa"/>
            </w:tcMar>
            <w:vAlign w:val="center"/>
          </w:tcPr>
          <w:p>
            <w:pPr>
              <w:pStyle w:val="42"/>
              <w:ind w:firstLine="400"/>
            </w:pPr>
            <w:r>
              <w:t>54</w:t>
            </w:r>
          </w:p>
        </w:tc>
        <w:tc>
          <w:tcPr>
            <w:tcW w:w="306" w:type="pct"/>
            <w:tcMar>
              <w:left w:w="0" w:type="dxa"/>
              <w:right w:w="0" w:type="dxa"/>
            </w:tcMar>
            <w:vAlign w:val="center"/>
          </w:tcPr>
          <w:p>
            <w:pPr>
              <w:pStyle w:val="42"/>
              <w:ind w:firstLine="400"/>
            </w:pPr>
            <w:r>
              <w:t>52</w:t>
            </w:r>
          </w:p>
        </w:tc>
        <w:tc>
          <w:tcPr>
            <w:tcW w:w="307" w:type="pct"/>
            <w:tcMar>
              <w:left w:w="0" w:type="dxa"/>
              <w:right w:w="0" w:type="dxa"/>
            </w:tcMar>
            <w:vAlign w:val="center"/>
          </w:tcPr>
          <w:p>
            <w:pPr>
              <w:pStyle w:val="42"/>
              <w:ind w:firstLine="400"/>
            </w:pPr>
            <w:r>
              <w:t>51</w:t>
            </w:r>
          </w:p>
        </w:tc>
        <w:tc>
          <w:tcPr>
            <w:tcW w:w="306" w:type="pct"/>
            <w:tcMar>
              <w:left w:w="0" w:type="dxa"/>
              <w:right w:w="0" w:type="dxa"/>
            </w:tcMar>
            <w:vAlign w:val="center"/>
          </w:tcPr>
          <w:p>
            <w:pPr>
              <w:pStyle w:val="42"/>
              <w:ind w:firstLine="400"/>
            </w:pPr>
            <w:r>
              <w:t>50</w:t>
            </w:r>
          </w:p>
        </w:tc>
        <w:tc>
          <w:tcPr>
            <w:tcW w:w="306" w:type="pct"/>
            <w:tcMar>
              <w:left w:w="0" w:type="dxa"/>
              <w:right w:w="0" w:type="dxa"/>
            </w:tcMar>
            <w:vAlign w:val="center"/>
          </w:tcPr>
          <w:p>
            <w:pPr>
              <w:pStyle w:val="42"/>
              <w:ind w:firstLine="400"/>
            </w:pPr>
            <w:r>
              <w:t>48</w:t>
            </w:r>
          </w:p>
        </w:tc>
        <w:tc>
          <w:tcPr>
            <w:tcW w:w="306" w:type="pct"/>
            <w:tcMar>
              <w:left w:w="0" w:type="dxa"/>
              <w:right w:w="0" w:type="dxa"/>
            </w:tcMar>
            <w:vAlign w:val="center"/>
          </w:tcPr>
          <w:p>
            <w:pPr>
              <w:pStyle w:val="42"/>
              <w:ind w:firstLine="400"/>
            </w:pPr>
            <w:r>
              <w:t>46</w:t>
            </w:r>
          </w:p>
        </w:tc>
      </w:tr>
    </w:tbl>
    <w:p>
      <w:pPr>
        <w:ind w:firstLine="480"/>
      </w:pPr>
      <w:r>
        <w:rPr>
          <w:rFonts w:hint="eastAsia"/>
        </w:rPr>
        <w:t>根据表5.1-2，按《声环境质量标准》（GB3096-2008）3类区域标准衡量，施工噪声昼间在25m外可达标、夜间在78m外可达标；考虑到施工场地噪声分布的不均匀性（施工场地噪声峰值的出现），其可能影响的范围昼间可能达60m，夜间达200m以外。</w:t>
      </w:r>
    </w:p>
    <w:p>
      <w:pPr>
        <w:ind w:firstLine="480"/>
      </w:pPr>
      <w:r>
        <w:rPr>
          <w:rFonts w:hint="eastAsia"/>
        </w:rPr>
        <w:t>由于施工场地周围主要为园区规划用地或在建、已建企业，200m内无学校、医院和居民等环境保护目标。因此，拟建项目施工期严格按照环评要求采取的措施施工、合理安排工期，将不会产生施工噪声扰民问题。且施工噪声产生的影响是暂时的，随施工的结束而消失。</w:t>
      </w:r>
    </w:p>
    <w:p>
      <w:pPr>
        <w:pStyle w:val="4"/>
        <w:spacing w:before="163" w:after="163"/>
      </w:pPr>
      <w:bookmarkStart w:id="116" w:name="_Toc84844288"/>
      <w:r>
        <w:rPr>
          <w:rFonts w:hint="eastAsia"/>
        </w:rPr>
        <w:t>5.1.2施工期环境污染防治措施</w:t>
      </w:r>
      <w:bookmarkEnd w:id="116"/>
    </w:p>
    <w:p>
      <w:pPr>
        <w:ind w:firstLine="480"/>
      </w:pPr>
      <w:r>
        <w:rPr>
          <w:rFonts w:hint="eastAsia"/>
        </w:rPr>
        <w:t>减少施工期对环境影响应采取的主要措施是按照国家及重庆市市政管理部门的有关规定，加强施工管理，强调文明施工，同时针对各种影响途径采取相应的防治措施。建设单位和施工单位应设环境管理监督员，监督污染防治措施的实施。</w:t>
      </w:r>
    </w:p>
    <w:p>
      <w:pPr>
        <w:pStyle w:val="5"/>
        <w:spacing w:before="163" w:after="163"/>
      </w:pPr>
      <w:r>
        <w:rPr>
          <w:rFonts w:hint="eastAsia"/>
        </w:rPr>
        <w:t>5.1.2.1废气和扬尘</w:t>
      </w:r>
    </w:p>
    <w:p>
      <w:pPr>
        <w:ind w:firstLine="480"/>
      </w:pPr>
      <w:r>
        <w:rPr>
          <w:rFonts w:hint="eastAsia"/>
        </w:rPr>
        <w:t>（1）施工作业区应配备专人负责，作到科学管理、文明施工；在基础施工期间，应尽可能采取措施提高工程进度，并将建筑垃圾及时外运到指定地点，缩短堆放的周期。在地基开挖、土方运输过程中采用湿式作业，并尽可能采取遮盖措施。</w:t>
      </w:r>
    </w:p>
    <w:p>
      <w:pPr>
        <w:ind w:firstLine="480"/>
      </w:pPr>
      <w:r>
        <w:rPr>
          <w:rFonts w:hint="eastAsia"/>
        </w:rPr>
        <w:t>（2）施工场地周围需设置不低于1.8m的硬质密闭围挡，围挡底端应设置防溢座，围挡之间及围挡与防溢座之间无缝隙。特殊地点无法设置围挡及防溢座的，应设置警示牌。</w:t>
      </w:r>
    </w:p>
    <w:p>
      <w:pPr>
        <w:ind w:firstLine="480"/>
      </w:pPr>
      <w:r>
        <w:rPr>
          <w:rFonts w:hint="eastAsia"/>
        </w:rPr>
        <w:t>（3）制定洒水制度，对产生扬尘的施工作业及施工道路定期洒水；施工场地内运输道路应及时清扫，减少汽车行驶扬尘；在运输车辆出口设置汽车冲洗设施，严禁车辆带泥离开场地。</w:t>
      </w:r>
    </w:p>
    <w:p>
      <w:pPr>
        <w:ind w:firstLine="480"/>
      </w:pPr>
      <w:r>
        <w:rPr>
          <w:rFonts w:hint="eastAsia"/>
        </w:rPr>
        <w:t>（4）施工过程中使用的水泥及其他细颗粒散装原料，应密闭存放或采用防尘布遮盖，避免露天堆放；物料运输时应采用密闭式槽车运输，防止运输过程中细颗粒洒落造成扬尘污染。</w:t>
      </w:r>
    </w:p>
    <w:p>
      <w:pPr>
        <w:ind w:firstLine="480"/>
      </w:pPr>
      <w:r>
        <w:rPr>
          <w:rFonts w:hint="eastAsia"/>
        </w:rPr>
        <w:t>（5）加强施工机械的使用管理和施工机械的维修和保养，提高机械使用效率，减少废气排放，以减轻其对环境的影响。</w:t>
      </w:r>
    </w:p>
    <w:p>
      <w:pPr>
        <w:ind w:firstLine="480"/>
      </w:pPr>
      <w:r>
        <w:rPr>
          <w:rFonts w:hint="eastAsia"/>
        </w:rPr>
        <w:t>拟建项目施工期环境空气影响在加强管理和洒水抑尘后，其影响距离和范围有限，且只限于施工期，随建设期的结束而停止，不会产生累积的污染影响。工程在加强对扬尘排放源的管理，加强对施工设备的保养，物料运输车辆采取洒水降尘等措施情况下，可以将工程施工期对周围环境空气的影响减至最小程度。</w:t>
      </w:r>
    </w:p>
    <w:p>
      <w:pPr>
        <w:pStyle w:val="5"/>
        <w:spacing w:before="163" w:after="163"/>
      </w:pPr>
      <w:r>
        <w:rPr>
          <w:rFonts w:hint="eastAsia"/>
        </w:rPr>
        <w:t>5.1.2.2废水</w:t>
      </w:r>
    </w:p>
    <w:p>
      <w:pPr>
        <w:ind w:firstLine="480"/>
      </w:pPr>
      <w:r>
        <w:rPr>
          <w:rFonts w:hint="eastAsia"/>
        </w:rPr>
        <w:t>拟建项目施工废水集中收集，经隔油、沉淀处理后回用于施工场地洒水抑尘等，不外排；施工人员生活污水集中收集，排入园区污水处理厂处理达标排放。</w:t>
      </w:r>
    </w:p>
    <w:p>
      <w:pPr>
        <w:ind w:firstLine="480"/>
      </w:pPr>
      <w:r>
        <w:rPr>
          <w:rFonts w:hint="eastAsia"/>
        </w:rPr>
        <w:t>此外，为进一步防止施工废水对地表水体水质的污染，施工中应采取以下措施：</w:t>
      </w:r>
    </w:p>
    <w:p>
      <w:pPr>
        <w:ind w:firstLine="480"/>
      </w:pPr>
      <w:r>
        <w:rPr>
          <w:rFonts w:hint="eastAsia"/>
        </w:rPr>
        <w:t>（1）施工场地上游设截洪沟，防止降水对开挖地表的冲刷；</w:t>
      </w:r>
    </w:p>
    <w:p>
      <w:pPr>
        <w:ind w:firstLine="480"/>
      </w:pPr>
      <w:r>
        <w:rPr>
          <w:rFonts w:hint="eastAsia"/>
        </w:rPr>
        <w:t>（2）施工场地周围设置排水沟，将施工废水收集至沉砂池沉淀处理；</w:t>
      </w:r>
    </w:p>
    <w:p>
      <w:pPr>
        <w:ind w:firstLine="480"/>
      </w:pPr>
      <w:r>
        <w:rPr>
          <w:rFonts w:hint="eastAsia"/>
        </w:rPr>
        <w:t>（3）施工燃油机械维护和冲洗产生的含油废水经隔油、沉淀处理后在施工场地回用；</w:t>
      </w:r>
    </w:p>
    <w:p>
      <w:pPr>
        <w:ind w:firstLine="480"/>
      </w:pPr>
      <w:r>
        <w:rPr>
          <w:rFonts w:hint="eastAsia"/>
        </w:rPr>
        <w:t>（4）施工单位对施工场地用水应严格管理，贯彻“一水多用、重复利用、节约用水”的原则，尽量减少废水的排放量。</w:t>
      </w:r>
    </w:p>
    <w:p>
      <w:pPr>
        <w:ind w:firstLine="480"/>
      </w:pPr>
      <w:r>
        <w:rPr>
          <w:rFonts w:hint="eastAsia"/>
        </w:rPr>
        <w:t>（5）拟建项目施工期废水集中收集后处理达标后排放，杜绝废水“跑、冒、滴、漏”现象的发生，采用上述措施处理后，拟建项目对水环境影响小。</w:t>
      </w:r>
    </w:p>
    <w:p>
      <w:pPr>
        <w:pStyle w:val="5"/>
        <w:spacing w:before="163" w:after="163"/>
      </w:pPr>
      <w:r>
        <w:rPr>
          <w:rFonts w:hint="eastAsia"/>
        </w:rPr>
        <w:t>5.1.2.3固体废物</w:t>
      </w:r>
    </w:p>
    <w:p>
      <w:pPr>
        <w:ind w:firstLine="480"/>
      </w:pPr>
      <w:r>
        <w:rPr>
          <w:rFonts w:hint="eastAsia"/>
        </w:rPr>
        <w:t>拟建项目施工期固体废物主要为生活垃圾和建筑弃渣。</w:t>
      </w:r>
    </w:p>
    <w:p>
      <w:pPr>
        <w:ind w:firstLine="480"/>
      </w:pPr>
      <w:r>
        <w:rPr>
          <w:rFonts w:hint="eastAsia"/>
        </w:rPr>
        <w:t>施工期生活垃圾统一收集后，由环卫部门收集处置。</w:t>
      </w:r>
    </w:p>
    <w:p>
      <w:pPr>
        <w:ind w:firstLine="480"/>
      </w:pPr>
      <w:r>
        <w:rPr>
          <w:rFonts w:hint="eastAsia"/>
        </w:rPr>
        <w:t>施工单位应该在工程开工前向有关部门申报建筑垃圾、工程渣土排放处置计划，如实填报建建筑弃渣的种类、数量、运输路线及处置场地等事项；不得占用道路堆放建筑弃渣。建筑弃渣及时清理、集中堆放，尽量回收利用，不能回收利用的集中收集后送往建委指定的渣场处置，避免对城市的景观及区域环境卫生造成大的影响。施工弃渣严禁倾倒入地表水体。</w:t>
      </w:r>
    </w:p>
    <w:p>
      <w:pPr>
        <w:pStyle w:val="5"/>
        <w:spacing w:before="163" w:after="163"/>
      </w:pPr>
      <w:r>
        <w:rPr>
          <w:rFonts w:hint="eastAsia"/>
        </w:rPr>
        <w:t>5.1.2.4噪声</w:t>
      </w:r>
    </w:p>
    <w:p>
      <w:pPr>
        <w:ind w:firstLine="480"/>
      </w:pPr>
      <w:r>
        <w:rPr>
          <w:rFonts w:hint="eastAsia"/>
        </w:rPr>
        <w:t>对施工机械设备的噪声控制采取限制施工时间、禁止车辆超载、禁鸣、限速、合理安排施工工序、时间等措施来降低施工噪声对声环境的影响。根据拟建项目所在地周围环境情况，确定拟建项目降噪措施为：</w:t>
      </w:r>
    </w:p>
    <w:p>
      <w:pPr>
        <w:ind w:firstLine="480"/>
      </w:pPr>
      <w:r>
        <w:rPr>
          <w:rFonts w:hint="eastAsia"/>
        </w:rPr>
        <w:t>（1）选用良好的低噪声设备，并且定期维护确保其处于良好的运行状态；</w:t>
      </w:r>
    </w:p>
    <w:p>
      <w:pPr>
        <w:ind w:firstLine="480"/>
      </w:pPr>
      <w:r>
        <w:rPr>
          <w:rFonts w:hint="eastAsia"/>
        </w:rPr>
        <w:t>（2）将高噪声设备安置于场地中部，增加自然衰减距离，并对高噪声设备设置临时单面声障，一般考虑距离高噪声设备40m处设置声障；</w:t>
      </w:r>
    </w:p>
    <w:p>
      <w:pPr>
        <w:ind w:firstLine="480"/>
      </w:pPr>
      <w:r>
        <w:rPr>
          <w:rFonts w:hint="eastAsia"/>
        </w:rPr>
        <w:t>（3）合理安排施工时间，对高噪声的施工设备仅限于白天作业，严禁在夜间22:00~次日6:00作业，如必须连续24小时作业，应向环境保护局申请办理夜间施工许可证，待其批准后，由施工单位认真实施降噪措施，并将生态环境局批准的夜间施工许可证悬挂于工地显眼处，同时张贴写有施工时间及原因的告示，以便于取得公众谅解和环保执法人员监督检查。</w:t>
      </w:r>
    </w:p>
    <w:p>
      <w:pPr>
        <w:pStyle w:val="5"/>
        <w:spacing w:before="163" w:after="163"/>
      </w:pPr>
      <w:r>
        <w:rPr>
          <w:rFonts w:hint="eastAsia"/>
        </w:rPr>
        <w:t>5.1.2.5地下水</w:t>
      </w:r>
    </w:p>
    <w:p>
      <w:pPr>
        <w:ind w:firstLine="480"/>
      </w:pPr>
      <w:r>
        <w:rPr>
          <w:rFonts w:hint="eastAsia"/>
        </w:rPr>
        <w:t>施工过程中的废水通常来源于以下几个途径：施工人员主产生的生活污水，主要含COD、BOD</w:t>
      </w:r>
      <w:r>
        <w:rPr>
          <w:rFonts w:hint="eastAsia"/>
          <w:vertAlign w:val="subscript"/>
        </w:rPr>
        <w:t>5</w:t>
      </w:r>
      <w:r>
        <w:rPr>
          <w:rFonts w:hint="eastAsia"/>
        </w:rPr>
        <w:t>、氨氮、SS等污染物质；工程施工中产生的生产废水，主要来源于混凝搅拌和搅拌机械的冲洗废水，并带有少量油污；施工机械设备如钻机等产生的废水；基坑开挖过程中渗出的高浊度含泥沙废水等。</w:t>
      </w:r>
    </w:p>
    <w:p>
      <w:pPr>
        <w:ind w:firstLine="480"/>
      </w:pPr>
      <w:r>
        <w:rPr>
          <w:rFonts w:hint="eastAsia"/>
        </w:rPr>
        <w:t>经调查分析，施工废水主要污染物为泥沙、悬浮固体（SS）、石油类等 。施工废水的pH值一般在8～9之间，偏碱性，这是由于注浆主体材料水解产水的硅酸三钙、硅酸二钙、氢氧化钙等均成碱性，这些物质溶解在水中造成pH升高。石油类也略有超标，主要来源是施工机械的滴油、漏油。施工废水中SS主要来自开挖过程中产生的粉尘、土灰、岩粉、裂隙中夹杂的泥沙等。</w:t>
      </w:r>
    </w:p>
    <w:p>
      <w:pPr>
        <w:ind w:firstLine="480"/>
      </w:pPr>
      <w:r>
        <w:rPr>
          <w:rFonts w:hint="eastAsia"/>
        </w:rPr>
        <w:t>施工期只要加强管理，做到报告提出的污染防治措施后，拟建项目建设期的生活、施工废水对地下水的影响可接受。</w:t>
      </w:r>
    </w:p>
    <w:p>
      <w:pPr>
        <w:pStyle w:val="5"/>
        <w:spacing w:before="163" w:after="163"/>
      </w:pPr>
      <w:r>
        <w:rPr>
          <w:rFonts w:hint="eastAsia"/>
        </w:rPr>
        <w:t>5.1.2.6水土流失影响分析</w:t>
      </w:r>
    </w:p>
    <w:p>
      <w:pPr>
        <w:ind w:firstLine="480"/>
      </w:pPr>
      <w:r>
        <w:rPr>
          <w:rFonts w:hint="eastAsia"/>
        </w:rPr>
        <w:t>根据拟建项目的建设特点，对项目所在区域水土流失的影响主要集中在工程建设期。发生水土流失的原因主要表现在地块内土壤的裸露。当雨天特别是雨季来临时，如果不采取有效措施，将导致严重的水土流失。</w:t>
      </w:r>
    </w:p>
    <w:p>
      <w:pPr>
        <w:ind w:firstLine="480"/>
      </w:pPr>
      <w:r>
        <w:rPr>
          <w:rFonts w:hint="eastAsia"/>
        </w:rPr>
        <w:t>针对施工期水土流失仅进行简要分析，提出以下水土保持措施：</w:t>
      </w:r>
    </w:p>
    <w:p>
      <w:pPr>
        <w:ind w:firstLine="480"/>
      </w:pPr>
      <w:r>
        <w:rPr>
          <w:rFonts w:hint="eastAsia"/>
        </w:rPr>
        <w:t>（1）主体建筑建设防治区</w:t>
      </w:r>
    </w:p>
    <w:p>
      <w:pPr>
        <w:ind w:firstLine="480"/>
      </w:pPr>
      <w:r>
        <w:rPr>
          <w:rFonts w:hint="eastAsia"/>
        </w:rPr>
        <w:t>预防监督、管理措施。根据工程施工特点和水土流失影响分析，在施工过程中应切实加强预防监督、管理措施，尽量避免施工过程中因人为扰动而新增的水土流失。主要措施有以下几个方面：</w:t>
      </w:r>
    </w:p>
    <w:p>
      <w:pPr>
        <w:ind w:firstLine="480"/>
      </w:pPr>
      <w:r>
        <w:rPr>
          <w:rFonts w:hint="eastAsia"/>
        </w:rPr>
        <w:t>尽量避免在雨季施工。若在雨天施工，可选用编织布对临时沙石料场进行铺盖，以防止临时堆料被雨水冲刷；</w:t>
      </w:r>
    </w:p>
    <w:p>
      <w:pPr>
        <w:ind w:firstLine="480"/>
      </w:pPr>
      <w:r>
        <w:rPr>
          <w:rFonts w:hint="eastAsia"/>
        </w:rPr>
        <w:t>优化施工工序，将易产生水土流失的工序尽量安排雨季之外的季节；</w:t>
      </w:r>
    </w:p>
    <w:p>
      <w:pPr>
        <w:ind w:firstLine="480"/>
      </w:pPr>
      <w:r>
        <w:rPr>
          <w:rFonts w:hint="eastAsia"/>
        </w:rPr>
        <w:t>加强对施工单位的水土保持宣传教育。</w:t>
      </w:r>
    </w:p>
    <w:p>
      <w:pPr>
        <w:ind w:firstLine="480"/>
      </w:pPr>
      <w:r>
        <w:rPr>
          <w:rFonts w:hint="eastAsia"/>
        </w:rPr>
        <w:t>（2）施工过程中的临时防护工程措施</w:t>
      </w:r>
    </w:p>
    <w:p>
      <w:pPr>
        <w:ind w:firstLine="480"/>
      </w:pPr>
      <w:r>
        <w:rPr>
          <w:rFonts w:hint="eastAsia"/>
        </w:rPr>
        <w:t>临时拦挡、覆盖措施。在项目施工建设期间，开挖及回填区域将在局部形成一定的倾斜裸露面，为防止雨天产生水土流失，可用塑料防雨布加以覆盖，边沿用红砖盖压。项目地块中建筑物在施工修建过程中存在多处砂石料拌和场，部分场地的砂石料将形成没有任何防护措施的堆放，容易造成水土流失；由于临时堆土时遇大雨极易发生水土流失。为防止堆料场雨天砂石受雨水溅蚀，应采用塑料防雨布进行临时覆盖，边沿用红砖覆盖。</w:t>
      </w:r>
    </w:p>
    <w:p>
      <w:pPr>
        <w:ind w:firstLine="480"/>
      </w:pPr>
      <w:r>
        <w:rPr>
          <w:rFonts w:hint="eastAsia"/>
        </w:rPr>
        <w:t>临时排水、沉砂措施。为防止地块内因地势高低引起的地表径流冲刷，根据施工场地情况，在建筑物周边因地制宜地布置临时排水土沟，在沟的末端布设沉沙池，使地表汇流经过滤后统一排入排放。</w:t>
      </w:r>
    </w:p>
    <w:p>
      <w:pPr>
        <w:ind w:firstLine="480"/>
      </w:pPr>
      <w:r>
        <w:rPr>
          <w:rFonts w:hint="eastAsia"/>
        </w:rPr>
        <w:t>临时冲洗场。为进一步消除弃渣外运过程中沿途撒漏、扬尘给周边环境造成水土流失等危害，在建设区内布设冲洗场，对每辆运渣车进行冲洗。</w:t>
      </w:r>
    </w:p>
    <w:p>
      <w:pPr>
        <w:ind w:firstLine="480"/>
      </w:pPr>
      <w:r>
        <w:rPr>
          <w:rFonts w:hint="eastAsia"/>
        </w:rPr>
        <w:t>（3）绿化及配套设施建设防治区</w:t>
      </w:r>
    </w:p>
    <w:p>
      <w:pPr>
        <w:ind w:firstLine="480"/>
      </w:pPr>
      <w:r>
        <w:rPr>
          <w:rFonts w:hint="eastAsia"/>
        </w:rPr>
        <w:t>预防监督、管理措施。具体包括：</w:t>
      </w:r>
    </w:p>
    <w:p>
      <w:pPr>
        <w:ind w:firstLine="480"/>
      </w:pPr>
      <w:r>
        <w:rPr>
          <w:rFonts w:hint="eastAsia"/>
        </w:rPr>
        <w:t>选择合理施工工期，尽量避免在雨季施工。若在雨天施工，可选用编织布对临时沙石料场进行铺盖，防止临时堆料、弃渣及开挖裸露土质边坡坡面等被雨水冲刷；</w:t>
      </w:r>
    </w:p>
    <w:p>
      <w:pPr>
        <w:ind w:firstLine="480"/>
      </w:pPr>
      <w:r>
        <w:rPr>
          <w:rFonts w:hint="eastAsia"/>
        </w:rPr>
        <w:t>选择合理施工工序，不能及时回填利用的渣料采取集中堆放，在堆放临时渣料时，把易产生水土流失的表层土集中堆放并用块石拦挡；</w:t>
      </w:r>
    </w:p>
    <w:p>
      <w:pPr>
        <w:ind w:firstLine="480"/>
      </w:pPr>
      <w:r>
        <w:rPr>
          <w:rFonts w:hint="eastAsia"/>
        </w:rPr>
        <w:t>汽车运输过程中应封闭装载运输，不能装载过满超载，防止运输过程中沿途洒落。驶出施工区域时对车轮泥土进行冲洗，同时控制粉尘的产生；</w:t>
      </w:r>
    </w:p>
    <w:p>
      <w:pPr>
        <w:ind w:firstLine="480"/>
      </w:pPr>
      <w:r>
        <w:rPr>
          <w:rFonts w:hint="eastAsia"/>
        </w:rPr>
        <w:t>建立实施水土保持方案的领导管理机构，强化工作人员水土保持意识，并实行水土保持施工监理制度和档案管理制度。</w:t>
      </w:r>
    </w:p>
    <w:p>
      <w:pPr>
        <w:ind w:firstLine="480"/>
      </w:pPr>
      <w:r>
        <w:rPr>
          <w:rFonts w:hint="eastAsia"/>
        </w:rPr>
        <w:t>为减少裸露地表水土流失，可先行在占地红线内近期不扰动的区域撒播草籽实施绿化。同时建议分地块施工后及时绿化，防止地表裸露造成水土流失。</w:t>
      </w:r>
    </w:p>
    <w:p>
      <w:pPr>
        <w:ind w:firstLine="480"/>
      </w:pPr>
      <w:r>
        <w:rPr>
          <w:rFonts w:hint="eastAsia"/>
        </w:rPr>
        <w:t>拟建项目施工期采取以上水土保持措施，施工期产生的水土流失量将大幅下降，可将项目水土流失量控制到最低程度。</w:t>
      </w:r>
    </w:p>
    <w:p>
      <w:pPr>
        <w:pStyle w:val="3"/>
        <w:spacing w:before="163" w:after="163"/>
      </w:pPr>
      <w:bookmarkStart w:id="117" w:name="_Toc84844289"/>
      <w:r>
        <w:rPr>
          <w:rFonts w:hint="eastAsia"/>
        </w:rPr>
        <w:t>5.2营运期环境影响预测及评价</w:t>
      </w:r>
      <w:bookmarkEnd w:id="117"/>
    </w:p>
    <w:p>
      <w:pPr>
        <w:pStyle w:val="4"/>
        <w:spacing w:before="163" w:after="163"/>
      </w:pPr>
      <w:bookmarkStart w:id="118" w:name="_Toc84844290"/>
      <w:r>
        <w:rPr>
          <w:rFonts w:hint="eastAsia"/>
        </w:rPr>
        <w:t>5.2.1环境空气质量影响预测与评价</w:t>
      </w:r>
      <w:bookmarkEnd w:id="118"/>
    </w:p>
    <w:p>
      <w:pPr>
        <w:pStyle w:val="5"/>
        <w:spacing w:before="163" w:after="163"/>
      </w:pPr>
      <w:r>
        <w:rPr>
          <w:rFonts w:hint="eastAsia"/>
        </w:rPr>
        <w:t>5.2.1.1预测模式</w:t>
      </w:r>
    </w:p>
    <w:p>
      <w:pPr>
        <w:ind w:firstLine="480"/>
      </w:pPr>
      <w:r>
        <w:rPr>
          <w:rFonts w:hint="eastAsia"/>
        </w:rPr>
        <w:t>拟建项目大气评价等级为一级，评价基准年（2019年）风速≤0.5m/s的持续时间为16h，不超过72h，20年统计的全年静风（风速≤0.2m/s）频率为19%，不超过35%，且不位于大型水体（海或湖）岸边，根据《环境影响评价技术导则－大气环境》（HJ2.2-2018）的规定，本次大气环境影响预测采用导则推荐的AERMOD模式进行进一步预测。</w:t>
      </w:r>
    </w:p>
    <w:p>
      <w:pPr>
        <w:pStyle w:val="5"/>
        <w:spacing w:before="163" w:after="163"/>
      </w:pPr>
      <w:r>
        <w:rPr>
          <w:rFonts w:hint="eastAsia"/>
        </w:rPr>
        <w:t>5.2.1.2气象和地形数据</w:t>
      </w:r>
    </w:p>
    <w:p>
      <w:pPr>
        <w:ind w:firstLine="480"/>
      </w:pPr>
      <w:r>
        <w:rPr>
          <w:rFonts w:hint="eastAsia"/>
        </w:rPr>
        <w:t>（1）气象数据</w:t>
      </w:r>
    </w:p>
    <w:p>
      <w:pPr>
        <w:ind w:firstLine="480"/>
      </w:pPr>
      <w:r>
        <w:rPr>
          <w:rFonts w:hint="eastAsia"/>
        </w:rPr>
        <w:t>地面气象数据采用长寿区气象站2019年365天逐时8760小时的地面风向、风速、总云量、低云量、温度等变量输入，生成AERMOD预测气象，数据类型为OQA。地面气象观测数据信息见表5.2-1。</w:t>
      </w:r>
    </w:p>
    <w:p>
      <w:pPr>
        <w:pStyle w:val="41"/>
      </w:pPr>
      <w:r>
        <w:rPr>
          <w:rFonts w:hint="eastAsia"/>
        </w:rPr>
        <w:t>表5.2-1  观测气象数据信息一览表</w:t>
      </w:r>
    </w:p>
    <w:tbl>
      <w:tblPr>
        <w:tblStyle w:val="33"/>
        <w:tblW w:w="54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5"/>
        <w:gridCol w:w="874"/>
        <w:gridCol w:w="874"/>
        <w:gridCol w:w="1071"/>
        <w:gridCol w:w="1079"/>
        <w:gridCol w:w="1020"/>
        <w:gridCol w:w="800"/>
        <w:gridCol w:w="781"/>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622" w:type="dxa"/>
            <w:gridSpan w:val="3"/>
            <w:vAlign w:val="center"/>
          </w:tcPr>
          <w:p>
            <w:pPr>
              <w:pStyle w:val="65"/>
              <w:ind w:firstLine="400"/>
            </w:pPr>
            <w:r>
              <w:rPr>
                <w:rFonts w:hint="eastAsia"/>
              </w:rPr>
              <w:t>气象站</w:t>
            </w:r>
          </w:p>
        </w:tc>
        <w:tc>
          <w:tcPr>
            <w:tcW w:w="2150" w:type="dxa"/>
            <w:gridSpan w:val="2"/>
            <w:vAlign w:val="center"/>
          </w:tcPr>
          <w:p>
            <w:pPr>
              <w:pStyle w:val="65"/>
              <w:ind w:firstLine="400"/>
            </w:pPr>
            <w:r>
              <w:t>气象站坐标</w:t>
            </w:r>
          </w:p>
        </w:tc>
        <w:tc>
          <w:tcPr>
            <w:tcW w:w="1020" w:type="dxa"/>
            <w:vMerge w:val="restart"/>
            <w:vAlign w:val="center"/>
          </w:tcPr>
          <w:p>
            <w:pPr>
              <w:pStyle w:val="65"/>
              <w:ind w:firstLine="400"/>
            </w:pPr>
            <w:r>
              <w:t>相对距离（km）</w:t>
            </w:r>
          </w:p>
        </w:tc>
        <w:tc>
          <w:tcPr>
            <w:tcW w:w="800" w:type="dxa"/>
            <w:vMerge w:val="restart"/>
            <w:vAlign w:val="center"/>
          </w:tcPr>
          <w:p>
            <w:pPr>
              <w:pStyle w:val="65"/>
              <w:ind w:firstLine="400"/>
            </w:pPr>
            <w:r>
              <w:t>海拔</w:t>
            </w:r>
          </w:p>
          <w:p>
            <w:pPr>
              <w:pStyle w:val="65"/>
              <w:ind w:firstLine="400"/>
            </w:pPr>
            <w:r>
              <w:t>高度</w:t>
            </w:r>
          </w:p>
        </w:tc>
        <w:tc>
          <w:tcPr>
            <w:tcW w:w="781" w:type="dxa"/>
            <w:vMerge w:val="restart"/>
            <w:vAlign w:val="center"/>
          </w:tcPr>
          <w:p>
            <w:pPr>
              <w:pStyle w:val="65"/>
              <w:ind w:firstLine="400"/>
            </w:pPr>
            <w:r>
              <w:t>数据</w:t>
            </w:r>
          </w:p>
          <w:p>
            <w:pPr>
              <w:pStyle w:val="65"/>
              <w:ind w:firstLine="400"/>
            </w:pPr>
            <w:r>
              <w:t>年份</w:t>
            </w:r>
          </w:p>
        </w:tc>
        <w:tc>
          <w:tcPr>
            <w:tcW w:w="1726" w:type="dxa"/>
            <w:vMerge w:val="restart"/>
            <w:vAlign w:val="center"/>
          </w:tcPr>
          <w:p>
            <w:pPr>
              <w:pStyle w:val="65"/>
              <w:ind w:firstLine="400"/>
            </w:pPr>
            <w:r>
              <w:t>气象要素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74" w:type="dxa"/>
            <w:vAlign w:val="center"/>
          </w:tcPr>
          <w:p>
            <w:pPr>
              <w:pStyle w:val="65"/>
              <w:ind w:firstLine="400"/>
            </w:pPr>
            <w:r>
              <w:rPr>
                <w:rFonts w:hint="eastAsia"/>
              </w:rPr>
              <w:t>名称</w:t>
            </w:r>
          </w:p>
        </w:tc>
        <w:tc>
          <w:tcPr>
            <w:tcW w:w="874" w:type="dxa"/>
            <w:vAlign w:val="center"/>
          </w:tcPr>
          <w:p>
            <w:pPr>
              <w:pStyle w:val="65"/>
              <w:ind w:firstLine="400"/>
            </w:pPr>
            <w:r>
              <w:rPr>
                <w:rFonts w:hint="eastAsia"/>
              </w:rPr>
              <w:t>等级</w:t>
            </w:r>
          </w:p>
        </w:tc>
        <w:tc>
          <w:tcPr>
            <w:tcW w:w="874" w:type="dxa"/>
            <w:vAlign w:val="center"/>
          </w:tcPr>
          <w:p>
            <w:pPr>
              <w:pStyle w:val="65"/>
              <w:ind w:firstLine="400"/>
            </w:pPr>
            <w:r>
              <w:t>编号</w:t>
            </w:r>
          </w:p>
        </w:tc>
        <w:tc>
          <w:tcPr>
            <w:tcW w:w="1071" w:type="dxa"/>
            <w:vAlign w:val="center"/>
          </w:tcPr>
          <w:p>
            <w:pPr>
              <w:pStyle w:val="65"/>
              <w:ind w:firstLine="400"/>
            </w:pPr>
            <w:r>
              <w:rPr>
                <w:rFonts w:hint="eastAsia"/>
              </w:rPr>
              <w:t>经度</w:t>
            </w:r>
          </w:p>
        </w:tc>
        <w:tc>
          <w:tcPr>
            <w:tcW w:w="1079" w:type="dxa"/>
            <w:vAlign w:val="center"/>
          </w:tcPr>
          <w:p>
            <w:pPr>
              <w:pStyle w:val="65"/>
              <w:ind w:firstLine="400"/>
            </w:pPr>
            <w:r>
              <w:rPr>
                <w:rFonts w:hint="eastAsia"/>
              </w:rPr>
              <w:t>纬度</w:t>
            </w:r>
          </w:p>
        </w:tc>
        <w:tc>
          <w:tcPr>
            <w:tcW w:w="1020" w:type="dxa"/>
            <w:vMerge w:val="continue"/>
            <w:vAlign w:val="center"/>
          </w:tcPr>
          <w:p>
            <w:pPr>
              <w:pStyle w:val="65"/>
              <w:ind w:firstLine="400"/>
            </w:pPr>
          </w:p>
        </w:tc>
        <w:tc>
          <w:tcPr>
            <w:tcW w:w="800" w:type="dxa"/>
            <w:vMerge w:val="continue"/>
            <w:vAlign w:val="center"/>
          </w:tcPr>
          <w:p>
            <w:pPr>
              <w:pStyle w:val="65"/>
              <w:ind w:firstLine="400"/>
            </w:pPr>
          </w:p>
        </w:tc>
        <w:tc>
          <w:tcPr>
            <w:tcW w:w="781" w:type="dxa"/>
            <w:vMerge w:val="continue"/>
            <w:vAlign w:val="center"/>
          </w:tcPr>
          <w:p>
            <w:pPr>
              <w:pStyle w:val="65"/>
              <w:ind w:firstLine="400"/>
            </w:pPr>
          </w:p>
        </w:tc>
        <w:tc>
          <w:tcPr>
            <w:tcW w:w="1726" w:type="dxa"/>
            <w:vMerge w:val="continue"/>
            <w:vAlign w:val="center"/>
          </w:tcPr>
          <w:p>
            <w:pPr>
              <w:pStyle w:val="65"/>
              <w:ind w:firstLine="4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74" w:type="dxa"/>
            <w:vAlign w:val="center"/>
          </w:tcPr>
          <w:p>
            <w:pPr>
              <w:pStyle w:val="65"/>
              <w:ind w:firstLine="400"/>
            </w:pPr>
            <w:r>
              <w:rPr>
                <w:rFonts w:hint="eastAsia"/>
              </w:rPr>
              <w:t>长寿</w:t>
            </w:r>
          </w:p>
          <w:p>
            <w:pPr>
              <w:pStyle w:val="65"/>
              <w:ind w:firstLine="400"/>
            </w:pPr>
            <w:r>
              <w:rPr>
                <w:rFonts w:hint="eastAsia"/>
              </w:rPr>
              <w:t>气象站</w:t>
            </w:r>
          </w:p>
        </w:tc>
        <w:tc>
          <w:tcPr>
            <w:tcW w:w="874" w:type="dxa"/>
            <w:vAlign w:val="center"/>
          </w:tcPr>
          <w:p>
            <w:pPr>
              <w:pStyle w:val="65"/>
              <w:ind w:firstLine="400"/>
            </w:pPr>
            <w:r>
              <w:rPr>
                <w:rFonts w:hint="eastAsia"/>
              </w:rPr>
              <w:t>市级站</w:t>
            </w:r>
          </w:p>
        </w:tc>
        <w:tc>
          <w:tcPr>
            <w:tcW w:w="874" w:type="dxa"/>
            <w:noWrap/>
            <w:vAlign w:val="center"/>
          </w:tcPr>
          <w:p>
            <w:pPr>
              <w:pStyle w:val="65"/>
              <w:ind w:firstLine="400"/>
            </w:pPr>
            <w:r>
              <w:t>57520</w:t>
            </w:r>
          </w:p>
        </w:tc>
        <w:tc>
          <w:tcPr>
            <w:tcW w:w="1071" w:type="dxa"/>
            <w:noWrap/>
            <w:vAlign w:val="center"/>
          </w:tcPr>
          <w:p>
            <w:pPr>
              <w:pStyle w:val="65"/>
              <w:ind w:firstLine="400"/>
            </w:pPr>
            <w:r>
              <w:t>29.8333°</w:t>
            </w:r>
          </w:p>
        </w:tc>
        <w:tc>
          <w:tcPr>
            <w:tcW w:w="1079" w:type="dxa"/>
            <w:noWrap/>
            <w:vAlign w:val="center"/>
          </w:tcPr>
          <w:p>
            <w:pPr>
              <w:pStyle w:val="65"/>
              <w:ind w:firstLine="400"/>
            </w:pPr>
            <w:r>
              <w:t>107.0667°</w:t>
            </w:r>
          </w:p>
        </w:tc>
        <w:tc>
          <w:tcPr>
            <w:tcW w:w="1020" w:type="dxa"/>
            <w:noWrap/>
            <w:vAlign w:val="center"/>
          </w:tcPr>
          <w:p>
            <w:pPr>
              <w:pStyle w:val="65"/>
              <w:ind w:firstLine="400"/>
            </w:pPr>
            <w:r>
              <w:t>6.3</w:t>
            </w:r>
          </w:p>
        </w:tc>
        <w:tc>
          <w:tcPr>
            <w:tcW w:w="800" w:type="dxa"/>
            <w:noWrap/>
            <w:vAlign w:val="center"/>
          </w:tcPr>
          <w:p>
            <w:pPr>
              <w:pStyle w:val="65"/>
              <w:ind w:firstLine="400"/>
            </w:pPr>
            <w:r>
              <w:t>383m</w:t>
            </w:r>
          </w:p>
        </w:tc>
        <w:tc>
          <w:tcPr>
            <w:tcW w:w="781" w:type="dxa"/>
            <w:noWrap/>
            <w:vAlign w:val="center"/>
          </w:tcPr>
          <w:p>
            <w:pPr>
              <w:pStyle w:val="65"/>
              <w:ind w:firstLine="400"/>
            </w:pPr>
            <w:r>
              <w:t>201</w:t>
            </w:r>
            <w:r>
              <w:rPr>
                <w:rFonts w:hint="eastAsia"/>
              </w:rPr>
              <w:t>9</w:t>
            </w:r>
            <w:r>
              <w:t>年</w:t>
            </w:r>
          </w:p>
        </w:tc>
        <w:tc>
          <w:tcPr>
            <w:tcW w:w="1726" w:type="dxa"/>
            <w:noWrap/>
            <w:vAlign w:val="center"/>
          </w:tcPr>
          <w:p>
            <w:pPr>
              <w:pStyle w:val="65"/>
              <w:ind w:firstLine="400"/>
            </w:pPr>
            <w:r>
              <w:t>风向、风速、</w:t>
            </w:r>
          </w:p>
          <w:p>
            <w:pPr>
              <w:pStyle w:val="65"/>
              <w:ind w:firstLine="400"/>
            </w:pPr>
            <w:r>
              <w:t>总云量、低云量、干球温度</w:t>
            </w:r>
          </w:p>
        </w:tc>
      </w:tr>
    </w:tbl>
    <w:p>
      <w:pPr>
        <w:ind w:firstLine="480"/>
      </w:pPr>
      <w:r>
        <w:rPr>
          <w:rFonts w:hint="eastAsia"/>
        </w:rPr>
        <w:t>本次评价高空气象数据来自国家环境保护环境影响评价数值模拟重点实验室WRF模拟生成数据，见表5.2-2。</w:t>
      </w:r>
    </w:p>
    <w:p>
      <w:pPr>
        <w:pStyle w:val="41"/>
      </w:pPr>
      <w:r>
        <w:rPr>
          <w:rFonts w:hint="eastAsia"/>
        </w:rPr>
        <w:t>表5.2-2 模拟高空气象数据信息</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vAlign w:val="center"/>
          </w:tcPr>
          <w:p>
            <w:pPr>
              <w:pStyle w:val="65"/>
              <w:ind w:firstLine="480"/>
              <w:textAlignment w:val="baseline"/>
            </w:pPr>
            <w:r>
              <w:rPr>
                <w:rFonts w:hint="eastAsia"/>
              </w:rPr>
              <w:t>站点序号</w:t>
            </w:r>
          </w:p>
        </w:tc>
        <w:tc>
          <w:tcPr>
            <w:tcW w:w="1217" w:type="dxa"/>
            <w:vMerge w:val="restart"/>
            <w:vAlign w:val="center"/>
          </w:tcPr>
          <w:p>
            <w:pPr>
              <w:pStyle w:val="65"/>
              <w:ind w:firstLine="480"/>
              <w:textAlignment w:val="baseline"/>
            </w:pPr>
            <w:r>
              <w:rPr>
                <w:rFonts w:hint="eastAsia"/>
              </w:rPr>
              <w:t>模拟网格点编号</w:t>
            </w:r>
          </w:p>
        </w:tc>
        <w:tc>
          <w:tcPr>
            <w:tcW w:w="3652" w:type="dxa"/>
            <w:gridSpan w:val="3"/>
            <w:vAlign w:val="center"/>
          </w:tcPr>
          <w:p>
            <w:pPr>
              <w:pStyle w:val="65"/>
              <w:ind w:firstLine="480"/>
              <w:textAlignment w:val="baseline"/>
            </w:pPr>
            <w:r>
              <w:rPr>
                <w:rFonts w:hint="eastAsia"/>
              </w:rPr>
              <w:t>模拟网格点中心店位置</w:t>
            </w:r>
          </w:p>
        </w:tc>
        <w:tc>
          <w:tcPr>
            <w:tcW w:w="1218" w:type="dxa"/>
            <w:vMerge w:val="restart"/>
            <w:vAlign w:val="center"/>
          </w:tcPr>
          <w:p>
            <w:pPr>
              <w:pStyle w:val="65"/>
              <w:ind w:firstLine="480"/>
              <w:textAlignment w:val="baseline"/>
            </w:pPr>
            <w:r>
              <w:rPr>
                <w:rFonts w:hint="eastAsia"/>
              </w:rPr>
              <w:t>数据年限</w:t>
            </w:r>
          </w:p>
        </w:tc>
        <w:tc>
          <w:tcPr>
            <w:tcW w:w="1218" w:type="dxa"/>
            <w:vMerge w:val="restart"/>
            <w:vAlign w:val="center"/>
          </w:tcPr>
          <w:p>
            <w:pPr>
              <w:pStyle w:val="65"/>
              <w:ind w:firstLine="480"/>
              <w:textAlignment w:val="baseline"/>
            </w:pPr>
            <w:r>
              <w:rPr>
                <w:rFonts w:hint="eastAsia"/>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vAlign w:val="center"/>
          </w:tcPr>
          <w:p>
            <w:pPr>
              <w:pStyle w:val="65"/>
              <w:ind w:firstLine="480"/>
              <w:textAlignment w:val="baseline"/>
            </w:pPr>
          </w:p>
        </w:tc>
        <w:tc>
          <w:tcPr>
            <w:tcW w:w="1217" w:type="dxa"/>
            <w:vMerge w:val="continue"/>
            <w:vAlign w:val="center"/>
          </w:tcPr>
          <w:p>
            <w:pPr>
              <w:pStyle w:val="65"/>
              <w:ind w:firstLine="480"/>
              <w:textAlignment w:val="baseline"/>
            </w:pPr>
          </w:p>
        </w:tc>
        <w:tc>
          <w:tcPr>
            <w:tcW w:w="1217" w:type="dxa"/>
            <w:vAlign w:val="center"/>
          </w:tcPr>
          <w:p>
            <w:pPr>
              <w:pStyle w:val="65"/>
              <w:ind w:firstLine="480"/>
              <w:textAlignment w:val="baseline"/>
            </w:pPr>
            <w:r>
              <w:rPr>
                <w:rFonts w:hint="eastAsia"/>
              </w:rPr>
              <w:t>经度</w:t>
            </w:r>
          </w:p>
        </w:tc>
        <w:tc>
          <w:tcPr>
            <w:tcW w:w="1217" w:type="dxa"/>
            <w:vAlign w:val="center"/>
          </w:tcPr>
          <w:p>
            <w:pPr>
              <w:pStyle w:val="65"/>
              <w:ind w:firstLine="480"/>
              <w:textAlignment w:val="baseline"/>
            </w:pPr>
            <w:r>
              <w:rPr>
                <w:rFonts w:hint="eastAsia"/>
              </w:rPr>
              <w:t>纬度</w:t>
            </w:r>
          </w:p>
        </w:tc>
        <w:tc>
          <w:tcPr>
            <w:tcW w:w="1218" w:type="dxa"/>
            <w:vAlign w:val="center"/>
          </w:tcPr>
          <w:p>
            <w:pPr>
              <w:pStyle w:val="65"/>
              <w:ind w:firstLine="480"/>
              <w:textAlignment w:val="baseline"/>
            </w:pPr>
            <w:r>
              <w:rPr>
                <w:rFonts w:hint="eastAsia"/>
              </w:rPr>
              <w:t>海波高度</w:t>
            </w:r>
          </w:p>
        </w:tc>
        <w:tc>
          <w:tcPr>
            <w:tcW w:w="1218" w:type="dxa"/>
            <w:vMerge w:val="continue"/>
            <w:vAlign w:val="center"/>
          </w:tcPr>
          <w:p>
            <w:pPr>
              <w:pStyle w:val="65"/>
              <w:ind w:firstLine="480"/>
              <w:textAlignment w:val="baseline"/>
            </w:pPr>
          </w:p>
        </w:tc>
        <w:tc>
          <w:tcPr>
            <w:tcW w:w="1218" w:type="dxa"/>
            <w:vMerge w:val="continue"/>
            <w:vAlign w:val="center"/>
          </w:tcPr>
          <w:p>
            <w:pPr>
              <w:pStyle w:val="65"/>
              <w:ind w:firstLine="48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Style w:val="65"/>
              <w:ind w:firstLine="480"/>
              <w:textAlignment w:val="baseline"/>
            </w:pPr>
            <w:r>
              <w:rPr>
                <w:rFonts w:hint="eastAsia"/>
              </w:rPr>
              <w:t>1</w:t>
            </w:r>
          </w:p>
        </w:tc>
        <w:tc>
          <w:tcPr>
            <w:tcW w:w="1217" w:type="dxa"/>
            <w:vAlign w:val="center"/>
          </w:tcPr>
          <w:p>
            <w:pPr>
              <w:pStyle w:val="65"/>
              <w:ind w:firstLine="480"/>
              <w:textAlignment w:val="baseline"/>
            </w:pPr>
            <w:r>
              <w:rPr>
                <w:rFonts w:hint="eastAsia"/>
              </w:rPr>
              <w:t>113056</w:t>
            </w:r>
          </w:p>
        </w:tc>
        <w:tc>
          <w:tcPr>
            <w:tcW w:w="1217" w:type="dxa"/>
            <w:vAlign w:val="center"/>
          </w:tcPr>
          <w:p>
            <w:pPr>
              <w:pStyle w:val="65"/>
              <w:ind w:firstLine="480"/>
              <w:textAlignment w:val="baseline"/>
            </w:pPr>
            <w:r>
              <w:rPr>
                <w:rFonts w:hint="eastAsia"/>
              </w:rPr>
              <w:t>107.1210</w:t>
            </w:r>
            <w:r>
              <w:t>°</w:t>
            </w:r>
          </w:p>
        </w:tc>
        <w:tc>
          <w:tcPr>
            <w:tcW w:w="1217" w:type="dxa"/>
            <w:vAlign w:val="center"/>
          </w:tcPr>
          <w:p>
            <w:pPr>
              <w:pStyle w:val="65"/>
              <w:ind w:firstLine="480"/>
              <w:textAlignment w:val="baseline"/>
            </w:pPr>
            <w:r>
              <w:rPr>
                <w:rFonts w:hint="eastAsia"/>
              </w:rPr>
              <w:t>29.9548</w:t>
            </w:r>
            <w:r>
              <w:t>°</w:t>
            </w:r>
          </w:p>
        </w:tc>
        <w:tc>
          <w:tcPr>
            <w:tcW w:w="1218" w:type="dxa"/>
            <w:vAlign w:val="center"/>
          </w:tcPr>
          <w:p>
            <w:pPr>
              <w:pStyle w:val="65"/>
              <w:ind w:firstLine="480"/>
              <w:textAlignment w:val="baseline"/>
            </w:pPr>
            <w:r>
              <w:rPr>
                <w:rFonts w:hint="eastAsia"/>
              </w:rPr>
              <w:t>391m</w:t>
            </w:r>
          </w:p>
        </w:tc>
        <w:tc>
          <w:tcPr>
            <w:tcW w:w="1218" w:type="dxa"/>
            <w:vAlign w:val="center"/>
          </w:tcPr>
          <w:p>
            <w:pPr>
              <w:pStyle w:val="65"/>
              <w:ind w:firstLine="480"/>
              <w:textAlignment w:val="baseline"/>
            </w:pPr>
            <w:r>
              <w:rPr>
                <w:rFonts w:hint="eastAsia"/>
              </w:rPr>
              <w:t>2019年</w:t>
            </w:r>
          </w:p>
        </w:tc>
        <w:tc>
          <w:tcPr>
            <w:tcW w:w="1218" w:type="dxa"/>
            <w:vAlign w:val="center"/>
          </w:tcPr>
          <w:p>
            <w:pPr>
              <w:pStyle w:val="65"/>
              <w:ind w:firstLine="480"/>
              <w:textAlignment w:val="baseline"/>
            </w:pPr>
            <w:r>
              <w:rPr>
                <w:rFonts w:hint="eastAsia"/>
              </w:rPr>
              <w:t>FSL</w:t>
            </w:r>
          </w:p>
        </w:tc>
      </w:tr>
    </w:tbl>
    <w:p>
      <w:pPr>
        <w:ind w:firstLine="480"/>
      </w:pPr>
      <w:r>
        <w:rPr>
          <w:rFonts w:hint="eastAsia"/>
        </w:rPr>
        <w:t>（2） 地形数据及土地利用</w:t>
      </w:r>
    </w:p>
    <w:p>
      <w:pPr>
        <w:ind w:firstLine="480"/>
      </w:pPr>
      <w:r>
        <w:rPr>
          <w:rFonts w:hint="eastAsia"/>
        </w:rPr>
        <w:t>地形数据通过AERMOD软件生成的DEM文件导入，项目所在区域的土地利用见附图。</w:t>
      </w:r>
    </w:p>
    <w:p>
      <w:pPr>
        <w:pStyle w:val="5"/>
        <w:spacing w:before="163" w:after="163"/>
      </w:pPr>
      <w:r>
        <w:rPr>
          <w:rFonts w:hint="eastAsia"/>
        </w:rPr>
        <w:t>5.2.1.3预测因子、内容、点位及参数</w:t>
      </w:r>
    </w:p>
    <w:p>
      <w:pPr>
        <w:ind w:firstLine="480"/>
      </w:pPr>
      <w:r>
        <w:rPr>
          <w:rFonts w:hint="eastAsia"/>
        </w:rPr>
        <w:t>（1）预测因子</w:t>
      </w:r>
    </w:p>
    <w:p>
      <w:pPr>
        <w:ind w:firstLine="480"/>
      </w:pPr>
      <w:r>
        <w:rPr>
          <w:rFonts w:hint="eastAsia"/>
        </w:rPr>
        <w:t>根据工程分析结果，拟建项目环境空气影响预测因子确定为：SO</w:t>
      </w:r>
      <w:r>
        <w:rPr>
          <w:rFonts w:hint="eastAsia"/>
          <w:vertAlign w:val="subscript"/>
        </w:rPr>
        <w:t>2</w:t>
      </w:r>
      <w:r>
        <w:rPr>
          <w:rFonts w:hint="eastAsia"/>
        </w:rPr>
        <w:t>、NO</w:t>
      </w:r>
      <w:r>
        <w:rPr>
          <w:rFonts w:hint="eastAsia"/>
          <w:vertAlign w:val="subscript"/>
        </w:rPr>
        <w:t>x</w:t>
      </w:r>
      <w:r>
        <w:rPr>
          <w:rFonts w:hint="eastAsia"/>
        </w:rPr>
        <w:t>、颗粒物（PM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p>
    <w:p>
      <w:pPr>
        <w:ind w:firstLine="480"/>
      </w:pPr>
      <w:r>
        <w:rPr>
          <w:rFonts w:hint="eastAsia"/>
        </w:rPr>
        <w:t>（2）预测范围</w:t>
      </w:r>
    </w:p>
    <w:p>
      <w:pPr>
        <w:ind w:firstLine="480"/>
      </w:pPr>
      <w:r>
        <w:rPr>
          <w:rFonts w:hint="eastAsia"/>
        </w:rPr>
        <w:t>本次预测以一段转化炉排气筒为原点（0，0），原点经纬度为29.83658626N、106.98136568E，东西向为X坐标，南北向为Y坐标，预测范围为5×5km矩形区域，网格点间距设置为100m，计算网格点总数2601个，敏感点7个，监测点2个，合计预测点2609个。高程最小值: 233 (m)，高程最大值:1510(m)。预测时不考虑建筑物下洗。</w:t>
      </w:r>
    </w:p>
    <w:p>
      <w:pPr>
        <w:ind w:firstLine="480"/>
      </w:pPr>
      <w:r>
        <w:rPr>
          <w:rFonts w:hint="eastAsia"/>
        </w:rPr>
        <w:t>（3）预测点位</w:t>
      </w:r>
    </w:p>
    <w:p>
      <w:pPr>
        <w:ind w:firstLine="480"/>
      </w:pPr>
      <w:r>
        <w:rPr>
          <w:rFonts w:hint="eastAsia"/>
        </w:rPr>
        <w:t>考虑环境保护目标、污染气象条件、地形等特征，共选取了7个大气预测评价点位。各环境保护目标点坐标详见表5.2-3，评价范围及预测点位见附图4。</w:t>
      </w:r>
    </w:p>
    <w:p>
      <w:pPr>
        <w:pStyle w:val="41"/>
      </w:pPr>
      <w:r>
        <w:rPr>
          <w:rFonts w:hint="eastAsia"/>
        </w:rPr>
        <w:t>表5.2-3  各预测点位坐标参数表</w:t>
      </w:r>
    </w:p>
    <w:tbl>
      <w:tblPr>
        <w:tblStyle w:val="34"/>
        <w:tblpPr w:leftFromText="180" w:rightFromText="180" w:vertAnchor="text" w:horzAnchor="margin" w:tblpY="10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4"/>
        <w:gridCol w:w="2744"/>
        <w:gridCol w:w="1881"/>
        <w:gridCol w:w="1881"/>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序号</w:t>
            </w:r>
          </w:p>
        </w:tc>
        <w:tc>
          <w:tcPr>
            <w:tcW w:w="1641" w:type="pct"/>
            <w:vAlign w:val="center"/>
          </w:tcPr>
          <w:p>
            <w:pPr>
              <w:pStyle w:val="65"/>
              <w:ind w:firstLine="480"/>
              <w:textAlignment w:val="baseline"/>
            </w:pPr>
            <w:r>
              <w:rPr>
                <w:rFonts w:hint="eastAsia"/>
              </w:rPr>
              <w:t>环境保护目标</w:t>
            </w:r>
            <w:r>
              <w:t>名称</w:t>
            </w:r>
          </w:p>
        </w:tc>
        <w:tc>
          <w:tcPr>
            <w:tcW w:w="1125" w:type="pct"/>
            <w:vAlign w:val="center"/>
          </w:tcPr>
          <w:p>
            <w:pPr>
              <w:pStyle w:val="65"/>
              <w:ind w:firstLine="480"/>
              <w:textAlignment w:val="baseline"/>
            </w:pPr>
            <w:r>
              <w:t>X（m）</w:t>
            </w:r>
          </w:p>
        </w:tc>
        <w:tc>
          <w:tcPr>
            <w:tcW w:w="1125" w:type="pct"/>
            <w:vAlign w:val="center"/>
          </w:tcPr>
          <w:p>
            <w:pPr>
              <w:pStyle w:val="65"/>
              <w:ind w:firstLine="480"/>
              <w:textAlignment w:val="baseline"/>
            </w:pPr>
            <w:r>
              <w:t>Y（m）</w:t>
            </w:r>
          </w:p>
        </w:tc>
        <w:tc>
          <w:tcPr>
            <w:tcW w:w="624" w:type="pct"/>
            <w:vAlign w:val="center"/>
          </w:tcPr>
          <w:p>
            <w:pPr>
              <w:pStyle w:val="65"/>
              <w:ind w:firstLine="480"/>
              <w:textAlignment w:val="baseline"/>
            </w:pPr>
            <w:r>
              <w:t>Z（m）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bookmarkStart w:id="119" w:name="_Hlk44236724"/>
            <w:r>
              <w:t>1</w:t>
            </w:r>
          </w:p>
        </w:tc>
        <w:tc>
          <w:tcPr>
            <w:tcW w:w="1641" w:type="pct"/>
          </w:tcPr>
          <w:p>
            <w:pPr>
              <w:pStyle w:val="65"/>
              <w:ind w:firstLine="480"/>
              <w:textAlignment w:val="baseline"/>
            </w:pPr>
            <w:r>
              <w:rPr>
                <w:rFonts w:hint="eastAsia"/>
              </w:rPr>
              <w:t>晏家街道</w:t>
            </w:r>
          </w:p>
        </w:tc>
        <w:tc>
          <w:tcPr>
            <w:tcW w:w="1125" w:type="pct"/>
          </w:tcPr>
          <w:p>
            <w:pPr>
              <w:pStyle w:val="65"/>
              <w:ind w:firstLine="480"/>
              <w:textAlignment w:val="baseline"/>
            </w:pPr>
            <w:r>
              <w:rPr>
                <w:rFonts w:hint="eastAsia"/>
              </w:rPr>
              <w:t>2276</w:t>
            </w:r>
          </w:p>
        </w:tc>
        <w:tc>
          <w:tcPr>
            <w:tcW w:w="1125" w:type="pct"/>
          </w:tcPr>
          <w:p>
            <w:pPr>
              <w:pStyle w:val="65"/>
              <w:ind w:firstLine="480"/>
              <w:textAlignment w:val="baseline"/>
            </w:pPr>
            <w:r>
              <w:rPr>
                <w:rFonts w:hint="eastAsia"/>
              </w:rPr>
              <w:t>-1218</w:t>
            </w:r>
          </w:p>
        </w:tc>
        <w:tc>
          <w:tcPr>
            <w:tcW w:w="624" w:type="pct"/>
          </w:tcPr>
          <w:p>
            <w:pPr>
              <w:pStyle w:val="65"/>
              <w:ind w:firstLine="480"/>
              <w:textAlignment w:val="baseline"/>
            </w:pPr>
            <w:r>
              <w:rPr>
                <w:rFonts w:hint="eastAsia"/>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2</w:t>
            </w:r>
          </w:p>
        </w:tc>
        <w:tc>
          <w:tcPr>
            <w:tcW w:w="1641" w:type="pct"/>
          </w:tcPr>
          <w:p>
            <w:pPr>
              <w:pStyle w:val="65"/>
              <w:ind w:firstLine="480"/>
              <w:textAlignment w:val="baseline"/>
            </w:pPr>
            <w:r>
              <w:rPr>
                <w:rFonts w:hint="eastAsia"/>
              </w:rPr>
              <w:t>长寿经开区管委会</w:t>
            </w:r>
          </w:p>
        </w:tc>
        <w:tc>
          <w:tcPr>
            <w:tcW w:w="1125" w:type="pct"/>
          </w:tcPr>
          <w:p>
            <w:pPr>
              <w:pStyle w:val="65"/>
              <w:ind w:firstLine="480"/>
              <w:textAlignment w:val="baseline"/>
            </w:pPr>
            <w:r>
              <w:rPr>
                <w:rFonts w:hint="eastAsia"/>
              </w:rPr>
              <w:t>1937</w:t>
            </w:r>
          </w:p>
        </w:tc>
        <w:tc>
          <w:tcPr>
            <w:tcW w:w="1125" w:type="pct"/>
          </w:tcPr>
          <w:p>
            <w:pPr>
              <w:pStyle w:val="65"/>
              <w:ind w:firstLine="480"/>
              <w:textAlignment w:val="baseline"/>
            </w:pPr>
            <w:r>
              <w:rPr>
                <w:rFonts w:hint="eastAsia"/>
              </w:rPr>
              <w:t>-627</w:t>
            </w:r>
          </w:p>
        </w:tc>
        <w:tc>
          <w:tcPr>
            <w:tcW w:w="624" w:type="pct"/>
          </w:tcPr>
          <w:p>
            <w:pPr>
              <w:pStyle w:val="65"/>
              <w:ind w:firstLine="480"/>
              <w:textAlignment w:val="baseline"/>
            </w:pPr>
            <w:r>
              <w:rPr>
                <w:rFonts w:hint="eastAsia"/>
              </w:rPr>
              <w:t>203.82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3</w:t>
            </w:r>
          </w:p>
        </w:tc>
        <w:tc>
          <w:tcPr>
            <w:tcW w:w="1641" w:type="pct"/>
          </w:tcPr>
          <w:p>
            <w:pPr>
              <w:pStyle w:val="65"/>
              <w:ind w:firstLine="480"/>
              <w:textAlignment w:val="baseline"/>
            </w:pPr>
            <w:r>
              <w:rPr>
                <w:rFonts w:hint="eastAsia"/>
              </w:rPr>
              <w:t>晏家中学</w:t>
            </w:r>
          </w:p>
        </w:tc>
        <w:tc>
          <w:tcPr>
            <w:tcW w:w="1125" w:type="pct"/>
          </w:tcPr>
          <w:p>
            <w:pPr>
              <w:pStyle w:val="65"/>
              <w:ind w:firstLine="480"/>
              <w:textAlignment w:val="baseline"/>
            </w:pPr>
            <w:r>
              <w:rPr>
                <w:rFonts w:hint="eastAsia"/>
              </w:rPr>
              <w:t>2124</w:t>
            </w:r>
          </w:p>
        </w:tc>
        <w:tc>
          <w:tcPr>
            <w:tcW w:w="1125" w:type="pct"/>
          </w:tcPr>
          <w:p>
            <w:pPr>
              <w:pStyle w:val="65"/>
              <w:ind w:firstLine="480"/>
              <w:textAlignment w:val="baseline"/>
            </w:pPr>
            <w:r>
              <w:rPr>
                <w:rFonts w:hint="eastAsia"/>
              </w:rPr>
              <w:t>-1907</w:t>
            </w:r>
          </w:p>
        </w:tc>
        <w:tc>
          <w:tcPr>
            <w:tcW w:w="624" w:type="pct"/>
          </w:tcPr>
          <w:p>
            <w:pPr>
              <w:pStyle w:val="65"/>
              <w:ind w:firstLine="480"/>
              <w:textAlignment w:val="baseline"/>
            </w:pPr>
            <w:r>
              <w:rPr>
                <w:rFonts w:hint="eastAsia"/>
              </w:rPr>
              <w:t>254.89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4</w:t>
            </w:r>
          </w:p>
        </w:tc>
        <w:tc>
          <w:tcPr>
            <w:tcW w:w="1641" w:type="pct"/>
          </w:tcPr>
          <w:p>
            <w:pPr>
              <w:pStyle w:val="65"/>
              <w:ind w:firstLine="480"/>
              <w:textAlignment w:val="baseline"/>
            </w:pPr>
            <w:r>
              <w:rPr>
                <w:rFonts w:hint="eastAsia"/>
              </w:rPr>
              <w:t>晏家实验小学</w:t>
            </w:r>
          </w:p>
        </w:tc>
        <w:tc>
          <w:tcPr>
            <w:tcW w:w="1125" w:type="pct"/>
          </w:tcPr>
          <w:p>
            <w:pPr>
              <w:pStyle w:val="65"/>
              <w:ind w:firstLine="480"/>
              <w:textAlignment w:val="baseline"/>
            </w:pPr>
            <w:r>
              <w:rPr>
                <w:rFonts w:hint="eastAsia"/>
              </w:rPr>
              <w:t>2509</w:t>
            </w:r>
          </w:p>
        </w:tc>
        <w:tc>
          <w:tcPr>
            <w:tcW w:w="1125" w:type="pct"/>
          </w:tcPr>
          <w:p>
            <w:pPr>
              <w:pStyle w:val="65"/>
              <w:ind w:firstLine="480"/>
              <w:textAlignment w:val="baseline"/>
            </w:pPr>
            <w:r>
              <w:rPr>
                <w:rFonts w:hint="eastAsia"/>
              </w:rPr>
              <w:t>-773</w:t>
            </w:r>
          </w:p>
        </w:tc>
        <w:tc>
          <w:tcPr>
            <w:tcW w:w="624" w:type="pct"/>
          </w:tcPr>
          <w:p>
            <w:pPr>
              <w:pStyle w:val="65"/>
              <w:ind w:firstLine="480"/>
              <w:textAlignment w:val="baseline"/>
            </w:pPr>
            <w:r>
              <w:rPr>
                <w:rFonts w:hint="eastAsia"/>
              </w:rPr>
              <w:t>294.89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5</w:t>
            </w:r>
          </w:p>
        </w:tc>
        <w:tc>
          <w:tcPr>
            <w:tcW w:w="1641" w:type="pct"/>
          </w:tcPr>
          <w:p>
            <w:pPr>
              <w:pStyle w:val="65"/>
              <w:ind w:firstLine="480"/>
              <w:textAlignment w:val="baseline"/>
            </w:pPr>
            <w:r>
              <w:rPr>
                <w:rFonts w:hint="eastAsia"/>
              </w:rPr>
              <w:t>泓原医院</w:t>
            </w:r>
          </w:p>
        </w:tc>
        <w:tc>
          <w:tcPr>
            <w:tcW w:w="1125" w:type="pct"/>
          </w:tcPr>
          <w:p>
            <w:pPr>
              <w:pStyle w:val="65"/>
              <w:ind w:firstLine="480"/>
              <w:textAlignment w:val="baseline"/>
            </w:pPr>
            <w:r>
              <w:rPr>
                <w:rFonts w:hint="eastAsia"/>
              </w:rPr>
              <w:t>2112</w:t>
            </w:r>
          </w:p>
        </w:tc>
        <w:tc>
          <w:tcPr>
            <w:tcW w:w="1125" w:type="pct"/>
          </w:tcPr>
          <w:p>
            <w:pPr>
              <w:pStyle w:val="65"/>
              <w:ind w:firstLine="480"/>
              <w:textAlignment w:val="baseline"/>
            </w:pPr>
            <w:r>
              <w:rPr>
                <w:rFonts w:hint="eastAsia"/>
              </w:rPr>
              <w:t>-568</w:t>
            </w:r>
          </w:p>
        </w:tc>
        <w:tc>
          <w:tcPr>
            <w:tcW w:w="624" w:type="pct"/>
          </w:tcPr>
          <w:p>
            <w:pPr>
              <w:pStyle w:val="65"/>
              <w:ind w:firstLine="480"/>
              <w:textAlignment w:val="baseline"/>
            </w:pPr>
            <w:r>
              <w:rPr>
                <w:rFonts w:hint="eastAsia"/>
              </w:rPr>
              <w:t>197.71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6</w:t>
            </w:r>
          </w:p>
        </w:tc>
        <w:tc>
          <w:tcPr>
            <w:tcW w:w="1641" w:type="pct"/>
          </w:tcPr>
          <w:p>
            <w:pPr>
              <w:pStyle w:val="65"/>
              <w:ind w:firstLine="480"/>
              <w:textAlignment w:val="baseline"/>
            </w:pPr>
            <w:r>
              <w:rPr>
                <w:rFonts w:hint="eastAsia"/>
              </w:rPr>
              <w:t>龙口村居民点</w:t>
            </w:r>
          </w:p>
        </w:tc>
        <w:tc>
          <w:tcPr>
            <w:tcW w:w="1125" w:type="pct"/>
          </w:tcPr>
          <w:p>
            <w:pPr>
              <w:pStyle w:val="65"/>
              <w:ind w:firstLine="480"/>
              <w:textAlignment w:val="baseline"/>
            </w:pPr>
            <w:r>
              <w:rPr>
                <w:rFonts w:hint="eastAsia"/>
              </w:rPr>
              <w:t>-774</w:t>
            </w:r>
          </w:p>
        </w:tc>
        <w:tc>
          <w:tcPr>
            <w:tcW w:w="1125" w:type="pct"/>
          </w:tcPr>
          <w:p>
            <w:pPr>
              <w:pStyle w:val="65"/>
              <w:ind w:firstLine="480"/>
              <w:textAlignment w:val="baseline"/>
            </w:pPr>
            <w:r>
              <w:rPr>
                <w:rFonts w:hint="eastAsia"/>
              </w:rPr>
              <w:t>2441</w:t>
            </w:r>
          </w:p>
        </w:tc>
        <w:tc>
          <w:tcPr>
            <w:tcW w:w="624" w:type="pct"/>
          </w:tcPr>
          <w:p>
            <w:pPr>
              <w:pStyle w:val="65"/>
              <w:ind w:firstLine="480"/>
              <w:textAlignment w:val="baseline"/>
            </w:pPr>
            <w:r>
              <w:rPr>
                <w:rFonts w:hint="eastAsia"/>
              </w:rPr>
              <w:t>289.74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t>7</w:t>
            </w:r>
          </w:p>
        </w:tc>
        <w:tc>
          <w:tcPr>
            <w:tcW w:w="1641" w:type="pct"/>
          </w:tcPr>
          <w:p>
            <w:pPr>
              <w:pStyle w:val="65"/>
              <w:ind w:firstLine="480"/>
              <w:textAlignment w:val="baseline"/>
            </w:pPr>
            <w:r>
              <w:rPr>
                <w:rFonts w:hint="eastAsia"/>
              </w:rPr>
              <w:t>观双村居民点</w:t>
            </w:r>
          </w:p>
        </w:tc>
        <w:tc>
          <w:tcPr>
            <w:tcW w:w="1125" w:type="pct"/>
          </w:tcPr>
          <w:p>
            <w:pPr>
              <w:pStyle w:val="65"/>
              <w:ind w:firstLine="480"/>
              <w:textAlignment w:val="baseline"/>
            </w:pPr>
            <w:r>
              <w:rPr>
                <w:rFonts w:hint="eastAsia"/>
              </w:rPr>
              <w:t>727</w:t>
            </w:r>
          </w:p>
        </w:tc>
        <w:tc>
          <w:tcPr>
            <w:tcW w:w="1125" w:type="pct"/>
          </w:tcPr>
          <w:p>
            <w:pPr>
              <w:pStyle w:val="65"/>
              <w:ind w:firstLine="480"/>
              <w:textAlignment w:val="baseline"/>
            </w:pPr>
            <w:r>
              <w:rPr>
                <w:rFonts w:hint="eastAsia"/>
              </w:rPr>
              <w:t>2447</w:t>
            </w:r>
          </w:p>
        </w:tc>
        <w:tc>
          <w:tcPr>
            <w:tcW w:w="624" w:type="pct"/>
          </w:tcPr>
          <w:p>
            <w:pPr>
              <w:pStyle w:val="65"/>
              <w:ind w:firstLine="480"/>
              <w:textAlignment w:val="baseline"/>
            </w:pPr>
            <w:r>
              <w:rPr>
                <w:rFonts w:hint="eastAsia"/>
              </w:rPr>
              <w:t>262.95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rPr>
                <w:rFonts w:hint="eastAsia"/>
              </w:rPr>
              <w:t>8</w:t>
            </w:r>
          </w:p>
        </w:tc>
        <w:tc>
          <w:tcPr>
            <w:tcW w:w="1641" w:type="pct"/>
          </w:tcPr>
          <w:p>
            <w:pPr>
              <w:pStyle w:val="65"/>
              <w:ind w:firstLine="480"/>
              <w:textAlignment w:val="baseline"/>
            </w:pPr>
            <w:r>
              <w:rPr>
                <w:rFonts w:hint="eastAsia"/>
              </w:rPr>
              <w:t>A8云天化聚甲醛项目</w:t>
            </w:r>
          </w:p>
          <w:p>
            <w:pPr>
              <w:pStyle w:val="65"/>
              <w:ind w:firstLine="480"/>
              <w:textAlignment w:val="baseline"/>
            </w:pPr>
            <w:r>
              <w:rPr>
                <w:rFonts w:hint="eastAsia"/>
              </w:rPr>
              <w:t>位置附近</w:t>
            </w:r>
          </w:p>
        </w:tc>
        <w:tc>
          <w:tcPr>
            <w:tcW w:w="1125" w:type="pct"/>
          </w:tcPr>
          <w:p>
            <w:pPr>
              <w:pStyle w:val="65"/>
              <w:ind w:firstLine="480"/>
              <w:textAlignment w:val="baseline"/>
            </w:pPr>
            <w:r>
              <w:t>1600</w:t>
            </w:r>
          </w:p>
        </w:tc>
        <w:tc>
          <w:tcPr>
            <w:tcW w:w="1125" w:type="pct"/>
          </w:tcPr>
          <w:p>
            <w:pPr>
              <w:pStyle w:val="65"/>
              <w:ind w:firstLine="480"/>
              <w:textAlignment w:val="baseline"/>
            </w:pPr>
            <w:r>
              <w:t>-2802</w:t>
            </w:r>
          </w:p>
        </w:tc>
        <w:tc>
          <w:tcPr>
            <w:tcW w:w="624" w:type="pct"/>
          </w:tcPr>
          <w:p>
            <w:pPr>
              <w:pStyle w:val="65"/>
              <w:ind w:firstLine="480"/>
              <w:textAlignment w:val="baseline"/>
            </w:pPr>
            <w:r>
              <w:t>238.92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6" w:type="pct"/>
            <w:vAlign w:val="center"/>
          </w:tcPr>
          <w:p>
            <w:pPr>
              <w:pStyle w:val="65"/>
              <w:ind w:firstLine="480"/>
              <w:textAlignment w:val="baseline"/>
            </w:pPr>
            <w:r>
              <w:rPr>
                <w:rFonts w:hint="eastAsia"/>
              </w:rPr>
              <w:t>9</w:t>
            </w:r>
          </w:p>
        </w:tc>
        <w:tc>
          <w:tcPr>
            <w:tcW w:w="1641" w:type="pct"/>
          </w:tcPr>
          <w:p>
            <w:pPr>
              <w:pStyle w:val="65"/>
              <w:ind w:firstLine="480"/>
              <w:textAlignment w:val="baseline"/>
            </w:pPr>
            <w:r>
              <w:rPr>
                <w:rFonts w:hint="eastAsia"/>
              </w:rPr>
              <w:t>A4管委会办公区对面附近</w:t>
            </w:r>
          </w:p>
        </w:tc>
        <w:tc>
          <w:tcPr>
            <w:tcW w:w="1125" w:type="pct"/>
          </w:tcPr>
          <w:p>
            <w:pPr>
              <w:pStyle w:val="65"/>
              <w:ind w:firstLine="480"/>
              <w:textAlignment w:val="baseline"/>
            </w:pPr>
            <w:r>
              <w:t>1931</w:t>
            </w:r>
          </w:p>
        </w:tc>
        <w:tc>
          <w:tcPr>
            <w:tcW w:w="1125" w:type="pct"/>
          </w:tcPr>
          <w:p>
            <w:pPr>
              <w:pStyle w:val="65"/>
              <w:ind w:firstLine="480"/>
              <w:textAlignment w:val="baseline"/>
            </w:pPr>
            <w:r>
              <w:t>-622</w:t>
            </w:r>
          </w:p>
        </w:tc>
        <w:tc>
          <w:tcPr>
            <w:tcW w:w="624" w:type="pct"/>
          </w:tcPr>
          <w:p>
            <w:pPr>
              <w:pStyle w:val="65"/>
              <w:ind w:firstLine="480"/>
              <w:textAlignment w:val="baseline"/>
            </w:pPr>
            <w:r>
              <w:t>204.29</w:t>
            </w:r>
          </w:p>
        </w:tc>
      </w:tr>
      <w:bookmarkEnd w:id="119"/>
    </w:tbl>
    <w:p>
      <w:pPr>
        <w:ind w:firstLine="480"/>
      </w:pPr>
      <w:r>
        <w:rPr>
          <w:rFonts w:hint="eastAsia"/>
        </w:rPr>
        <w:t>（4）预测参数选取</w:t>
      </w:r>
    </w:p>
    <w:p>
      <w:pPr>
        <w:ind w:firstLine="480"/>
      </w:pPr>
      <w:r>
        <w:rPr>
          <w:rFonts w:hint="eastAsia"/>
        </w:rPr>
        <w:t>地面特征参数：采用AERMOD地表参数推荐取值（源自《AERMET USER GUIDE》），地面分扇区数1，地面扇区0-360，地面时间周期按季，评价区域地表类型为城市，地表湿度为潮湿气候，反照率、BOWEN、粗糙度按AREMET城镇外围地表类型自动生成。生成地面特征参数见表5.2-4。</w:t>
      </w:r>
    </w:p>
    <w:p>
      <w:pPr>
        <w:pStyle w:val="41"/>
      </w:pPr>
      <w:r>
        <w:rPr>
          <w:rFonts w:hint="eastAsia"/>
        </w:rPr>
        <w:t>表5.2-4  地面特征参数</w:t>
      </w:r>
    </w:p>
    <w:tbl>
      <w:tblPr>
        <w:tblStyle w:val="33"/>
        <w:tblW w:w="5000" w:type="pct"/>
        <w:tblInd w:w="0" w:type="dxa"/>
        <w:tblLayout w:type="autofit"/>
        <w:tblCellMar>
          <w:top w:w="0" w:type="dxa"/>
          <w:left w:w="28" w:type="dxa"/>
          <w:bottom w:w="0" w:type="dxa"/>
          <w:right w:w="28" w:type="dxa"/>
        </w:tblCellMar>
      </w:tblPr>
      <w:tblGrid>
        <w:gridCol w:w="1300"/>
        <w:gridCol w:w="1300"/>
        <w:gridCol w:w="1865"/>
        <w:gridCol w:w="1299"/>
        <w:gridCol w:w="1299"/>
        <w:gridCol w:w="1299"/>
      </w:tblGrid>
      <w:tr>
        <w:tblPrEx>
          <w:tblCellMar>
            <w:top w:w="0" w:type="dxa"/>
            <w:left w:w="28" w:type="dxa"/>
            <w:bottom w:w="0" w:type="dxa"/>
            <w:right w:w="28" w:type="dxa"/>
          </w:tblCellMar>
        </w:tblPrEx>
        <w:trPr>
          <w:trHeight w:val="20" w:hRule="atLeast"/>
        </w:trPr>
        <w:tc>
          <w:tcPr>
            <w:tcW w:w="777"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65"/>
              <w:ind w:firstLine="400"/>
            </w:pPr>
            <w:r>
              <w:t>序号</w:t>
            </w:r>
          </w:p>
        </w:tc>
        <w:tc>
          <w:tcPr>
            <w:tcW w:w="777" w:type="pct"/>
            <w:tcBorders>
              <w:top w:val="single" w:color="auto" w:sz="4" w:space="0"/>
              <w:left w:val="nil"/>
              <w:bottom w:val="single" w:color="auto" w:sz="4" w:space="0"/>
              <w:right w:val="single" w:color="auto" w:sz="4" w:space="0"/>
            </w:tcBorders>
            <w:shd w:val="clear" w:color="auto" w:fill="auto"/>
            <w:noWrap/>
            <w:vAlign w:val="center"/>
          </w:tcPr>
          <w:p>
            <w:pPr>
              <w:pStyle w:val="65"/>
              <w:ind w:firstLine="400"/>
            </w:pPr>
            <w:r>
              <w:t>扇区</w:t>
            </w:r>
          </w:p>
        </w:tc>
        <w:tc>
          <w:tcPr>
            <w:tcW w:w="1115" w:type="pct"/>
            <w:tcBorders>
              <w:top w:val="single" w:color="auto" w:sz="4" w:space="0"/>
              <w:left w:val="nil"/>
              <w:bottom w:val="single" w:color="auto" w:sz="4" w:space="0"/>
              <w:right w:val="single" w:color="auto" w:sz="4" w:space="0"/>
            </w:tcBorders>
            <w:shd w:val="clear" w:color="auto" w:fill="auto"/>
            <w:noWrap/>
            <w:vAlign w:val="center"/>
          </w:tcPr>
          <w:p>
            <w:pPr>
              <w:pStyle w:val="65"/>
              <w:ind w:firstLine="400"/>
            </w:pPr>
            <w:r>
              <w:t>时段</w:t>
            </w:r>
          </w:p>
        </w:tc>
        <w:tc>
          <w:tcPr>
            <w:tcW w:w="777" w:type="pct"/>
            <w:tcBorders>
              <w:top w:val="single" w:color="auto" w:sz="4" w:space="0"/>
              <w:left w:val="nil"/>
              <w:bottom w:val="single" w:color="auto" w:sz="4" w:space="0"/>
              <w:right w:val="single" w:color="auto" w:sz="4" w:space="0"/>
            </w:tcBorders>
            <w:shd w:val="clear" w:color="auto" w:fill="auto"/>
            <w:noWrap/>
            <w:vAlign w:val="center"/>
          </w:tcPr>
          <w:p>
            <w:pPr>
              <w:pStyle w:val="65"/>
              <w:ind w:firstLine="400"/>
            </w:pPr>
            <w:r>
              <w:t>正午反照率</w:t>
            </w:r>
          </w:p>
        </w:tc>
        <w:tc>
          <w:tcPr>
            <w:tcW w:w="777" w:type="pct"/>
            <w:tcBorders>
              <w:top w:val="single" w:color="auto" w:sz="4" w:space="0"/>
              <w:left w:val="nil"/>
              <w:bottom w:val="single" w:color="auto" w:sz="4" w:space="0"/>
              <w:right w:val="single" w:color="auto" w:sz="4" w:space="0"/>
            </w:tcBorders>
            <w:shd w:val="clear" w:color="auto" w:fill="auto"/>
            <w:noWrap/>
            <w:vAlign w:val="center"/>
          </w:tcPr>
          <w:p>
            <w:pPr>
              <w:pStyle w:val="65"/>
              <w:ind w:firstLine="400"/>
            </w:pPr>
            <w:r>
              <w:t>BOWEN</w:t>
            </w:r>
          </w:p>
        </w:tc>
        <w:tc>
          <w:tcPr>
            <w:tcW w:w="777" w:type="pct"/>
            <w:tcBorders>
              <w:top w:val="single" w:color="auto" w:sz="4" w:space="0"/>
              <w:left w:val="nil"/>
              <w:bottom w:val="single" w:color="auto" w:sz="4" w:space="0"/>
              <w:right w:val="single" w:color="auto" w:sz="4" w:space="0"/>
            </w:tcBorders>
            <w:shd w:val="clear" w:color="auto" w:fill="auto"/>
            <w:noWrap/>
            <w:vAlign w:val="center"/>
          </w:tcPr>
          <w:p>
            <w:pPr>
              <w:pStyle w:val="65"/>
              <w:ind w:firstLine="400"/>
            </w:pPr>
            <w:r>
              <w:t>粗糙度</w:t>
            </w:r>
          </w:p>
        </w:tc>
      </w:tr>
      <w:tr>
        <w:tblPrEx>
          <w:tblCellMar>
            <w:top w:w="0" w:type="dxa"/>
            <w:left w:w="28" w:type="dxa"/>
            <w:bottom w:w="0" w:type="dxa"/>
            <w:right w:w="28" w:type="dxa"/>
          </w:tblCellMar>
        </w:tblPrEx>
        <w:trPr>
          <w:trHeight w:val="20" w:hRule="atLeast"/>
        </w:trPr>
        <w:tc>
          <w:tcPr>
            <w:tcW w:w="777" w:type="pct"/>
            <w:tcBorders>
              <w:top w:val="nil"/>
              <w:left w:val="single" w:color="auto" w:sz="4" w:space="0"/>
              <w:bottom w:val="single" w:color="auto" w:sz="4" w:space="0"/>
              <w:right w:val="single" w:color="auto" w:sz="4" w:space="0"/>
            </w:tcBorders>
            <w:shd w:val="clear" w:color="auto" w:fill="auto"/>
            <w:noWrap/>
            <w:vAlign w:val="center"/>
          </w:tcPr>
          <w:p>
            <w:pPr>
              <w:pStyle w:val="65"/>
              <w:ind w:firstLine="400"/>
            </w:pPr>
            <w:r>
              <w:t>1</w:t>
            </w:r>
          </w:p>
        </w:tc>
        <w:tc>
          <w:tcPr>
            <w:tcW w:w="777" w:type="pct"/>
            <w:tcBorders>
              <w:top w:val="nil"/>
              <w:left w:val="nil"/>
              <w:bottom w:val="single" w:color="auto" w:sz="4" w:space="0"/>
              <w:right w:val="single" w:color="auto" w:sz="4" w:space="0"/>
            </w:tcBorders>
            <w:shd w:val="clear" w:color="auto" w:fill="auto"/>
            <w:noWrap/>
            <w:vAlign w:val="center"/>
          </w:tcPr>
          <w:p>
            <w:pPr>
              <w:pStyle w:val="65"/>
              <w:ind w:firstLine="400"/>
            </w:pPr>
            <w:r>
              <w:t>0-360</w:t>
            </w:r>
          </w:p>
        </w:tc>
        <w:tc>
          <w:tcPr>
            <w:tcW w:w="1115" w:type="pct"/>
            <w:tcBorders>
              <w:top w:val="nil"/>
              <w:left w:val="nil"/>
              <w:bottom w:val="single" w:color="auto" w:sz="4" w:space="0"/>
              <w:right w:val="single" w:color="auto" w:sz="4" w:space="0"/>
            </w:tcBorders>
            <w:shd w:val="clear" w:color="auto" w:fill="auto"/>
            <w:noWrap/>
            <w:vAlign w:val="center"/>
          </w:tcPr>
          <w:p>
            <w:pPr>
              <w:pStyle w:val="65"/>
              <w:ind w:firstLine="400"/>
            </w:pPr>
            <w:r>
              <w:t>冬季(12,1,2月)</w:t>
            </w:r>
          </w:p>
        </w:tc>
        <w:tc>
          <w:tcPr>
            <w:tcW w:w="777" w:type="pct"/>
            <w:tcBorders>
              <w:top w:val="nil"/>
              <w:left w:val="nil"/>
              <w:bottom w:val="single" w:color="auto" w:sz="4" w:space="0"/>
              <w:right w:val="single" w:color="auto" w:sz="4" w:space="0"/>
            </w:tcBorders>
            <w:shd w:val="clear" w:color="auto" w:fill="auto"/>
            <w:noWrap/>
          </w:tcPr>
          <w:p>
            <w:pPr>
              <w:pStyle w:val="65"/>
              <w:ind w:firstLine="400"/>
            </w:pPr>
            <w:r>
              <w:t>.35</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1.5</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w:t>
            </w:r>
          </w:p>
        </w:tc>
      </w:tr>
      <w:tr>
        <w:tblPrEx>
          <w:tblCellMar>
            <w:top w:w="0" w:type="dxa"/>
            <w:left w:w="28" w:type="dxa"/>
            <w:bottom w:w="0" w:type="dxa"/>
            <w:right w:w="28" w:type="dxa"/>
          </w:tblCellMar>
        </w:tblPrEx>
        <w:trPr>
          <w:trHeight w:val="20" w:hRule="atLeast"/>
        </w:trPr>
        <w:tc>
          <w:tcPr>
            <w:tcW w:w="777" w:type="pct"/>
            <w:tcBorders>
              <w:top w:val="nil"/>
              <w:left w:val="single" w:color="auto" w:sz="4" w:space="0"/>
              <w:bottom w:val="single" w:color="auto" w:sz="4" w:space="0"/>
              <w:right w:val="single" w:color="auto" w:sz="4" w:space="0"/>
            </w:tcBorders>
            <w:shd w:val="clear" w:color="auto" w:fill="auto"/>
            <w:noWrap/>
            <w:vAlign w:val="center"/>
          </w:tcPr>
          <w:p>
            <w:pPr>
              <w:pStyle w:val="65"/>
              <w:ind w:firstLine="400"/>
            </w:pPr>
            <w:r>
              <w:t>2</w:t>
            </w:r>
          </w:p>
        </w:tc>
        <w:tc>
          <w:tcPr>
            <w:tcW w:w="777" w:type="pct"/>
            <w:tcBorders>
              <w:top w:val="nil"/>
              <w:left w:val="nil"/>
              <w:bottom w:val="single" w:color="auto" w:sz="4" w:space="0"/>
              <w:right w:val="single" w:color="auto" w:sz="4" w:space="0"/>
            </w:tcBorders>
            <w:shd w:val="clear" w:color="auto" w:fill="auto"/>
            <w:noWrap/>
            <w:vAlign w:val="center"/>
          </w:tcPr>
          <w:p>
            <w:pPr>
              <w:pStyle w:val="65"/>
              <w:ind w:firstLine="400"/>
            </w:pPr>
            <w:r>
              <w:t>0-360</w:t>
            </w:r>
          </w:p>
        </w:tc>
        <w:tc>
          <w:tcPr>
            <w:tcW w:w="1115" w:type="pct"/>
            <w:tcBorders>
              <w:top w:val="nil"/>
              <w:left w:val="nil"/>
              <w:bottom w:val="single" w:color="auto" w:sz="4" w:space="0"/>
              <w:right w:val="single" w:color="auto" w:sz="4" w:space="0"/>
            </w:tcBorders>
            <w:shd w:val="clear" w:color="auto" w:fill="auto"/>
            <w:noWrap/>
            <w:vAlign w:val="center"/>
          </w:tcPr>
          <w:p>
            <w:pPr>
              <w:pStyle w:val="65"/>
              <w:ind w:firstLine="400"/>
            </w:pPr>
            <w:r>
              <w:t>春季(3,4,5月)</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.14</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w:t>
            </w:r>
          </w:p>
        </w:tc>
      </w:tr>
      <w:tr>
        <w:tblPrEx>
          <w:tblCellMar>
            <w:top w:w="0" w:type="dxa"/>
            <w:left w:w="28" w:type="dxa"/>
            <w:bottom w:w="0" w:type="dxa"/>
            <w:right w:w="28" w:type="dxa"/>
          </w:tblCellMar>
        </w:tblPrEx>
        <w:trPr>
          <w:trHeight w:val="20" w:hRule="atLeast"/>
        </w:trPr>
        <w:tc>
          <w:tcPr>
            <w:tcW w:w="777" w:type="pct"/>
            <w:tcBorders>
              <w:top w:val="nil"/>
              <w:left w:val="single" w:color="auto" w:sz="4" w:space="0"/>
              <w:bottom w:val="single" w:color="auto" w:sz="4" w:space="0"/>
              <w:right w:val="single" w:color="auto" w:sz="4" w:space="0"/>
            </w:tcBorders>
            <w:shd w:val="clear" w:color="auto" w:fill="auto"/>
            <w:noWrap/>
            <w:vAlign w:val="center"/>
          </w:tcPr>
          <w:p>
            <w:pPr>
              <w:pStyle w:val="65"/>
              <w:ind w:firstLine="400"/>
            </w:pPr>
            <w:r>
              <w:t>3</w:t>
            </w:r>
          </w:p>
        </w:tc>
        <w:tc>
          <w:tcPr>
            <w:tcW w:w="777" w:type="pct"/>
            <w:tcBorders>
              <w:top w:val="nil"/>
              <w:left w:val="nil"/>
              <w:bottom w:val="single" w:color="auto" w:sz="4" w:space="0"/>
              <w:right w:val="single" w:color="auto" w:sz="4" w:space="0"/>
            </w:tcBorders>
            <w:shd w:val="clear" w:color="auto" w:fill="auto"/>
            <w:noWrap/>
            <w:vAlign w:val="center"/>
          </w:tcPr>
          <w:p>
            <w:pPr>
              <w:pStyle w:val="65"/>
              <w:ind w:firstLine="400"/>
            </w:pPr>
            <w:r>
              <w:t>0-360</w:t>
            </w:r>
          </w:p>
        </w:tc>
        <w:tc>
          <w:tcPr>
            <w:tcW w:w="1115" w:type="pct"/>
            <w:tcBorders>
              <w:top w:val="nil"/>
              <w:left w:val="nil"/>
              <w:bottom w:val="single" w:color="auto" w:sz="4" w:space="0"/>
              <w:right w:val="single" w:color="auto" w:sz="4" w:space="0"/>
            </w:tcBorders>
            <w:shd w:val="clear" w:color="auto" w:fill="auto"/>
            <w:noWrap/>
            <w:vAlign w:val="center"/>
          </w:tcPr>
          <w:p>
            <w:pPr>
              <w:pStyle w:val="65"/>
              <w:ind w:firstLine="400"/>
            </w:pPr>
            <w:r>
              <w:t>夏季(6,7,8月)</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.16</w:t>
            </w:r>
          </w:p>
        </w:tc>
        <w:tc>
          <w:tcPr>
            <w:tcW w:w="777" w:type="pct"/>
            <w:tcBorders>
              <w:top w:val="nil"/>
              <w:left w:val="nil"/>
              <w:bottom w:val="single" w:color="auto" w:sz="4" w:space="0"/>
              <w:right w:val="single" w:color="auto" w:sz="4" w:space="0"/>
            </w:tcBorders>
            <w:shd w:val="clear" w:color="auto" w:fill="auto"/>
            <w:noWrap/>
          </w:tcPr>
          <w:p>
            <w:pPr>
              <w:pStyle w:val="65"/>
              <w:ind w:firstLine="400"/>
            </w:pPr>
            <w:r>
              <w:t>2</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w:t>
            </w:r>
          </w:p>
        </w:tc>
      </w:tr>
      <w:tr>
        <w:tblPrEx>
          <w:tblCellMar>
            <w:top w:w="0" w:type="dxa"/>
            <w:left w:w="28" w:type="dxa"/>
            <w:bottom w:w="0" w:type="dxa"/>
            <w:right w:w="28" w:type="dxa"/>
          </w:tblCellMar>
        </w:tblPrEx>
        <w:trPr>
          <w:trHeight w:val="20" w:hRule="atLeast"/>
        </w:trPr>
        <w:tc>
          <w:tcPr>
            <w:tcW w:w="777" w:type="pct"/>
            <w:tcBorders>
              <w:top w:val="nil"/>
              <w:left w:val="single" w:color="auto" w:sz="4" w:space="0"/>
              <w:bottom w:val="single" w:color="auto" w:sz="4" w:space="0"/>
              <w:right w:val="single" w:color="auto" w:sz="4" w:space="0"/>
            </w:tcBorders>
            <w:shd w:val="clear" w:color="auto" w:fill="auto"/>
            <w:noWrap/>
            <w:vAlign w:val="center"/>
          </w:tcPr>
          <w:p>
            <w:pPr>
              <w:pStyle w:val="65"/>
              <w:ind w:firstLine="400"/>
            </w:pPr>
            <w:r>
              <w:t>4</w:t>
            </w:r>
          </w:p>
        </w:tc>
        <w:tc>
          <w:tcPr>
            <w:tcW w:w="777" w:type="pct"/>
            <w:tcBorders>
              <w:top w:val="nil"/>
              <w:left w:val="nil"/>
              <w:bottom w:val="single" w:color="auto" w:sz="4" w:space="0"/>
              <w:right w:val="single" w:color="auto" w:sz="4" w:space="0"/>
            </w:tcBorders>
            <w:shd w:val="clear" w:color="auto" w:fill="auto"/>
            <w:noWrap/>
            <w:vAlign w:val="center"/>
          </w:tcPr>
          <w:p>
            <w:pPr>
              <w:pStyle w:val="65"/>
              <w:ind w:firstLine="400"/>
            </w:pPr>
            <w:r>
              <w:t>0-360</w:t>
            </w:r>
          </w:p>
        </w:tc>
        <w:tc>
          <w:tcPr>
            <w:tcW w:w="1115" w:type="pct"/>
            <w:tcBorders>
              <w:top w:val="nil"/>
              <w:left w:val="nil"/>
              <w:bottom w:val="single" w:color="auto" w:sz="4" w:space="0"/>
              <w:right w:val="single" w:color="auto" w:sz="4" w:space="0"/>
            </w:tcBorders>
            <w:shd w:val="clear" w:color="auto" w:fill="auto"/>
            <w:noWrap/>
            <w:vAlign w:val="center"/>
          </w:tcPr>
          <w:p>
            <w:pPr>
              <w:pStyle w:val="65"/>
              <w:ind w:firstLine="400"/>
            </w:pPr>
            <w:r>
              <w:t>秋季(9,10,11月)</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.18</w:t>
            </w:r>
          </w:p>
        </w:tc>
        <w:tc>
          <w:tcPr>
            <w:tcW w:w="777" w:type="pct"/>
            <w:tcBorders>
              <w:top w:val="nil"/>
              <w:left w:val="nil"/>
              <w:bottom w:val="single" w:color="auto" w:sz="4" w:space="0"/>
              <w:right w:val="single" w:color="auto" w:sz="4" w:space="0"/>
            </w:tcBorders>
            <w:shd w:val="clear" w:color="auto" w:fill="auto"/>
            <w:noWrap/>
          </w:tcPr>
          <w:p>
            <w:pPr>
              <w:pStyle w:val="65"/>
              <w:ind w:firstLine="400"/>
            </w:pPr>
            <w:r>
              <w:t>2</w:t>
            </w:r>
          </w:p>
        </w:tc>
        <w:tc>
          <w:tcPr>
            <w:tcW w:w="777" w:type="pct"/>
            <w:tcBorders>
              <w:top w:val="nil"/>
              <w:left w:val="nil"/>
              <w:bottom w:val="single" w:color="auto" w:sz="4" w:space="0"/>
              <w:right w:val="single" w:color="auto" w:sz="4" w:space="0"/>
            </w:tcBorders>
            <w:shd w:val="clear" w:color="auto" w:fill="auto"/>
            <w:noWrap/>
          </w:tcPr>
          <w:p>
            <w:pPr>
              <w:pStyle w:val="65"/>
              <w:ind w:firstLine="400"/>
            </w:pPr>
            <w:r>
              <w:t>1</w:t>
            </w:r>
          </w:p>
        </w:tc>
      </w:tr>
    </w:tbl>
    <w:p>
      <w:pPr>
        <w:ind w:firstLine="480"/>
      </w:pPr>
      <w:r>
        <w:rPr>
          <w:rFonts w:hint="eastAsia"/>
        </w:rPr>
        <w:t>预测气象生成：采用长寿区气象站2019年地面气象数据，一年逐时；高空气象数据来自国家环境保护环境影响评价数值模拟重点实验室WRF模拟生成数据，作为AERMOD运行的探空气象数据。</w:t>
      </w:r>
    </w:p>
    <w:p>
      <w:pPr>
        <w:ind w:firstLine="480"/>
      </w:pPr>
      <w:r>
        <w:rPr>
          <w:rFonts w:hint="eastAsia"/>
        </w:rPr>
        <w:t>预测点方案：运行方式选取“一般方式（非缺省）”，预测气象为一年逐时，预测时间为小时、日、年平均值。（1）考虑地形影响；（2）不考虑预测点离地高（即预测点必须在地面上）；（3）不考虑烟囱出口下洗。</w:t>
      </w:r>
    </w:p>
    <w:p>
      <w:pPr>
        <w:pStyle w:val="5"/>
        <w:spacing w:before="163" w:after="163"/>
      </w:pPr>
      <w:r>
        <w:rPr>
          <w:rFonts w:hint="eastAsia"/>
        </w:rPr>
        <w:t>5.2.1.4预测内容</w:t>
      </w:r>
    </w:p>
    <w:p>
      <w:pPr>
        <w:ind w:firstLine="480"/>
      </w:pPr>
      <w:r>
        <w:rPr>
          <w:rFonts w:hint="eastAsia"/>
        </w:rPr>
        <w:t>根据环境质量现状分析结论，拟建项目评价范围所在区域为不达标区，根据导则要求，本次评价预测内容主要包括：</w:t>
      </w:r>
    </w:p>
    <w:p>
      <w:pPr>
        <w:ind w:firstLine="480"/>
      </w:pPr>
      <w:r>
        <w:rPr>
          <w:rFonts w:hint="eastAsia"/>
        </w:rPr>
        <w:t>①项目正常排放条件下，预测各环境空气保护目标和网格点主要污染物的短期浓度和长期浓度贡献值，评价其最大浓度占标率；</w:t>
      </w:r>
    </w:p>
    <w:p>
      <w:pPr>
        <w:ind w:firstLine="480"/>
      </w:pPr>
      <w:r>
        <w:rPr>
          <w:rFonts w:hint="eastAsia"/>
        </w:rPr>
        <w:t>②项目正常排放条件下，预测拟建项目主要污染物贡献浓度叠加环境质量现状浓度，区域削减污染源以及区域在建、拟建污染源的环境影响后，评价其达标情况；对于区域不达标因子PM</w:t>
      </w:r>
      <w:r>
        <w:rPr>
          <w:rFonts w:hint="eastAsia"/>
          <w:vertAlign w:val="subscript"/>
        </w:rPr>
        <w:t>2.5</w:t>
      </w:r>
      <w:r>
        <w:rPr>
          <w:rFonts w:hint="eastAsia"/>
        </w:rPr>
        <w:t>，评价其评价区域环境质量的整体变化情况；</w:t>
      </w:r>
    </w:p>
    <w:p>
      <w:pPr>
        <w:ind w:firstLine="480"/>
      </w:pPr>
      <w:r>
        <w:rPr>
          <w:rFonts w:hint="eastAsia"/>
        </w:rPr>
        <w:t>③项目非正常排放条件下，预测各环境空气保护目标和网格点主要污染物的1h最大浓度贡献值，评价其最大浓度占标率；</w:t>
      </w:r>
    </w:p>
    <w:p>
      <w:pPr>
        <w:ind w:firstLine="480"/>
      </w:pPr>
      <w:r>
        <w:rPr>
          <w:rFonts w:hint="eastAsia"/>
        </w:rPr>
        <w:t>④大气环境防护距离确定。</w:t>
      </w:r>
    </w:p>
    <w:p>
      <w:pPr>
        <w:ind w:firstLine="480"/>
      </w:pPr>
      <w:r>
        <w:rPr>
          <w:rFonts w:hint="eastAsia"/>
        </w:rPr>
        <w:t>本次评价设置的预测情景组合见表5.2-5。</w:t>
      </w:r>
    </w:p>
    <w:p>
      <w:pPr>
        <w:pStyle w:val="41"/>
      </w:pPr>
      <w:r>
        <w:rPr>
          <w:rFonts w:hint="eastAsia"/>
        </w:rPr>
        <w:t>表5.2-5  拟建项目预测情景组合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20"/>
        <w:gridCol w:w="1275"/>
        <w:gridCol w:w="212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pPr>
              <w:pStyle w:val="65"/>
              <w:ind w:firstLine="400"/>
            </w:pPr>
            <w:r>
              <w:t>评价对象</w:t>
            </w:r>
          </w:p>
        </w:tc>
        <w:tc>
          <w:tcPr>
            <w:tcW w:w="833" w:type="pct"/>
            <w:vAlign w:val="center"/>
          </w:tcPr>
          <w:p>
            <w:pPr>
              <w:pStyle w:val="65"/>
              <w:ind w:firstLine="400"/>
            </w:pPr>
            <w:r>
              <w:t>污染源</w:t>
            </w:r>
          </w:p>
        </w:tc>
        <w:tc>
          <w:tcPr>
            <w:tcW w:w="748" w:type="pct"/>
            <w:vAlign w:val="center"/>
          </w:tcPr>
          <w:p>
            <w:pPr>
              <w:pStyle w:val="65"/>
              <w:ind w:firstLine="400"/>
            </w:pPr>
            <w:r>
              <w:t>排放形式</w:t>
            </w:r>
          </w:p>
        </w:tc>
        <w:tc>
          <w:tcPr>
            <w:tcW w:w="1248" w:type="pct"/>
            <w:vAlign w:val="center"/>
          </w:tcPr>
          <w:p>
            <w:pPr>
              <w:pStyle w:val="65"/>
              <w:ind w:firstLine="400"/>
            </w:pPr>
            <w:r>
              <w:t>预测内容</w:t>
            </w:r>
          </w:p>
        </w:tc>
        <w:tc>
          <w:tcPr>
            <w:tcW w:w="1360" w:type="pct"/>
            <w:vAlign w:val="center"/>
          </w:tcPr>
          <w:p>
            <w:pPr>
              <w:pStyle w:val="65"/>
              <w:ind w:firstLine="400"/>
            </w:pPr>
            <w: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Merge w:val="restart"/>
            <w:vAlign w:val="center"/>
          </w:tcPr>
          <w:p>
            <w:pPr>
              <w:pStyle w:val="65"/>
              <w:ind w:firstLine="400"/>
            </w:pPr>
            <w:r>
              <w:t>所有污染物</w:t>
            </w:r>
          </w:p>
        </w:tc>
        <w:tc>
          <w:tcPr>
            <w:tcW w:w="833" w:type="pct"/>
            <w:vAlign w:val="center"/>
          </w:tcPr>
          <w:p>
            <w:pPr>
              <w:pStyle w:val="65"/>
              <w:ind w:firstLine="400"/>
            </w:pPr>
            <w:r>
              <w:t>新增污染源</w:t>
            </w:r>
          </w:p>
        </w:tc>
        <w:tc>
          <w:tcPr>
            <w:tcW w:w="748" w:type="pct"/>
            <w:vAlign w:val="center"/>
          </w:tcPr>
          <w:p>
            <w:pPr>
              <w:pStyle w:val="65"/>
              <w:ind w:firstLine="400"/>
            </w:pPr>
            <w:r>
              <w:t>正常排放</w:t>
            </w:r>
          </w:p>
        </w:tc>
        <w:tc>
          <w:tcPr>
            <w:tcW w:w="1248" w:type="pct"/>
            <w:vAlign w:val="center"/>
          </w:tcPr>
          <w:p>
            <w:pPr>
              <w:pStyle w:val="65"/>
              <w:ind w:firstLine="400"/>
            </w:pPr>
            <w:r>
              <w:t>短期浓度</w:t>
            </w:r>
          </w:p>
          <w:p>
            <w:pPr>
              <w:pStyle w:val="65"/>
              <w:ind w:firstLine="400"/>
            </w:pPr>
            <w:r>
              <w:rPr>
                <w:rFonts w:hint="eastAsia"/>
              </w:rPr>
              <w:t>长期浓度</w:t>
            </w:r>
          </w:p>
        </w:tc>
        <w:tc>
          <w:tcPr>
            <w:tcW w:w="1360" w:type="pct"/>
            <w:vAlign w:val="center"/>
          </w:tcPr>
          <w:p>
            <w:pPr>
              <w:pStyle w:val="65"/>
              <w:ind w:firstLine="400"/>
            </w:pPr>
            <w: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Merge w:val="continue"/>
            <w:vAlign w:val="center"/>
          </w:tcPr>
          <w:p>
            <w:pPr>
              <w:pStyle w:val="65"/>
              <w:ind w:firstLine="400"/>
            </w:pPr>
          </w:p>
        </w:tc>
        <w:tc>
          <w:tcPr>
            <w:tcW w:w="833" w:type="pct"/>
            <w:vAlign w:val="center"/>
          </w:tcPr>
          <w:p>
            <w:pPr>
              <w:pStyle w:val="65"/>
              <w:ind w:firstLine="400"/>
            </w:pPr>
            <w:r>
              <w:t>新增污染源</w:t>
            </w:r>
          </w:p>
        </w:tc>
        <w:tc>
          <w:tcPr>
            <w:tcW w:w="748" w:type="pct"/>
            <w:vAlign w:val="center"/>
          </w:tcPr>
          <w:p>
            <w:pPr>
              <w:pStyle w:val="65"/>
              <w:ind w:firstLine="400"/>
            </w:pPr>
            <w:r>
              <w:t>非正常排放</w:t>
            </w:r>
          </w:p>
        </w:tc>
        <w:tc>
          <w:tcPr>
            <w:tcW w:w="1248" w:type="pct"/>
            <w:vAlign w:val="center"/>
          </w:tcPr>
          <w:p>
            <w:pPr>
              <w:pStyle w:val="65"/>
              <w:ind w:firstLine="400"/>
            </w:pPr>
            <w:r>
              <w:t>1h平均质量浓度</w:t>
            </w:r>
          </w:p>
        </w:tc>
        <w:tc>
          <w:tcPr>
            <w:tcW w:w="1360" w:type="pct"/>
            <w:vAlign w:val="center"/>
          </w:tcPr>
          <w:p>
            <w:pPr>
              <w:pStyle w:val="65"/>
              <w:ind w:firstLine="400"/>
            </w:pPr>
            <w:r>
              <w:t>最大浓度占标率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Merge w:val="continue"/>
            <w:vAlign w:val="center"/>
          </w:tcPr>
          <w:p>
            <w:pPr>
              <w:pStyle w:val="65"/>
              <w:ind w:firstLine="400"/>
            </w:pPr>
          </w:p>
        </w:tc>
        <w:tc>
          <w:tcPr>
            <w:tcW w:w="833" w:type="pct"/>
            <w:vAlign w:val="center"/>
          </w:tcPr>
          <w:p>
            <w:pPr>
              <w:pStyle w:val="65"/>
              <w:ind w:firstLine="400"/>
            </w:pPr>
            <w:r>
              <w:t>新增污染源-</w:t>
            </w:r>
            <w:r>
              <w:rPr>
                <w:rFonts w:hint="eastAsia"/>
              </w:rPr>
              <w:t>区域削减污染源</w:t>
            </w:r>
            <w:r>
              <w:t>+其他在建、拟建的污染源</w:t>
            </w:r>
          </w:p>
        </w:tc>
        <w:tc>
          <w:tcPr>
            <w:tcW w:w="748" w:type="pct"/>
            <w:vAlign w:val="center"/>
          </w:tcPr>
          <w:p>
            <w:pPr>
              <w:pStyle w:val="65"/>
              <w:ind w:firstLine="400"/>
            </w:pPr>
            <w:r>
              <w:t>正常排放</w:t>
            </w:r>
          </w:p>
        </w:tc>
        <w:tc>
          <w:tcPr>
            <w:tcW w:w="1248" w:type="pct"/>
            <w:vAlign w:val="center"/>
          </w:tcPr>
          <w:p>
            <w:pPr>
              <w:pStyle w:val="65"/>
              <w:ind w:firstLine="400"/>
            </w:pPr>
            <w:r>
              <w:t>短期浓度</w:t>
            </w:r>
          </w:p>
          <w:p>
            <w:pPr>
              <w:pStyle w:val="65"/>
              <w:ind w:firstLine="400"/>
            </w:pPr>
            <w:r>
              <w:t>长期浓度</w:t>
            </w:r>
          </w:p>
        </w:tc>
        <w:tc>
          <w:tcPr>
            <w:tcW w:w="1360" w:type="pct"/>
            <w:vAlign w:val="center"/>
          </w:tcPr>
          <w:p>
            <w:pPr>
              <w:pStyle w:val="65"/>
              <w:ind w:firstLine="400"/>
            </w:pPr>
            <w:r>
              <w:t>叠加环境质量现状浓度后的保证率日平均质量浓度和年平均质量浓度的占标率，或短期浓度的达标情况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pct"/>
            <w:vAlign w:val="center"/>
          </w:tcPr>
          <w:p>
            <w:pPr>
              <w:pStyle w:val="65"/>
              <w:ind w:firstLine="400"/>
            </w:pPr>
            <w:r>
              <w:t>大气环境防护距离</w:t>
            </w:r>
          </w:p>
        </w:tc>
        <w:tc>
          <w:tcPr>
            <w:tcW w:w="833" w:type="pct"/>
            <w:vAlign w:val="center"/>
          </w:tcPr>
          <w:p>
            <w:pPr>
              <w:pStyle w:val="65"/>
              <w:ind w:firstLine="400"/>
            </w:pPr>
            <w:r>
              <w:t>新增污染源</w:t>
            </w:r>
          </w:p>
        </w:tc>
        <w:tc>
          <w:tcPr>
            <w:tcW w:w="748" w:type="pct"/>
            <w:vAlign w:val="center"/>
          </w:tcPr>
          <w:p>
            <w:pPr>
              <w:pStyle w:val="65"/>
              <w:ind w:firstLine="400"/>
            </w:pPr>
            <w:r>
              <w:t>正常排放</w:t>
            </w:r>
          </w:p>
        </w:tc>
        <w:tc>
          <w:tcPr>
            <w:tcW w:w="1248" w:type="pct"/>
            <w:vAlign w:val="center"/>
          </w:tcPr>
          <w:p>
            <w:pPr>
              <w:pStyle w:val="65"/>
              <w:ind w:firstLine="400"/>
            </w:pPr>
            <w:r>
              <w:t>短期浓度</w:t>
            </w:r>
          </w:p>
        </w:tc>
        <w:tc>
          <w:tcPr>
            <w:tcW w:w="1360" w:type="pct"/>
            <w:vAlign w:val="center"/>
          </w:tcPr>
          <w:p>
            <w:pPr>
              <w:pStyle w:val="65"/>
              <w:ind w:firstLine="400"/>
            </w:pPr>
            <w:r>
              <w:t>大气环境防护距离</w:t>
            </w:r>
          </w:p>
        </w:tc>
      </w:tr>
    </w:tbl>
    <w:p>
      <w:pPr>
        <w:pStyle w:val="5"/>
        <w:spacing w:before="163" w:after="163"/>
      </w:pPr>
      <w:r>
        <w:rPr>
          <w:rFonts w:hint="eastAsia"/>
        </w:rPr>
        <w:t>5.2.1.5 污染源调查</w:t>
      </w:r>
    </w:p>
    <w:p>
      <w:pPr>
        <w:ind w:firstLine="480"/>
      </w:pPr>
      <w:r>
        <w:rPr>
          <w:rFonts w:hint="eastAsia"/>
        </w:rPr>
        <w:t>（1）拟建项目有组织及无组织排放源调查</w:t>
      </w:r>
    </w:p>
    <w:p>
      <w:pPr>
        <w:ind w:firstLine="480"/>
      </w:pPr>
      <w:r>
        <w:rPr>
          <w:rFonts w:hint="eastAsia"/>
        </w:rPr>
        <w:t>拟建项目废气污染物源强调查结果详见表5.2-6~表5.2-8。</w:t>
      </w:r>
    </w:p>
    <w:p>
      <w:pPr>
        <w:pStyle w:val="41"/>
      </w:pPr>
      <w:r>
        <w:rPr>
          <w:rFonts w:hint="eastAsia"/>
        </w:rPr>
        <w:t>表5.2-6  拟建项目点源参数表</w:t>
      </w:r>
    </w:p>
    <w:tbl>
      <w:tblPr>
        <w:tblStyle w:val="33"/>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17"/>
        <w:gridCol w:w="585"/>
        <w:gridCol w:w="647"/>
        <w:gridCol w:w="647"/>
        <w:gridCol w:w="641"/>
        <w:gridCol w:w="868"/>
        <w:gridCol w:w="868"/>
        <w:gridCol w:w="863"/>
        <w:gridCol w:w="863"/>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Merge w:val="restart"/>
            <w:vAlign w:val="center"/>
          </w:tcPr>
          <w:p>
            <w:pPr>
              <w:pStyle w:val="65"/>
              <w:ind w:firstLine="400"/>
            </w:pPr>
            <w:r>
              <w:t>污染源编号</w:t>
            </w:r>
          </w:p>
          <w:p>
            <w:pPr>
              <w:pStyle w:val="65"/>
              <w:ind w:firstLine="400"/>
            </w:pPr>
            <w:r>
              <w:t>及名称</w:t>
            </w:r>
          </w:p>
        </w:tc>
        <w:tc>
          <w:tcPr>
            <w:tcW w:w="737" w:type="pct"/>
            <w:gridSpan w:val="2"/>
            <w:vAlign w:val="center"/>
          </w:tcPr>
          <w:p>
            <w:pPr>
              <w:pStyle w:val="65"/>
              <w:ind w:firstLine="400"/>
            </w:pPr>
            <w:r>
              <w:t>排气筒底部中心坐标（m）</w:t>
            </w:r>
          </w:p>
        </w:tc>
        <w:tc>
          <w:tcPr>
            <w:tcW w:w="387" w:type="pct"/>
            <w:vMerge w:val="restart"/>
            <w:vAlign w:val="center"/>
          </w:tcPr>
          <w:p>
            <w:pPr>
              <w:pStyle w:val="65"/>
              <w:ind w:firstLine="400"/>
            </w:pPr>
            <w:r>
              <w:t>排气筒底部海拔高度Z（m）</w:t>
            </w:r>
          </w:p>
        </w:tc>
        <w:tc>
          <w:tcPr>
            <w:tcW w:w="383" w:type="pct"/>
            <w:vMerge w:val="restart"/>
            <w:vAlign w:val="center"/>
          </w:tcPr>
          <w:p>
            <w:pPr>
              <w:pStyle w:val="65"/>
              <w:ind w:firstLine="400"/>
            </w:pPr>
            <w:r>
              <w:t>排气筒高度（m）</w:t>
            </w:r>
          </w:p>
        </w:tc>
        <w:tc>
          <w:tcPr>
            <w:tcW w:w="519" w:type="pct"/>
            <w:vMerge w:val="restart"/>
            <w:vAlign w:val="center"/>
          </w:tcPr>
          <w:p>
            <w:pPr>
              <w:pStyle w:val="65"/>
              <w:ind w:firstLine="400"/>
            </w:pPr>
            <w:r>
              <w:t>排气筒出口内径（m）</w:t>
            </w:r>
          </w:p>
        </w:tc>
        <w:tc>
          <w:tcPr>
            <w:tcW w:w="519" w:type="pct"/>
            <w:vMerge w:val="restart"/>
            <w:vAlign w:val="center"/>
          </w:tcPr>
          <w:p>
            <w:pPr>
              <w:pStyle w:val="65"/>
              <w:ind w:firstLine="400"/>
            </w:pPr>
            <w:r>
              <w:t>烟气流速（m/s）</w:t>
            </w:r>
          </w:p>
        </w:tc>
        <w:tc>
          <w:tcPr>
            <w:tcW w:w="516" w:type="pct"/>
            <w:vMerge w:val="restart"/>
            <w:vAlign w:val="center"/>
          </w:tcPr>
          <w:p>
            <w:pPr>
              <w:pStyle w:val="65"/>
              <w:ind w:firstLine="400"/>
            </w:pPr>
            <w:r>
              <w:t>烟气</w:t>
            </w:r>
          </w:p>
          <w:p>
            <w:pPr>
              <w:pStyle w:val="65"/>
              <w:ind w:firstLine="400"/>
            </w:pPr>
            <w:r>
              <w:t>温度（</w:t>
            </w:r>
            <w:r>
              <w:rPr>
                <w:rFonts w:hint="eastAsia"/>
              </w:rPr>
              <w:t>℃</w:t>
            </w:r>
            <w:r>
              <w:t>）</w:t>
            </w:r>
          </w:p>
        </w:tc>
        <w:tc>
          <w:tcPr>
            <w:tcW w:w="516" w:type="pct"/>
            <w:vMerge w:val="restart"/>
            <w:vAlign w:val="center"/>
          </w:tcPr>
          <w:p>
            <w:pPr>
              <w:pStyle w:val="65"/>
              <w:ind w:firstLine="400"/>
            </w:pPr>
            <w:r>
              <w:t>年排放小时数（h）</w:t>
            </w:r>
          </w:p>
        </w:tc>
        <w:tc>
          <w:tcPr>
            <w:tcW w:w="516" w:type="pct"/>
            <w:vMerge w:val="restart"/>
            <w:vAlign w:val="center"/>
          </w:tcPr>
          <w:p>
            <w:pPr>
              <w:pStyle w:val="65"/>
              <w:ind w:firstLine="400"/>
            </w:pPr>
            <w:r>
              <w:t>排放</w:t>
            </w:r>
          </w:p>
          <w:p>
            <w:pPr>
              <w:pStyle w:val="65"/>
              <w:ind w:firstLine="400"/>
            </w:pPr>
            <w: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Merge w:val="continue"/>
            <w:vAlign w:val="center"/>
          </w:tcPr>
          <w:p>
            <w:pPr>
              <w:pStyle w:val="65"/>
              <w:ind w:firstLine="400"/>
            </w:pPr>
          </w:p>
        </w:tc>
        <w:tc>
          <w:tcPr>
            <w:tcW w:w="350" w:type="pct"/>
            <w:vAlign w:val="center"/>
          </w:tcPr>
          <w:p>
            <w:pPr>
              <w:pStyle w:val="65"/>
              <w:ind w:firstLine="400"/>
            </w:pPr>
            <w:r>
              <w:t>X</w:t>
            </w:r>
          </w:p>
        </w:tc>
        <w:tc>
          <w:tcPr>
            <w:tcW w:w="387" w:type="pct"/>
            <w:vAlign w:val="center"/>
          </w:tcPr>
          <w:p>
            <w:pPr>
              <w:pStyle w:val="65"/>
              <w:ind w:firstLine="400"/>
            </w:pPr>
            <w:r>
              <w:t>Y</w:t>
            </w:r>
          </w:p>
        </w:tc>
        <w:tc>
          <w:tcPr>
            <w:tcW w:w="387" w:type="pct"/>
            <w:vMerge w:val="continue"/>
            <w:vAlign w:val="center"/>
          </w:tcPr>
          <w:p>
            <w:pPr>
              <w:pStyle w:val="65"/>
              <w:ind w:firstLine="400"/>
            </w:pPr>
          </w:p>
        </w:tc>
        <w:tc>
          <w:tcPr>
            <w:tcW w:w="383" w:type="pct"/>
            <w:vMerge w:val="continue"/>
            <w:vAlign w:val="center"/>
          </w:tcPr>
          <w:p>
            <w:pPr>
              <w:pStyle w:val="65"/>
              <w:ind w:firstLine="400"/>
            </w:pPr>
          </w:p>
        </w:tc>
        <w:tc>
          <w:tcPr>
            <w:tcW w:w="519" w:type="pct"/>
            <w:vMerge w:val="continue"/>
            <w:vAlign w:val="center"/>
          </w:tcPr>
          <w:p>
            <w:pPr>
              <w:pStyle w:val="65"/>
              <w:ind w:firstLine="400"/>
            </w:pPr>
          </w:p>
        </w:tc>
        <w:tc>
          <w:tcPr>
            <w:tcW w:w="519" w:type="pct"/>
            <w:vMerge w:val="continue"/>
            <w:vAlign w:val="center"/>
          </w:tcPr>
          <w:p>
            <w:pPr>
              <w:pStyle w:val="65"/>
              <w:ind w:firstLine="400"/>
            </w:pPr>
          </w:p>
        </w:tc>
        <w:tc>
          <w:tcPr>
            <w:tcW w:w="516" w:type="pct"/>
            <w:vMerge w:val="continue"/>
            <w:vAlign w:val="center"/>
          </w:tcPr>
          <w:p>
            <w:pPr>
              <w:pStyle w:val="65"/>
              <w:ind w:firstLine="400"/>
            </w:pPr>
          </w:p>
        </w:tc>
        <w:tc>
          <w:tcPr>
            <w:tcW w:w="516" w:type="pct"/>
            <w:vMerge w:val="continue"/>
            <w:vAlign w:val="center"/>
          </w:tcPr>
          <w:p>
            <w:pPr>
              <w:pStyle w:val="65"/>
              <w:ind w:firstLine="400"/>
            </w:pPr>
          </w:p>
        </w:tc>
        <w:tc>
          <w:tcPr>
            <w:tcW w:w="516" w:type="pct"/>
            <w:vMerge w:val="continue"/>
            <w:vAlign w:val="center"/>
          </w:tcPr>
          <w:p>
            <w:pPr>
              <w:pStyle w:val="65"/>
              <w:ind w:firstLine="4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907" w:type="pct"/>
            <w:vAlign w:val="center"/>
          </w:tcPr>
          <w:p>
            <w:pPr>
              <w:pStyle w:val="65"/>
              <w:ind w:firstLine="400"/>
            </w:pPr>
            <w:r>
              <w:rPr>
                <w:rFonts w:hint="eastAsia"/>
              </w:rPr>
              <w:t>一段转化炉烟气排放筒</w:t>
            </w:r>
          </w:p>
        </w:tc>
        <w:tc>
          <w:tcPr>
            <w:tcW w:w="350" w:type="pct"/>
            <w:vAlign w:val="center"/>
          </w:tcPr>
          <w:p>
            <w:pPr>
              <w:pStyle w:val="65"/>
              <w:ind w:firstLine="400"/>
            </w:pPr>
            <w:r>
              <w:t>0</w:t>
            </w:r>
          </w:p>
        </w:tc>
        <w:tc>
          <w:tcPr>
            <w:tcW w:w="387" w:type="pct"/>
            <w:vAlign w:val="center"/>
          </w:tcPr>
          <w:p>
            <w:pPr>
              <w:pStyle w:val="65"/>
              <w:ind w:firstLine="400"/>
            </w:pPr>
            <w:r>
              <w:t>0</w:t>
            </w:r>
          </w:p>
        </w:tc>
        <w:tc>
          <w:tcPr>
            <w:tcW w:w="387" w:type="pct"/>
            <w:vAlign w:val="center"/>
          </w:tcPr>
          <w:p>
            <w:pPr>
              <w:pStyle w:val="65"/>
              <w:ind w:firstLine="400"/>
            </w:pPr>
            <w:r>
              <w:rPr>
                <w:rFonts w:hint="eastAsia"/>
              </w:rPr>
              <w:t>265</w:t>
            </w:r>
          </w:p>
        </w:tc>
        <w:tc>
          <w:tcPr>
            <w:tcW w:w="383" w:type="pct"/>
            <w:vAlign w:val="center"/>
          </w:tcPr>
          <w:p>
            <w:pPr>
              <w:pStyle w:val="65"/>
              <w:ind w:firstLine="400"/>
            </w:pPr>
            <w:r>
              <w:rPr>
                <w:rFonts w:hint="eastAsia"/>
              </w:rPr>
              <w:t>60</w:t>
            </w:r>
          </w:p>
        </w:tc>
        <w:tc>
          <w:tcPr>
            <w:tcW w:w="519" w:type="pct"/>
            <w:vAlign w:val="center"/>
          </w:tcPr>
          <w:p>
            <w:pPr>
              <w:pStyle w:val="65"/>
              <w:ind w:firstLine="400"/>
            </w:pPr>
            <w:r>
              <w:rPr>
                <w:rFonts w:hint="eastAsia"/>
              </w:rPr>
              <w:t>2.6</w:t>
            </w:r>
          </w:p>
        </w:tc>
        <w:tc>
          <w:tcPr>
            <w:tcW w:w="519" w:type="pct"/>
            <w:vAlign w:val="center"/>
          </w:tcPr>
          <w:p>
            <w:pPr>
              <w:pStyle w:val="65"/>
              <w:ind w:firstLine="400"/>
            </w:pPr>
            <w:r>
              <w:rPr>
                <w:rFonts w:hint="eastAsia"/>
              </w:rPr>
              <w:t>4.5</w:t>
            </w:r>
          </w:p>
        </w:tc>
        <w:tc>
          <w:tcPr>
            <w:tcW w:w="516" w:type="pct"/>
            <w:vAlign w:val="center"/>
          </w:tcPr>
          <w:p>
            <w:pPr>
              <w:pStyle w:val="65"/>
              <w:ind w:firstLine="400"/>
            </w:pPr>
            <w:r>
              <w:rPr>
                <w:rFonts w:hint="eastAsia"/>
              </w:rPr>
              <w:t>130</w:t>
            </w:r>
          </w:p>
        </w:tc>
        <w:tc>
          <w:tcPr>
            <w:tcW w:w="516" w:type="pct"/>
            <w:vAlign w:val="center"/>
          </w:tcPr>
          <w:p>
            <w:pPr>
              <w:pStyle w:val="65"/>
              <w:ind w:firstLine="400"/>
            </w:pPr>
            <w:r>
              <w:rPr>
                <w:rFonts w:hint="eastAsia"/>
              </w:rPr>
              <w:t>8000</w:t>
            </w:r>
          </w:p>
        </w:tc>
        <w:tc>
          <w:tcPr>
            <w:tcW w:w="516" w:type="pct"/>
            <w:vAlign w:val="center"/>
          </w:tcPr>
          <w:p>
            <w:pPr>
              <w:pStyle w:val="65"/>
              <w:ind w:firstLine="400"/>
            </w:pPr>
            <w:r>
              <w:t>正常</w:t>
            </w:r>
          </w:p>
          <w:p>
            <w:pPr>
              <w:pStyle w:val="65"/>
              <w:ind w:firstLine="400"/>
            </w:pPr>
            <w:r>
              <w:t>排放</w:t>
            </w:r>
          </w:p>
        </w:tc>
      </w:tr>
    </w:tbl>
    <w:p>
      <w:pPr>
        <w:pStyle w:val="41"/>
      </w:pPr>
      <w:r>
        <w:t>表</w:t>
      </w:r>
      <w:r>
        <w:rPr>
          <w:rFonts w:hint="eastAsia"/>
        </w:rPr>
        <w:t>5.2-7</w:t>
      </w:r>
      <w:r>
        <w:t xml:space="preserve"> 拟建项目面源参数表（矩形）</w:t>
      </w:r>
    </w:p>
    <w:tbl>
      <w:tblPr>
        <w:tblStyle w:val="33"/>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18"/>
        <w:gridCol w:w="858"/>
        <w:gridCol w:w="717"/>
        <w:gridCol w:w="717"/>
        <w:gridCol w:w="717"/>
        <w:gridCol w:w="870"/>
        <w:gridCol w:w="870"/>
        <w:gridCol w:w="865"/>
        <w:gridCol w:w="86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Merge w:val="restart"/>
            <w:vAlign w:val="center"/>
          </w:tcPr>
          <w:p>
            <w:pPr>
              <w:pStyle w:val="65"/>
              <w:ind w:firstLine="400"/>
            </w:pPr>
            <w:r>
              <w:t>污染源编号及名称</w:t>
            </w:r>
          </w:p>
        </w:tc>
        <w:tc>
          <w:tcPr>
            <w:tcW w:w="942" w:type="pct"/>
            <w:gridSpan w:val="2"/>
            <w:vAlign w:val="center"/>
          </w:tcPr>
          <w:p>
            <w:pPr>
              <w:pStyle w:val="65"/>
              <w:ind w:firstLine="400"/>
            </w:pPr>
            <w:r>
              <w:t>面源中心坐标（m）</w:t>
            </w:r>
          </w:p>
        </w:tc>
        <w:tc>
          <w:tcPr>
            <w:tcW w:w="429" w:type="pct"/>
            <w:vMerge w:val="restart"/>
            <w:vAlign w:val="center"/>
          </w:tcPr>
          <w:p>
            <w:pPr>
              <w:pStyle w:val="65"/>
              <w:ind w:firstLine="400"/>
            </w:pPr>
            <w:r>
              <w:t>面源海拔高度Z（m）</w:t>
            </w:r>
          </w:p>
        </w:tc>
        <w:tc>
          <w:tcPr>
            <w:tcW w:w="429" w:type="pct"/>
            <w:vMerge w:val="restart"/>
            <w:vAlign w:val="center"/>
          </w:tcPr>
          <w:p>
            <w:pPr>
              <w:pStyle w:val="65"/>
              <w:ind w:firstLine="400"/>
            </w:pPr>
            <w:r>
              <w:t>面源X向宽度（m）</w:t>
            </w:r>
          </w:p>
        </w:tc>
        <w:tc>
          <w:tcPr>
            <w:tcW w:w="520" w:type="pct"/>
            <w:vMerge w:val="restart"/>
            <w:vAlign w:val="center"/>
          </w:tcPr>
          <w:p>
            <w:pPr>
              <w:pStyle w:val="65"/>
              <w:ind w:firstLine="400"/>
            </w:pPr>
            <w:r>
              <w:t>面源Y向长度（m）</w:t>
            </w:r>
          </w:p>
        </w:tc>
        <w:tc>
          <w:tcPr>
            <w:tcW w:w="520" w:type="pct"/>
            <w:vMerge w:val="restart"/>
            <w:vAlign w:val="center"/>
          </w:tcPr>
          <w:p>
            <w:pPr>
              <w:pStyle w:val="65"/>
              <w:ind w:firstLine="400"/>
            </w:pPr>
            <w:r>
              <w:t>与正北向夹角（°）</w:t>
            </w:r>
          </w:p>
        </w:tc>
        <w:tc>
          <w:tcPr>
            <w:tcW w:w="517" w:type="pct"/>
            <w:vMerge w:val="restart"/>
            <w:vAlign w:val="center"/>
          </w:tcPr>
          <w:p>
            <w:pPr>
              <w:pStyle w:val="65"/>
              <w:ind w:firstLine="400"/>
            </w:pPr>
            <w:r>
              <w:t>面源有效排放高度（m）</w:t>
            </w:r>
          </w:p>
        </w:tc>
        <w:tc>
          <w:tcPr>
            <w:tcW w:w="517" w:type="pct"/>
            <w:vMerge w:val="restart"/>
            <w:vAlign w:val="center"/>
          </w:tcPr>
          <w:p>
            <w:pPr>
              <w:pStyle w:val="65"/>
              <w:ind w:firstLine="400"/>
            </w:pPr>
            <w:r>
              <w:t>年排放小时数（h）</w:t>
            </w:r>
          </w:p>
        </w:tc>
        <w:tc>
          <w:tcPr>
            <w:tcW w:w="517" w:type="pct"/>
            <w:vMerge w:val="restart"/>
            <w:vAlign w:val="center"/>
          </w:tcPr>
          <w:p>
            <w:pPr>
              <w:pStyle w:val="65"/>
              <w:ind w:firstLine="400"/>
            </w:pPr>
            <w:r>
              <w:t>排放</w:t>
            </w:r>
          </w:p>
          <w:p>
            <w:pPr>
              <w:pStyle w:val="65"/>
              <w:ind w:firstLine="400"/>
            </w:pPr>
            <w:r>
              <w:t>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Merge w:val="continue"/>
            <w:vAlign w:val="center"/>
          </w:tcPr>
          <w:p>
            <w:pPr>
              <w:pStyle w:val="65"/>
              <w:ind w:firstLine="400"/>
            </w:pPr>
          </w:p>
        </w:tc>
        <w:tc>
          <w:tcPr>
            <w:tcW w:w="513" w:type="pct"/>
            <w:vAlign w:val="center"/>
          </w:tcPr>
          <w:p>
            <w:pPr>
              <w:pStyle w:val="65"/>
              <w:ind w:firstLine="400"/>
            </w:pPr>
            <w:r>
              <w:t>X</w:t>
            </w:r>
          </w:p>
        </w:tc>
        <w:tc>
          <w:tcPr>
            <w:tcW w:w="429" w:type="pct"/>
            <w:vAlign w:val="center"/>
          </w:tcPr>
          <w:p>
            <w:pPr>
              <w:pStyle w:val="65"/>
              <w:ind w:firstLine="400"/>
            </w:pPr>
            <w:r>
              <w:t>Y</w:t>
            </w:r>
          </w:p>
        </w:tc>
        <w:tc>
          <w:tcPr>
            <w:tcW w:w="429" w:type="pct"/>
            <w:vMerge w:val="continue"/>
            <w:vAlign w:val="center"/>
          </w:tcPr>
          <w:p>
            <w:pPr>
              <w:pStyle w:val="65"/>
              <w:ind w:firstLine="400"/>
            </w:pPr>
          </w:p>
        </w:tc>
        <w:tc>
          <w:tcPr>
            <w:tcW w:w="429" w:type="pct"/>
            <w:vMerge w:val="continue"/>
            <w:vAlign w:val="center"/>
          </w:tcPr>
          <w:p>
            <w:pPr>
              <w:pStyle w:val="65"/>
              <w:ind w:firstLine="400"/>
            </w:pPr>
          </w:p>
        </w:tc>
        <w:tc>
          <w:tcPr>
            <w:tcW w:w="520" w:type="pct"/>
            <w:vMerge w:val="continue"/>
            <w:vAlign w:val="center"/>
          </w:tcPr>
          <w:p>
            <w:pPr>
              <w:pStyle w:val="65"/>
              <w:ind w:firstLine="400"/>
            </w:pPr>
          </w:p>
        </w:tc>
        <w:tc>
          <w:tcPr>
            <w:tcW w:w="520" w:type="pct"/>
            <w:vMerge w:val="continue"/>
            <w:vAlign w:val="center"/>
          </w:tcPr>
          <w:p>
            <w:pPr>
              <w:pStyle w:val="65"/>
              <w:ind w:firstLine="400"/>
            </w:pPr>
          </w:p>
        </w:tc>
        <w:tc>
          <w:tcPr>
            <w:tcW w:w="517" w:type="pct"/>
            <w:vMerge w:val="continue"/>
            <w:vAlign w:val="center"/>
          </w:tcPr>
          <w:p>
            <w:pPr>
              <w:pStyle w:val="65"/>
              <w:ind w:firstLine="400"/>
            </w:pPr>
          </w:p>
        </w:tc>
        <w:tc>
          <w:tcPr>
            <w:tcW w:w="517" w:type="pct"/>
            <w:vMerge w:val="continue"/>
            <w:vAlign w:val="center"/>
          </w:tcPr>
          <w:p>
            <w:pPr>
              <w:pStyle w:val="65"/>
              <w:ind w:firstLine="400"/>
            </w:pPr>
          </w:p>
        </w:tc>
        <w:tc>
          <w:tcPr>
            <w:tcW w:w="517" w:type="pct"/>
            <w:vMerge w:val="continue"/>
            <w:vAlign w:val="center"/>
          </w:tcPr>
          <w:p>
            <w:pPr>
              <w:pStyle w:val="65"/>
              <w:ind w:firstLine="4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609" w:type="pct"/>
            <w:vAlign w:val="center"/>
          </w:tcPr>
          <w:p>
            <w:pPr>
              <w:pStyle w:val="65"/>
              <w:ind w:firstLine="400"/>
            </w:pPr>
            <w:r>
              <w:rPr>
                <w:rFonts w:hint="eastAsia"/>
              </w:rPr>
              <w:t>装置区无组织排放废气</w:t>
            </w:r>
          </w:p>
        </w:tc>
        <w:tc>
          <w:tcPr>
            <w:tcW w:w="513" w:type="pct"/>
            <w:vAlign w:val="center"/>
          </w:tcPr>
          <w:p>
            <w:pPr>
              <w:pStyle w:val="65"/>
              <w:ind w:firstLine="400"/>
            </w:pPr>
            <w:r>
              <w:rPr>
                <w:rFonts w:hint="eastAsia"/>
              </w:rPr>
              <w:t>-29</w:t>
            </w:r>
          </w:p>
        </w:tc>
        <w:tc>
          <w:tcPr>
            <w:tcW w:w="429" w:type="pct"/>
            <w:vAlign w:val="center"/>
          </w:tcPr>
          <w:p>
            <w:pPr>
              <w:pStyle w:val="65"/>
              <w:ind w:firstLine="400"/>
            </w:pPr>
            <w:r>
              <w:rPr>
                <w:rFonts w:hint="eastAsia"/>
              </w:rPr>
              <w:t>-1</w:t>
            </w:r>
          </w:p>
        </w:tc>
        <w:tc>
          <w:tcPr>
            <w:tcW w:w="429" w:type="pct"/>
            <w:vAlign w:val="center"/>
          </w:tcPr>
          <w:p>
            <w:pPr>
              <w:pStyle w:val="65"/>
              <w:ind w:firstLine="400"/>
            </w:pPr>
            <w:r>
              <w:rPr>
                <w:rFonts w:hint="eastAsia"/>
              </w:rPr>
              <w:t>266</w:t>
            </w:r>
          </w:p>
        </w:tc>
        <w:tc>
          <w:tcPr>
            <w:tcW w:w="429" w:type="pct"/>
            <w:vAlign w:val="center"/>
          </w:tcPr>
          <w:p>
            <w:pPr>
              <w:pStyle w:val="65"/>
              <w:ind w:firstLine="400"/>
            </w:pPr>
            <w:r>
              <w:rPr>
                <w:rFonts w:hint="eastAsia"/>
              </w:rPr>
              <w:t>195</w:t>
            </w:r>
          </w:p>
        </w:tc>
        <w:tc>
          <w:tcPr>
            <w:tcW w:w="520" w:type="pct"/>
            <w:vAlign w:val="center"/>
          </w:tcPr>
          <w:p>
            <w:pPr>
              <w:pStyle w:val="65"/>
              <w:ind w:firstLine="400"/>
            </w:pPr>
            <w:r>
              <w:rPr>
                <w:rFonts w:hint="eastAsia"/>
              </w:rPr>
              <w:t>103</w:t>
            </w:r>
          </w:p>
        </w:tc>
        <w:tc>
          <w:tcPr>
            <w:tcW w:w="520" w:type="pct"/>
            <w:vAlign w:val="center"/>
          </w:tcPr>
          <w:p>
            <w:pPr>
              <w:pStyle w:val="65"/>
              <w:ind w:firstLine="400"/>
            </w:pPr>
            <w:r>
              <w:t>0</w:t>
            </w:r>
          </w:p>
        </w:tc>
        <w:tc>
          <w:tcPr>
            <w:tcW w:w="517" w:type="pct"/>
            <w:vAlign w:val="center"/>
          </w:tcPr>
          <w:p>
            <w:pPr>
              <w:pStyle w:val="65"/>
              <w:ind w:firstLine="400"/>
            </w:pPr>
            <w:r>
              <w:rPr>
                <w:rFonts w:hint="eastAsia"/>
              </w:rPr>
              <w:t>30</w:t>
            </w:r>
          </w:p>
        </w:tc>
        <w:tc>
          <w:tcPr>
            <w:tcW w:w="517" w:type="pct"/>
            <w:vAlign w:val="center"/>
          </w:tcPr>
          <w:p>
            <w:pPr>
              <w:pStyle w:val="65"/>
              <w:ind w:firstLine="400"/>
            </w:pPr>
            <w:r>
              <w:rPr>
                <w:rFonts w:hint="eastAsia"/>
              </w:rPr>
              <w:t>8000</w:t>
            </w:r>
          </w:p>
        </w:tc>
        <w:tc>
          <w:tcPr>
            <w:tcW w:w="517" w:type="pct"/>
            <w:vAlign w:val="center"/>
          </w:tcPr>
          <w:p>
            <w:pPr>
              <w:pStyle w:val="65"/>
              <w:ind w:firstLine="400"/>
            </w:pPr>
            <w:r>
              <w:t>正常</w:t>
            </w:r>
          </w:p>
          <w:p>
            <w:pPr>
              <w:pStyle w:val="65"/>
              <w:ind w:firstLine="400"/>
            </w:pPr>
            <w:r>
              <w:t>排放</w:t>
            </w:r>
          </w:p>
        </w:tc>
      </w:tr>
    </w:tbl>
    <w:p>
      <w:pPr>
        <w:pStyle w:val="41"/>
      </w:pPr>
      <w:r>
        <w:rPr>
          <w:rFonts w:hint="eastAsia"/>
        </w:rPr>
        <w:t>表5.2-8  拟建项目正常工况下废气排放影响预测源强统计表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80"/>
        <w:gridCol w:w="1109"/>
        <w:gridCol w:w="992"/>
        <w:gridCol w:w="992"/>
        <w:gridCol w:w="992"/>
        <w:gridCol w:w="851"/>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4" w:type="pct"/>
            <w:vMerge w:val="restart"/>
            <w:vAlign w:val="center"/>
          </w:tcPr>
          <w:p>
            <w:pPr>
              <w:pStyle w:val="65"/>
              <w:ind w:firstLine="400"/>
            </w:pPr>
            <w:r>
              <w:t>污染源编号及名称</w:t>
            </w:r>
          </w:p>
        </w:tc>
        <w:tc>
          <w:tcPr>
            <w:tcW w:w="3696" w:type="pct"/>
            <w:gridSpan w:val="6"/>
          </w:tcPr>
          <w:p>
            <w:pPr>
              <w:pStyle w:val="65"/>
              <w:ind w:firstLine="400"/>
            </w:pPr>
            <w: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4" w:type="pct"/>
            <w:vMerge w:val="continue"/>
            <w:vAlign w:val="center"/>
          </w:tcPr>
          <w:p>
            <w:pPr>
              <w:pStyle w:val="65"/>
              <w:ind w:firstLine="400"/>
            </w:pPr>
          </w:p>
        </w:tc>
        <w:tc>
          <w:tcPr>
            <w:tcW w:w="663" w:type="pct"/>
            <w:vAlign w:val="center"/>
          </w:tcPr>
          <w:p>
            <w:pPr>
              <w:pStyle w:val="65"/>
              <w:ind w:firstLine="400"/>
            </w:pPr>
            <w:r>
              <w:rPr>
                <w:rFonts w:hint="eastAsia"/>
              </w:rPr>
              <w:t>SO</w:t>
            </w:r>
            <w:r>
              <w:rPr>
                <w:rFonts w:hint="eastAsia"/>
                <w:vertAlign w:val="subscript"/>
              </w:rPr>
              <w:t>2</w:t>
            </w:r>
          </w:p>
        </w:tc>
        <w:tc>
          <w:tcPr>
            <w:tcW w:w="593" w:type="pct"/>
            <w:vAlign w:val="center"/>
          </w:tcPr>
          <w:p>
            <w:pPr>
              <w:pStyle w:val="65"/>
              <w:ind w:firstLine="400"/>
            </w:pPr>
            <w:r>
              <w:rPr>
                <w:rFonts w:hint="eastAsia"/>
              </w:rPr>
              <w:t>NOx</w:t>
            </w:r>
          </w:p>
        </w:tc>
        <w:tc>
          <w:tcPr>
            <w:tcW w:w="593" w:type="pct"/>
            <w:vAlign w:val="center"/>
          </w:tcPr>
          <w:p>
            <w:pPr>
              <w:pStyle w:val="65"/>
              <w:ind w:firstLine="400"/>
            </w:pPr>
            <w:r>
              <w:rPr>
                <w:rFonts w:hint="eastAsia"/>
              </w:rPr>
              <w:t>PM</w:t>
            </w:r>
            <w:r>
              <w:rPr>
                <w:rFonts w:hint="eastAsia"/>
                <w:vertAlign w:val="subscript"/>
              </w:rPr>
              <w:t>10</w:t>
            </w:r>
          </w:p>
        </w:tc>
        <w:tc>
          <w:tcPr>
            <w:tcW w:w="593" w:type="pct"/>
            <w:vAlign w:val="center"/>
          </w:tcPr>
          <w:p>
            <w:pPr>
              <w:pStyle w:val="65"/>
              <w:ind w:firstLine="400"/>
            </w:pPr>
            <w:r>
              <w:rPr>
                <w:rFonts w:hint="eastAsia"/>
              </w:rPr>
              <w:t>PM</w:t>
            </w:r>
            <w:r>
              <w:rPr>
                <w:rFonts w:hint="eastAsia"/>
                <w:vertAlign w:val="subscript"/>
              </w:rPr>
              <w:t>2.5</w:t>
            </w:r>
          </w:p>
        </w:tc>
        <w:tc>
          <w:tcPr>
            <w:tcW w:w="509" w:type="pct"/>
            <w:vAlign w:val="center"/>
          </w:tcPr>
          <w:p>
            <w:pPr>
              <w:pStyle w:val="65"/>
              <w:ind w:firstLine="400"/>
            </w:pPr>
            <w:r>
              <w:rPr>
                <w:rFonts w:hint="eastAsia"/>
              </w:rPr>
              <w:t>NH</w:t>
            </w:r>
            <w:r>
              <w:rPr>
                <w:rFonts w:hint="eastAsia"/>
                <w:vertAlign w:val="subscript"/>
              </w:rPr>
              <w:t>3</w:t>
            </w:r>
          </w:p>
        </w:tc>
        <w:tc>
          <w:tcPr>
            <w:tcW w:w="745" w:type="pct"/>
            <w:vAlign w:val="center"/>
          </w:tcPr>
          <w:p>
            <w:pPr>
              <w:pStyle w:val="65"/>
              <w:ind w:firstLine="400"/>
            </w:pPr>
            <w:r>
              <w:rPr>
                <w:rFonts w:hint="eastAsi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4" w:type="pct"/>
            <w:vAlign w:val="center"/>
          </w:tcPr>
          <w:p>
            <w:pPr>
              <w:pStyle w:val="65"/>
              <w:ind w:firstLine="400"/>
            </w:pPr>
            <w:r>
              <w:rPr>
                <w:rFonts w:hint="eastAsia"/>
              </w:rPr>
              <w:t>一段转化炉烟气排放筒</w:t>
            </w:r>
          </w:p>
        </w:tc>
        <w:tc>
          <w:tcPr>
            <w:tcW w:w="663" w:type="pct"/>
            <w:vAlign w:val="center"/>
          </w:tcPr>
          <w:p>
            <w:pPr>
              <w:pStyle w:val="65"/>
              <w:ind w:firstLine="400"/>
            </w:pPr>
            <w:r>
              <w:rPr>
                <w:rFonts w:hint="eastAsia"/>
              </w:rPr>
              <w:t>0.86</w:t>
            </w:r>
          </w:p>
        </w:tc>
        <w:tc>
          <w:tcPr>
            <w:tcW w:w="593" w:type="pct"/>
            <w:vAlign w:val="center"/>
          </w:tcPr>
          <w:p>
            <w:pPr>
              <w:pStyle w:val="65"/>
              <w:ind w:firstLine="400"/>
            </w:pPr>
            <w:r>
              <w:rPr>
                <w:rFonts w:hint="eastAsia"/>
              </w:rPr>
              <w:t>12.95</w:t>
            </w:r>
          </w:p>
        </w:tc>
        <w:tc>
          <w:tcPr>
            <w:tcW w:w="593" w:type="pct"/>
            <w:vAlign w:val="center"/>
          </w:tcPr>
          <w:p>
            <w:pPr>
              <w:pStyle w:val="65"/>
              <w:ind w:firstLine="400"/>
            </w:pPr>
            <w:r>
              <w:rPr>
                <w:rFonts w:hint="eastAsia"/>
              </w:rPr>
              <w:t>1.726</w:t>
            </w:r>
          </w:p>
        </w:tc>
        <w:tc>
          <w:tcPr>
            <w:tcW w:w="593" w:type="pct"/>
            <w:vAlign w:val="center"/>
          </w:tcPr>
          <w:p>
            <w:pPr>
              <w:pStyle w:val="65"/>
              <w:ind w:firstLine="400"/>
            </w:pPr>
            <w:r>
              <w:rPr>
                <w:rFonts w:hint="eastAsia"/>
              </w:rPr>
              <w:t>0.863</w:t>
            </w:r>
          </w:p>
        </w:tc>
        <w:tc>
          <w:tcPr>
            <w:tcW w:w="509" w:type="pct"/>
            <w:vAlign w:val="center"/>
          </w:tcPr>
          <w:p>
            <w:pPr>
              <w:pStyle w:val="65"/>
              <w:ind w:firstLine="400"/>
            </w:pPr>
            <w:r>
              <w:rPr>
                <w:rFonts w:hint="eastAsia"/>
              </w:rPr>
              <w:t>0.05</w:t>
            </w:r>
          </w:p>
        </w:tc>
        <w:tc>
          <w:tcPr>
            <w:tcW w:w="745" w:type="pct"/>
          </w:tcPr>
          <w:p>
            <w:pPr>
              <w:pStyle w:val="65"/>
              <w:ind w:firstLine="40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304" w:type="pct"/>
            <w:vAlign w:val="center"/>
          </w:tcPr>
          <w:p>
            <w:pPr>
              <w:pStyle w:val="65"/>
              <w:ind w:firstLine="400"/>
            </w:pPr>
            <w:r>
              <w:rPr>
                <w:rFonts w:hint="eastAsia"/>
              </w:rPr>
              <w:t>装置区</w:t>
            </w:r>
            <w:r>
              <w:t>无组织排放</w:t>
            </w:r>
            <w:r>
              <w:rPr>
                <w:rFonts w:hint="eastAsia"/>
              </w:rPr>
              <w:t>废气</w:t>
            </w:r>
          </w:p>
        </w:tc>
        <w:tc>
          <w:tcPr>
            <w:tcW w:w="663" w:type="pct"/>
            <w:vAlign w:val="center"/>
          </w:tcPr>
          <w:p>
            <w:pPr>
              <w:pStyle w:val="65"/>
              <w:ind w:firstLine="400"/>
            </w:pPr>
            <w:r>
              <w:rPr>
                <w:rFonts w:hint="eastAsia"/>
              </w:rPr>
              <w:t>/</w:t>
            </w:r>
          </w:p>
        </w:tc>
        <w:tc>
          <w:tcPr>
            <w:tcW w:w="593" w:type="pct"/>
            <w:vAlign w:val="center"/>
          </w:tcPr>
          <w:p>
            <w:pPr>
              <w:pStyle w:val="65"/>
              <w:ind w:firstLine="400"/>
            </w:pPr>
            <w:r>
              <w:rPr>
                <w:rFonts w:hint="eastAsia"/>
              </w:rPr>
              <w:t>/</w:t>
            </w:r>
          </w:p>
        </w:tc>
        <w:tc>
          <w:tcPr>
            <w:tcW w:w="593" w:type="pct"/>
            <w:vAlign w:val="center"/>
          </w:tcPr>
          <w:p>
            <w:pPr>
              <w:pStyle w:val="65"/>
              <w:ind w:firstLine="400"/>
            </w:pPr>
            <w:r>
              <w:rPr>
                <w:rFonts w:hint="eastAsia"/>
              </w:rPr>
              <w:t>/</w:t>
            </w:r>
          </w:p>
        </w:tc>
        <w:tc>
          <w:tcPr>
            <w:tcW w:w="593" w:type="pct"/>
            <w:vAlign w:val="center"/>
          </w:tcPr>
          <w:p>
            <w:pPr>
              <w:pStyle w:val="65"/>
              <w:ind w:firstLine="400"/>
            </w:pPr>
            <w:r>
              <w:rPr>
                <w:rFonts w:hint="eastAsia"/>
              </w:rPr>
              <w:t>/</w:t>
            </w:r>
          </w:p>
        </w:tc>
        <w:tc>
          <w:tcPr>
            <w:tcW w:w="509" w:type="pct"/>
            <w:vAlign w:val="center"/>
          </w:tcPr>
          <w:p>
            <w:pPr>
              <w:pStyle w:val="65"/>
              <w:ind w:firstLine="400"/>
            </w:pPr>
            <w:r>
              <w:rPr>
                <w:rFonts w:hint="eastAsia"/>
              </w:rPr>
              <w:t>0.25</w:t>
            </w:r>
          </w:p>
        </w:tc>
        <w:tc>
          <w:tcPr>
            <w:tcW w:w="745" w:type="pct"/>
          </w:tcPr>
          <w:p>
            <w:pPr>
              <w:pStyle w:val="65"/>
              <w:ind w:firstLine="400"/>
            </w:pPr>
            <w:r>
              <w:rPr>
                <w:rFonts w:hint="eastAsia"/>
              </w:rPr>
              <w:t>0.0006</w:t>
            </w:r>
          </w:p>
        </w:tc>
      </w:tr>
    </w:tbl>
    <w:p>
      <w:pPr>
        <w:pStyle w:val="41"/>
      </w:pPr>
      <w:r>
        <w:t>表</w:t>
      </w:r>
      <w:r>
        <w:rPr>
          <w:rFonts w:hint="eastAsia"/>
        </w:rPr>
        <w:t>5</w:t>
      </w:r>
      <w:r>
        <w:t>.2-</w:t>
      </w:r>
      <w:r>
        <w:rPr>
          <w:rFonts w:hint="eastAsia"/>
        </w:rPr>
        <w:t>9</w:t>
      </w:r>
      <w:r>
        <w:t xml:space="preserve">  </w:t>
      </w:r>
      <w:r>
        <w:rPr>
          <w:rFonts w:hint="eastAsia"/>
        </w:rPr>
        <w:t>拟建</w:t>
      </w:r>
      <w:r>
        <w:t>项目非正产工况下废气排放源强参数一览表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94"/>
        <w:gridCol w:w="1818"/>
        <w:gridCol w:w="166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910" w:type="pct"/>
            <w:vMerge w:val="restart"/>
            <w:vAlign w:val="center"/>
          </w:tcPr>
          <w:p>
            <w:pPr>
              <w:pStyle w:val="65"/>
              <w:ind w:firstLine="400"/>
            </w:pPr>
            <w:r>
              <w:t>污染源编号及名称</w:t>
            </w:r>
          </w:p>
        </w:tc>
        <w:tc>
          <w:tcPr>
            <w:tcW w:w="3090" w:type="pct"/>
            <w:gridSpan w:val="3"/>
          </w:tcPr>
          <w:p>
            <w:pPr>
              <w:pStyle w:val="65"/>
              <w:ind w:firstLine="400"/>
            </w:pPr>
            <w: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910" w:type="pct"/>
            <w:vMerge w:val="continue"/>
            <w:vAlign w:val="center"/>
          </w:tcPr>
          <w:p>
            <w:pPr>
              <w:pStyle w:val="65"/>
              <w:ind w:firstLine="400"/>
            </w:pPr>
          </w:p>
        </w:tc>
        <w:tc>
          <w:tcPr>
            <w:tcW w:w="1087" w:type="pct"/>
            <w:vAlign w:val="center"/>
          </w:tcPr>
          <w:p>
            <w:pPr>
              <w:pStyle w:val="65"/>
              <w:ind w:firstLine="400"/>
            </w:pPr>
            <w:r>
              <w:rPr>
                <w:rFonts w:hint="eastAsia"/>
              </w:rPr>
              <w:t>SO</w:t>
            </w:r>
            <w:r>
              <w:rPr>
                <w:rFonts w:hint="eastAsia"/>
                <w:vertAlign w:val="subscript"/>
              </w:rPr>
              <w:t>2</w:t>
            </w:r>
          </w:p>
        </w:tc>
        <w:tc>
          <w:tcPr>
            <w:tcW w:w="995" w:type="pct"/>
            <w:vAlign w:val="center"/>
          </w:tcPr>
          <w:p>
            <w:pPr>
              <w:pStyle w:val="65"/>
              <w:ind w:firstLine="400"/>
            </w:pPr>
            <w:r>
              <w:rPr>
                <w:rFonts w:hint="eastAsia"/>
              </w:rPr>
              <w:t>NOx</w:t>
            </w:r>
          </w:p>
        </w:tc>
        <w:tc>
          <w:tcPr>
            <w:tcW w:w="1008" w:type="pct"/>
            <w:vAlign w:val="center"/>
          </w:tcPr>
          <w:p>
            <w:pPr>
              <w:pStyle w:val="65"/>
              <w:ind w:firstLine="400"/>
            </w:pPr>
            <w:r>
              <w:rPr>
                <w:rFonts w:hint="eastAsia"/>
              </w:rPr>
              <w:t>PM</w:t>
            </w:r>
            <w:r>
              <w:rPr>
                <w:rFonts w:hint="eastAsia"/>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8" w:hRule="atLeast"/>
          <w:jc w:val="center"/>
        </w:trPr>
        <w:tc>
          <w:tcPr>
            <w:tcW w:w="1910" w:type="pct"/>
            <w:vAlign w:val="center"/>
          </w:tcPr>
          <w:p>
            <w:pPr>
              <w:pStyle w:val="65"/>
              <w:ind w:firstLine="400"/>
            </w:pPr>
            <w:r>
              <w:rPr>
                <w:rFonts w:hint="eastAsia"/>
              </w:rPr>
              <w:t>开工加热炉排气筒</w:t>
            </w:r>
          </w:p>
        </w:tc>
        <w:tc>
          <w:tcPr>
            <w:tcW w:w="1087" w:type="pct"/>
            <w:vAlign w:val="center"/>
          </w:tcPr>
          <w:p>
            <w:pPr>
              <w:pStyle w:val="65"/>
              <w:ind w:firstLine="400"/>
            </w:pPr>
            <w:r>
              <w:rPr>
                <w:rFonts w:hint="eastAsia"/>
              </w:rPr>
              <w:t>0.46</w:t>
            </w:r>
          </w:p>
        </w:tc>
        <w:tc>
          <w:tcPr>
            <w:tcW w:w="995" w:type="pct"/>
          </w:tcPr>
          <w:p>
            <w:pPr>
              <w:pStyle w:val="65"/>
              <w:ind w:firstLine="400"/>
            </w:pPr>
            <w:r>
              <w:rPr>
                <w:rFonts w:hint="eastAsia"/>
              </w:rPr>
              <w:t>1.104</w:t>
            </w:r>
          </w:p>
        </w:tc>
        <w:tc>
          <w:tcPr>
            <w:tcW w:w="1008" w:type="pct"/>
            <w:vAlign w:val="center"/>
          </w:tcPr>
          <w:p>
            <w:pPr>
              <w:pStyle w:val="65"/>
              <w:ind w:firstLine="400"/>
            </w:pPr>
            <w:r>
              <w:rPr>
                <w:rFonts w:hint="eastAsia"/>
              </w:rPr>
              <w:t>0.184</w:t>
            </w:r>
          </w:p>
        </w:tc>
      </w:tr>
    </w:tbl>
    <w:p>
      <w:pPr>
        <w:ind w:firstLine="480"/>
      </w:pPr>
      <w:r>
        <w:rPr>
          <w:rFonts w:hint="eastAsia"/>
        </w:rPr>
        <w:t>（2）企业在建污染源调查</w:t>
      </w:r>
    </w:p>
    <w:p>
      <w:pPr>
        <w:ind w:firstLine="480"/>
      </w:pPr>
      <w:r>
        <w:rPr>
          <w:rFonts w:hint="eastAsia"/>
        </w:rPr>
        <w:t>企业在建项目相关废气污染物源强调查结果详见表5.2-10。</w:t>
      </w:r>
    </w:p>
    <w:p>
      <w:pPr>
        <w:pStyle w:val="41"/>
      </w:pPr>
      <w:r>
        <w:rPr>
          <w:rFonts w:hint="eastAsia"/>
        </w:rPr>
        <w:t>表5.2-10  企业在建项目相关废气排放源强参数一览表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931"/>
        <w:gridCol w:w="777"/>
        <w:gridCol w:w="1343"/>
        <w:gridCol w:w="1137"/>
        <w:gridCol w:w="1374"/>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935" w:type="pct"/>
            <w:vMerge w:val="restart"/>
            <w:vAlign w:val="center"/>
          </w:tcPr>
          <w:p>
            <w:pPr>
              <w:pStyle w:val="65"/>
              <w:spacing w:line="240" w:lineRule="atLeast"/>
              <w:ind w:firstLine="480"/>
              <w:textAlignment w:val="baseline"/>
            </w:pPr>
            <w:r>
              <w:t>污染源编号</w:t>
            </w:r>
          </w:p>
        </w:tc>
        <w:tc>
          <w:tcPr>
            <w:tcW w:w="1002" w:type="pct"/>
            <w:gridSpan w:val="2"/>
            <w:vAlign w:val="center"/>
          </w:tcPr>
          <w:p>
            <w:pPr>
              <w:pStyle w:val="65"/>
              <w:spacing w:line="240" w:lineRule="atLeast"/>
              <w:ind w:firstLine="480"/>
              <w:textAlignment w:val="baseline"/>
            </w:pPr>
            <w:r>
              <w:rPr>
                <w:rFonts w:hint="eastAsia"/>
              </w:rPr>
              <w:t>相对</w:t>
            </w:r>
            <w:r>
              <w:t>坐标（m）</w:t>
            </w:r>
          </w:p>
        </w:tc>
        <w:tc>
          <w:tcPr>
            <w:tcW w:w="788" w:type="pct"/>
            <w:vMerge w:val="restart"/>
            <w:vAlign w:val="center"/>
          </w:tcPr>
          <w:p>
            <w:pPr>
              <w:pStyle w:val="65"/>
              <w:spacing w:line="240" w:lineRule="atLeast"/>
              <w:ind w:firstLine="480"/>
              <w:textAlignment w:val="baseline"/>
            </w:pPr>
            <w:r>
              <w:t>主要污染物</w:t>
            </w:r>
          </w:p>
        </w:tc>
        <w:tc>
          <w:tcPr>
            <w:tcW w:w="667" w:type="pct"/>
            <w:vMerge w:val="restart"/>
            <w:vAlign w:val="center"/>
          </w:tcPr>
          <w:p>
            <w:pPr>
              <w:pStyle w:val="65"/>
              <w:spacing w:line="240" w:lineRule="atLeast"/>
              <w:ind w:firstLine="480"/>
              <w:textAlignment w:val="baseline"/>
            </w:pPr>
            <w:r>
              <w:rPr>
                <w:rFonts w:hint="eastAsia"/>
              </w:rPr>
              <w:t>废气量</w:t>
            </w:r>
            <w:r>
              <w:t>（m</w:t>
            </w:r>
            <w:r>
              <w:rPr>
                <w:rFonts w:hint="eastAsia"/>
                <w:vertAlign w:val="superscript"/>
              </w:rPr>
              <w:t>3</w:t>
            </w:r>
            <w:r>
              <w:rPr>
                <w:rFonts w:hint="eastAsia"/>
              </w:rPr>
              <w:t>/h</w:t>
            </w:r>
            <w:r>
              <w:t>）</w:t>
            </w:r>
          </w:p>
        </w:tc>
        <w:tc>
          <w:tcPr>
            <w:tcW w:w="806" w:type="pct"/>
            <w:vMerge w:val="restart"/>
            <w:vAlign w:val="center"/>
          </w:tcPr>
          <w:p>
            <w:pPr>
              <w:pStyle w:val="65"/>
              <w:spacing w:line="240" w:lineRule="atLeast"/>
              <w:ind w:firstLine="480"/>
              <w:textAlignment w:val="baseline"/>
            </w:pPr>
            <w:r>
              <w:rPr>
                <w:rFonts w:hint="eastAsia"/>
              </w:rPr>
              <w:t>排气筒参数</w:t>
            </w:r>
          </w:p>
        </w:tc>
        <w:tc>
          <w:tcPr>
            <w:tcW w:w="802" w:type="pct"/>
            <w:vMerge w:val="restart"/>
            <w:vAlign w:val="center"/>
          </w:tcPr>
          <w:p>
            <w:pPr>
              <w:pStyle w:val="65"/>
              <w:spacing w:line="240" w:lineRule="atLeast"/>
              <w:ind w:firstLine="480"/>
              <w:textAlignment w:val="baseline"/>
            </w:pPr>
            <w:r>
              <w:t>排放源强（kg/h）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blHeader/>
        </w:trPr>
        <w:tc>
          <w:tcPr>
            <w:tcW w:w="935" w:type="pct"/>
            <w:vMerge w:val="continue"/>
            <w:vAlign w:val="center"/>
          </w:tcPr>
          <w:p>
            <w:pPr>
              <w:pStyle w:val="65"/>
              <w:spacing w:line="240" w:lineRule="atLeast"/>
              <w:ind w:firstLine="480"/>
              <w:textAlignment w:val="baseline"/>
            </w:pPr>
          </w:p>
        </w:tc>
        <w:tc>
          <w:tcPr>
            <w:tcW w:w="546" w:type="pct"/>
            <w:vAlign w:val="center"/>
          </w:tcPr>
          <w:p>
            <w:pPr>
              <w:pStyle w:val="65"/>
              <w:spacing w:line="240" w:lineRule="atLeast"/>
              <w:ind w:firstLine="480"/>
              <w:textAlignment w:val="baseline"/>
            </w:pPr>
            <w:r>
              <w:rPr>
                <w:rFonts w:hint="eastAsia"/>
              </w:rPr>
              <w:t>X</w:t>
            </w:r>
          </w:p>
        </w:tc>
        <w:tc>
          <w:tcPr>
            <w:tcW w:w="456" w:type="pct"/>
            <w:vAlign w:val="center"/>
          </w:tcPr>
          <w:p>
            <w:pPr>
              <w:pStyle w:val="65"/>
              <w:spacing w:line="240" w:lineRule="atLeast"/>
              <w:ind w:firstLine="480"/>
              <w:textAlignment w:val="baseline"/>
            </w:pPr>
            <w:r>
              <w:rPr>
                <w:rFonts w:hint="eastAsia"/>
              </w:rPr>
              <w:t>Y</w:t>
            </w:r>
          </w:p>
        </w:tc>
        <w:tc>
          <w:tcPr>
            <w:tcW w:w="788" w:type="pct"/>
            <w:vMerge w:val="continue"/>
            <w:vAlign w:val="center"/>
          </w:tcPr>
          <w:p>
            <w:pPr>
              <w:pStyle w:val="65"/>
              <w:spacing w:line="240" w:lineRule="atLeast"/>
              <w:ind w:firstLine="480"/>
              <w:textAlignment w:val="baseline"/>
            </w:pP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Merge w:val="continue"/>
            <w:vAlign w:val="center"/>
          </w:tcPr>
          <w:p>
            <w:pPr>
              <w:pStyle w:val="65"/>
              <w:spacing w:line="240" w:lineRule="atLeast"/>
              <w:ind w:firstLine="48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7"/>
            <w:vAlign w:val="center"/>
          </w:tcPr>
          <w:p>
            <w:pPr>
              <w:pStyle w:val="65"/>
              <w:spacing w:line="240" w:lineRule="atLeast"/>
              <w:ind w:firstLine="480"/>
              <w:textAlignment w:val="baseline"/>
            </w:pPr>
            <w:r>
              <w:t>重庆世界村生物化学有限公司年产2万吨草铵膦项目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restart"/>
            <w:vAlign w:val="center"/>
          </w:tcPr>
          <w:p>
            <w:pPr>
              <w:pStyle w:val="65"/>
              <w:spacing w:line="240" w:lineRule="atLeast"/>
              <w:ind w:firstLine="480"/>
              <w:textAlignment w:val="baseline"/>
            </w:pPr>
            <w:r>
              <w:t>1-1</w:t>
            </w:r>
            <w:r>
              <w:rPr>
                <w:rFonts w:hint="eastAsia"/>
              </w:rPr>
              <w:t>#</w:t>
            </w:r>
            <w:r>
              <w:t>排气筒</w:t>
            </w:r>
          </w:p>
        </w:tc>
        <w:tc>
          <w:tcPr>
            <w:tcW w:w="546" w:type="pct"/>
            <w:vMerge w:val="restart"/>
            <w:vAlign w:val="center"/>
          </w:tcPr>
          <w:p>
            <w:pPr>
              <w:pStyle w:val="65"/>
              <w:spacing w:line="240" w:lineRule="atLeast"/>
              <w:ind w:firstLine="480"/>
              <w:textAlignment w:val="baseline"/>
            </w:pPr>
            <w:r>
              <w:rPr>
                <w:rFonts w:hint="eastAsia"/>
              </w:rPr>
              <w:t>-27</w:t>
            </w:r>
          </w:p>
        </w:tc>
        <w:tc>
          <w:tcPr>
            <w:tcW w:w="456" w:type="pct"/>
            <w:vMerge w:val="restart"/>
            <w:vAlign w:val="center"/>
          </w:tcPr>
          <w:p>
            <w:pPr>
              <w:pStyle w:val="65"/>
              <w:spacing w:line="240" w:lineRule="atLeast"/>
              <w:ind w:firstLine="480"/>
              <w:textAlignment w:val="baseline"/>
            </w:pPr>
            <w:r>
              <w:rPr>
                <w:rFonts w:hint="eastAsia"/>
              </w:rPr>
              <w:t>-928</w:t>
            </w:r>
          </w:p>
        </w:tc>
        <w:tc>
          <w:tcPr>
            <w:tcW w:w="788" w:type="pct"/>
            <w:vAlign w:val="center"/>
          </w:tcPr>
          <w:p>
            <w:pPr>
              <w:pStyle w:val="65"/>
              <w:spacing w:line="240" w:lineRule="atLeast"/>
              <w:ind w:firstLine="480"/>
              <w:textAlignment w:val="baseline"/>
            </w:pPr>
            <w:r>
              <w:rPr>
                <w:rFonts w:hint="eastAsia"/>
              </w:rPr>
              <w:t>P</w:t>
            </w:r>
            <w:r>
              <w:t>M</w:t>
            </w:r>
            <w:r>
              <w:rPr>
                <w:vertAlign w:val="subscript"/>
              </w:rPr>
              <w:t>10</w:t>
            </w:r>
          </w:p>
        </w:tc>
        <w:tc>
          <w:tcPr>
            <w:tcW w:w="667" w:type="pct"/>
            <w:vMerge w:val="restart"/>
            <w:vAlign w:val="center"/>
          </w:tcPr>
          <w:p>
            <w:pPr>
              <w:pStyle w:val="65"/>
              <w:spacing w:line="240" w:lineRule="atLeast"/>
              <w:ind w:firstLine="480"/>
              <w:textAlignment w:val="baseline"/>
            </w:pPr>
            <w:r>
              <w:rPr>
                <w:rFonts w:hint="eastAsia"/>
              </w:rPr>
              <w:t>8175.6</w:t>
            </w:r>
          </w:p>
        </w:tc>
        <w:tc>
          <w:tcPr>
            <w:tcW w:w="806" w:type="pct"/>
            <w:vMerge w:val="restart"/>
            <w:vAlign w:val="center"/>
          </w:tcPr>
          <w:p>
            <w:pPr>
              <w:pStyle w:val="65"/>
              <w:spacing w:line="240" w:lineRule="atLeast"/>
              <w:ind w:firstLine="480"/>
              <w:textAlignment w:val="baseline"/>
            </w:pPr>
            <w:r>
              <w:rPr>
                <w:rFonts w:hint="eastAsia"/>
              </w:rPr>
              <w:t>高度：35m</w:t>
            </w:r>
          </w:p>
          <w:p>
            <w:pPr>
              <w:pStyle w:val="65"/>
              <w:spacing w:line="240" w:lineRule="atLeast"/>
              <w:ind w:firstLine="480"/>
              <w:textAlignment w:val="baseline"/>
            </w:pPr>
            <w:r>
              <w:rPr>
                <w:rFonts w:hint="eastAsia"/>
              </w:rPr>
              <w:t>内径：0.5m</w:t>
            </w:r>
          </w:p>
          <w:p>
            <w:pPr>
              <w:pStyle w:val="65"/>
              <w:spacing w:line="240" w:lineRule="atLeast"/>
              <w:ind w:firstLine="480"/>
              <w:textAlignment w:val="baseline"/>
            </w:pPr>
            <w:r>
              <w:rPr>
                <w:rFonts w:hint="eastAsia"/>
              </w:rPr>
              <w:t>温度：180℃</w:t>
            </w:r>
          </w:p>
        </w:tc>
        <w:tc>
          <w:tcPr>
            <w:tcW w:w="802" w:type="pct"/>
            <w:vAlign w:val="center"/>
          </w:tcPr>
          <w:p>
            <w:pPr>
              <w:pStyle w:val="65"/>
              <w:spacing w:line="240" w:lineRule="atLeast"/>
              <w:ind w:firstLine="480"/>
              <w:textAlignment w:val="baseline"/>
            </w:pPr>
            <w:r>
              <w:rPr>
                <w:rFonts w:hint="eastAsia"/>
              </w:rPr>
              <w:t>0</w:t>
            </w: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S</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N</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restart"/>
            <w:vAlign w:val="center"/>
          </w:tcPr>
          <w:p>
            <w:pPr>
              <w:pStyle w:val="65"/>
              <w:spacing w:line="240" w:lineRule="atLeast"/>
              <w:ind w:firstLine="480"/>
              <w:textAlignment w:val="baseline"/>
            </w:pPr>
            <w:r>
              <w:t>1-2</w:t>
            </w:r>
            <w:r>
              <w:rPr>
                <w:rFonts w:hint="eastAsia"/>
              </w:rPr>
              <w:t>#</w:t>
            </w:r>
            <w:r>
              <w:t>排气筒</w:t>
            </w:r>
          </w:p>
        </w:tc>
        <w:tc>
          <w:tcPr>
            <w:tcW w:w="546" w:type="pct"/>
            <w:vMerge w:val="restart"/>
            <w:vAlign w:val="center"/>
          </w:tcPr>
          <w:p>
            <w:pPr>
              <w:pStyle w:val="65"/>
              <w:spacing w:line="240" w:lineRule="atLeast"/>
              <w:ind w:firstLine="480"/>
              <w:textAlignment w:val="baseline"/>
            </w:pPr>
            <w:r>
              <w:rPr>
                <w:rFonts w:hint="eastAsia"/>
              </w:rPr>
              <w:t>-66</w:t>
            </w:r>
          </w:p>
        </w:tc>
        <w:tc>
          <w:tcPr>
            <w:tcW w:w="456" w:type="pct"/>
            <w:vMerge w:val="restart"/>
            <w:vAlign w:val="center"/>
          </w:tcPr>
          <w:p>
            <w:pPr>
              <w:pStyle w:val="65"/>
              <w:spacing w:line="240" w:lineRule="atLeast"/>
              <w:ind w:firstLine="480"/>
              <w:textAlignment w:val="baseline"/>
            </w:pPr>
            <w:r>
              <w:rPr>
                <w:rFonts w:hint="eastAsia"/>
              </w:rPr>
              <w:t>-956</w:t>
            </w:r>
          </w:p>
        </w:tc>
        <w:tc>
          <w:tcPr>
            <w:tcW w:w="788" w:type="pct"/>
            <w:vAlign w:val="center"/>
          </w:tcPr>
          <w:p>
            <w:pPr>
              <w:pStyle w:val="65"/>
              <w:spacing w:line="240" w:lineRule="atLeast"/>
              <w:ind w:firstLine="480"/>
              <w:textAlignment w:val="baseline"/>
            </w:pPr>
            <w:r>
              <w:rPr>
                <w:rFonts w:hint="eastAsia"/>
              </w:rPr>
              <w:t>P</w:t>
            </w:r>
            <w:r>
              <w:t>M</w:t>
            </w:r>
            <w:r>
              <w:rPr>
                <w:vertAlign w:val="subscript"/>
              </w:rPr>
              <w:t>10</w:t>
            </w:r>
          </w:p>
        </w:tc>
        <w:tc>
          <w:tcPr>
            <w:tcW w:w="667" w:type="pct"/>
            <w:vMerge w:val="restart"/>
            <w:vAlign w:val="center"/>
          </w:tcPr>
          <w:p>
            <w:pPr>
              <w:pStyle w:val="65"/>
              <w:spacing w:line="240" w:lineRule="atLeast"/>
              <w:ind w:firstLine="480"/>
              <w:textAlignment w:val="baseline"/>
            </w:pPr>
            <w:r>
              <w:rPr>
                <w:rFonts w:hint="eastAsia"/>
              </w:rPr>
              <w:t>8175.6</w:t>
            </w:r>
          </w:p>
        </w:tc>
        <w:tc>
          <w:tcPr>
            <w:tcW w:w="806" w:type="pct"/>
            <w:vMerge w:val="restart"/>
            <w:vAlign w:val="center"/>
          </w:tcPr>
          <w:p>
            <w:pPr>
              <w:pStyle w:val="65"/>
              <w:spacing w:line="240" w:lineRule="atLeast"/>
              <w:ind w:firstLine="480"/>
              <w:textAlignment w:val="baseline"/>
            </w:pPr>
            <w:r>
              <w:rPr>
                <w:rFonts w:hint="eastAsia"/>
              </w:rPr>
              <w:t>高度：35m</w:t>
            </w:r>
          </w:p>
          <w:p>
            <w:pPr>
              <w:pStyle w:val="65"/>
              <w:spacing w:line="240" w:lineRule="atLeast"/>
              <w:ind w:firstLine="480"/>
              <w:textAlignment w:val="baseline"/>
            </w:pPr>
            <w:r>
              <w:rPr>
                <w:rFonts w:hint="eastAsia"/>
              </w:rPr>
              <w:t>内径：0.5m</w:t>
            </w:r>
          </w:p>
          <w:p>
            <w:pPr>
              <w:pStyle w:val="65"/>
              <w:spacing w:line="240" w:lineRule="atLeast"/>
              <w:ind w:firstLine="480"/>
              <w:textAlignment w:val="baseline"/>
            </w:pPr>
            <w:r>
              <w:rPr>
                <w:rFonts w:hint="eastAsia"/>
              </w:rPr>
              <w:t>温度：180℃</w:t>
            </w:r>
          </w:p>
        </w:tc>
        <w:tc>
          <w:tcPr>
            <w:tcW w:w="802" w:type="pct"/>
            <w:vAlign w:val="center"/>
          </w:tcPr>
          <w:p>
            <w:pPr>
              <w:pStyle w:val="65"/>
              <w:spacing w:line="240" w:lineRule="atLeast"/>
              <w:ind w:firstLine="480"/>
              <w:textAlignment w:val="baseline"/>
            </w:pPr>
            <w:r>
              <w:rPr>
                <w:rFonts w:hint="eastAsia"/>
              </w:rPr>
              <w:t>0</w:t>
            </w: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S</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N</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Align w:val="center"/>
          </w:tcPr>
          <w:p>
            <w:pPr>
              <w:pStyle w:val="65"/>
              <w:spacing w:line="240" w:lineRule="atLeast"/>
              <w:ind w:firstLine="480"/>
              <w:textAlignment w:val="baseline"/>
            </w:pPr>
            <w:r>
              <w:rPr>
                <w:rFonts w:hint="eastAsia"/>
              </w:rPr>
              <w:t>2</w:t>
            </w:r>
            <w:r>
              <w:t>-1</w:t>
            </w:r>
            <w:r>
              <w:rPr>
                <w:rFonts w:hint="eastAsia"/>
              </w:rPr>
              <w:t>#</w:t>
            </w:r>
            <w:r>
              <w:t>排气筒</w:t>
            </w:r>
          </w:p>
        </w:tc>
        <w:tc>
          <w:tcPr>
            <w:tcW w:w="546" w:type="pct"/>
            <w:vAlign w:val="center"/>
          </w:tcPr>
          <w:p>
            <w:pPr>
              <w:pStyle w:val="65"/>
              <w:spacing w:line="240" w:lineRule="atLeast"/>
              <w:ind w:firstLine="480"/>
              <w:textAlignment w:val="baseline"/>
            </w:pPr>
            <w:r>
              <w:rPr>
                <w:rFonts w:hint="eastAsia"/>
              </w:rPr>
              <w:t>0</w:t>
            </w:r>
          </w:p>
        </w:tc>
        <w:tc>
          <w:tcPr>
            <w:tcW w:w="456" w:type="pct"/>
            <w:vAlign w:val="center"/>
          </w:tcPr>
          <w:p>
            <w:pPr>
              <w:pStyle w:val="65"/>
              <w:spacing w:line="240" w:lineRule="atLeast"/>
              <w:ind w:firstLine="480"/>
              <w:textAlignment w:val="baseline"/>
            </w:pPr>
            <w:r>
              <w:rPr>
                <w:rFonts w:hint="eastAsia"/>
              </w:rPr>
              <w:t>-1015</w:t>
            </w:r>
          </w:p>
        </w:tc>
        <w:tc>
          <w:tcPr>
            <w:tcW w:w="788" w:type="pct"/>
            <w:vAlign w:val="center"/>
          </w:tcPr>
          <w:p>
            <w:pPr>
              <w:pStyle w:val="65"/>
              <w:spacing w:line="240" w:lineRule="atLeast"/>
              <w:ind w:firstLine="480"/>
              <w:textAlignment w:val="baseline"/>
            </w:pPr>
            <w:r>
              <w:rPr>
                <w:rFonts w:hint="eastAsia"/>
              </w:rPr>
              <w:t>氨</w:t>
            </w:r>
          </w:p>
        </w:tc>
        <w:tc>
          <w:tcPr>
            <w:tcW w:w="667" w:type="pct"/>
            <w:vAlign w:val="center"/>
          </w:tcPr>
          <w:p>
            <w:pPr>
              <w:pStyle w:val="65"/>
              <w:spacing w:line="240" w:lineRule="atLeast"/>
              <w:ind w:firstLine="480"/>
              <w:textAlignment w:val="baseline"/>
            </w:pPr>
            <w:r>
              <w:rPr>
                <w:rFonts w:hint="eastAsia"/>
              </w:rPr>
              <w:t>10000</w:t>
            </w:r>
          </w:p>
        </w:tc>
        <w:tc>
          <w:tcPr>
            <w:tcW w:w="806" w:type="pct"/>
            <w:vAlign w:val="center"/>
          </w:tcPr>
          <w:p>
            <w:pPr>
              <w:pStyle w:val="65"/>
              <w:spacing w:line="240" w:lineRule="atLeast"/>
              <w:ind w:firstLine="480"/>
              <w:textAlignment w:val="baseline"/>
            </w:pPr>
            <w:r>
              <w:t>高度：25m</w:t>
            </w:r>
          </w:p>
          <w:p>
            <w:pPr>
              <w:pStyle w:val="65"/>
              <w:spacing w:line="240" w:lineRule="atLeast"/>
              <w:ind w:firstLine="480"/>
              <w:textAlignment w:val="baseline"/>
            </w:pPr>
            <w:r>
              <w:t>内径：0.5m</w:t>
            </w:r>
          </w:p>
          <w:p>
            <w:pPr>
              <w:pStyle w:val="65"/>
              <w:spacing w:line="240" w:lineRule="atLeast"/>
              <w:ind w:firstLine="480"/>
              <w:textAlignment w:val="baseline"/>
            </w:pPr>
            <w:r>
              <w:t>温度：25</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Align w:val="center"/>
          </w:tcPr>
          <w:p>
            <w:pPr>
              <w:pStyle w:val="65"/>
              <w:spacing w:line="240" w:lineRule="atLeast"/>
              <w:ind w:firstLine="480"/>
              <w:textAlignment w:val="baseline"/>
            </w:pPr>
            <w:r>
              <w:rPr>
                <w:rFonts w:hint="eastAsia"/>
              </w:rPr>
              <w:t>2</w:t>
            </w:r>
            <w:r>
              <w:t>-2</w:t>
            </w:r>
            <w:r>
              <w:rPr>
                <w:rFonts w:hint="eastAsia"/>
              </w:rPr>
              <w:t>#</w:t>
            </w:r>
            <w:r>
              <w:t>排气筒</w:t>
            </w:r>
          </w:p>
        </w:tc>
        <w:tc>
          <w:tcPr>
            <w:tcW w:w="546" w:type="pct"/>
            <w:vAlign w:val="center"/>
          </w:tcPr>
          <w:p>
            <w:pPr>
              <w:pStyle w:val="65"/>
              <w:spacing w:line="240" w:lineRule="atLeast"/>
              <w:ind w:firstLine="480"/>
              <w:textAlignment w:val="baseline"/>
            </w:pPr>
            <w:r>
              <w:rPr>
                <w:rFonts w:hint="eastAsia"/>
              </w:rPr>
              <w:t>96</w:t>
            </w:r>
          </w:p>
        </w:tc>
        <w:tc>
          <w:tcPr>
            <w:tcW w:w="456" w:type="pct"/>
            <w:vAlign w:val="center"/>
          </w:tcPr>
          <w:p>
            <w:pPr>
              <w:pStyle w:val="65"/>
              <w:spacing w:line="240" w:lineRule="atLeast"/>
              <w:ind w:firstLine="480"/>
              <w:textAlignment w:val="baseline"/>
            </w:pPr>
            <w:r>
              <w:rPr>
                <w:rFonts w:hint="eastAsia"/>
              </w:rPr>
              <w:t>-1052</w:t>
            </w:r>
          </w:p>
        </w:tc>
        <w:tc>
          <w:tcPr>
            <w:tcW w:w="788" w:type="pct"/>
            <w:vAlign w:val="center"/>
          </w:tcPr>
          <w:p>
            <w:pPr>
              <w:pStyle w:val="65"/>
              <w:spacing w:line="240" w:lineRule="atLeast"/>
              <w:ind w:firstLine="480"/>
              <w:textAlignment w:val="baseline"/>
            </w:pPr>
            <w:r>
              <w:rPr>
                <w:rFonts w:hint="eastAsia"/>
              </w:rPr>
              <w:t>氨</w:t>
            </w:r>
          </w:p>
        </w:tc>
        <w:tc>
          <w:tcPr>
            <w:tcW w:w="667" w:type="pct"/>
            <w:vAlign w:val="center"/>
          </w:tcPr>
          <w:p>
            <w:pPr>
              <w:pStyle w:val="65"/>
              <w:spacing w:line="240" w:lineRule="atLeast"/>
              <w:ind w:firstLine="480"/>
              <w:textAlignment w:val="baseline"/>
            </w:pPr>
            <w:r>
              <w:rPr>
                <w:rFonts w:hint="eastAsia"/>
              </w:rPr>
              <w:t>10000</w:t>
            </w:r>
          </w:p>
        </w:tc>
        <w:tc>
          <w:tcPr>
            <w:tcW w:w="806" w:type="pct"/>
            <w:vAlign w:val="center"/>
          </w:tcPr>
          <w:p>
            <w:pPr>
              <w:pStyle w:val="65"/>
              <w:spacing w:line="240" w:lineRule="atLeast"/>
              <w:ind w:firstLine="480"/>
              <w:textAlignment w:val="baseline"/>
            </w:pPr>
            <w:r>
              <w:t>高度：25m</w:t>
            </w:r>
          </w:p>
          <w:p>
            <w:pPr>
              <w:pStyle w:val="65"/>
              <w:spacing w:line="240" w:lineRule="atLeast"/>
              <w:ind w:firstLine="480"/>
              <w:textAlignment w:val="baseline"/>
            </w:pPr>
            <w:r>
              <w:t>内径：0.5m</w:t>
            </w:r>
          </w:p>
          <w:p>
            <w:pPr>
              <w:pStyle w:val="65"/>
              <w:spacing w:line="240" w:lineRule="atLeast"/>
              <w:ind w:firstLine="480"/>
              <w:textAlignment w:val="baseline"/>
            </w:pPr>
            <w:r>
              <w:t>温度：25</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Align w:val="center"/>
          </w:tcPr>
          <w:p>
            <w:pPr>
              <w:pStyle w:val="65"/>
              <w:spacing w:line="240" w:lineRule="atLeast"/>
              <w:ind w:firstLine="480"/>
              <w:textAlignment w:val="baseline"/>
            </w:pPr>
            <w:r>
              <w:rPr>
                <w:rFonts w:hint="eastAsia"/>
              </w:rPr>
              <w:t>2</w:t>
            </w:r>
            <w:r>
              <w:t>-3</w:t>
            </w:r>
            <w:r>
              <w:rPr>
                <w:rFonts w:hint="eastAsia"/>
              </w:rPr>
              <w:t>#</w:t>
            </w:r>
            <w:r>
              <w:t>排气筒</w:t>
            </w:r>
          </w:p>
        </w:tc>
        <w:tc>
          <w:tcPr>
            <w:tcW w:w="546" w:type="pct"/>
            <w:vAlign w:val="center"/>
          </w:tcPr>
          <w:p>
            <w:pPr>
              <w:pStyle w:val="65"/>
              <w:spacing w:line="240" w:lineRule="atLeast"/>
              <w:ind w:firstLine="480"/>
              <w:textAlignment w:val="baseline"/>
            </w:pPr>
            <w:r>
              <w:rPr>
                <w:rFonts w:hint="eastAsia"/>
              </w:rPr>
              <w:t>11</w:t>
            </w:r>
          </w:p>
        </w:tc>
        <w:tc>
          <w:tcPr>
            <w:tcW w:w="456" w:type="pct"/>
            <w:vAlign w:val="center"/>
          </w:tcPr>
          <w:p>
            <w:pPr>
              <w:pStyle w:val="65"/>
              <w:spacing w:line="240" w:lineRule="atLeast"/>
              <w:ind w:firstLine="480"/>
              <w:textAlignment w:val="baseline"/>
            </w:pPr>
            <w:r>
              <w:rPr>
                <w:rFonts w:hint="eastAsia"/>
              </w:rPr>
              <w:t>-1061</w:t>
            </w:r>
          </w:p>
        </w:tc>
        <w:tc>
          <w:tcPr>
            <w:tcW w:w="788" w:type="pct"/>
            <w:vAlign w:val="center"/>
          </w:tcPr>
          <w:p>
            <w:pPr>
              <w:pStyle w:val="65"/>
              <w:spacing w:line="240" w:lineRule="atLeast"/>
              <w:ind w:firstLine="480"/>
              <w:textAlignment w:val="baseline"/>
            </w:pPr>
            <w:r>
              <w:rPr>
                <w:rFonts w:hint="eastAsia"/>
              </w:rPr>
              <w:t>氨</w:t>
            </w:r>
          </w:p>
        </w:tc>
        <w:tc>
          <w:tcPr>
            <w:tcW w:w="667" w:type="pct"/>
            <w:vAlign w:val="center"/>
          </w:tcPr>
          <w:p>
            <w:pPr>
              <w:pStyle w:val="65"/>
              <w:spacing w:line="240" w:lineRule="atLeast"/>
              <w:ind w:firstLine="480"/>
              <w:textAlignment w:val="baseline"/>
            </w:pPr>
            <w:r>
              <w:rPr>
                <w:rFonts w:hint="eastAsia"/>
              </w:rPr>
              <w:t>10000</w:t>
            </w:r>
          </w:p>
        </w:tc>
        <w:tc>
          <w:tcPr>
            <w:tcW w:w="806" w:type="pct"/>
            <w:vAlign w:val="center"/>
          </w:tcPr>
          <w:p>
            <w:pPr>
              <w:pStyle w:val="65"/>
              <w:spacing w:line="240" w:lineRule="atLeast"/>
              <w:ind w:firstLine="480"/>
              <w:textAlignment w:val="baseline"/>
            </w:pPr>
            <w:r>
              <w:t>高度：25m</w:t>
            </w:r>
          </w:p>
          <w:p>
            <w:pPr>
              <w:pStyle w:val="65"/>
              <w:spacing w:line="240" w:lineRule="atLeast"/>
              <w:ind w:firstLine="480"/>
              <w:textAlignment w:val="baseline"/>
            </w:pPr>
            <w:r>
              <w:t>内径：0.5m</w:t>
            </w:r>
          </w:p>
          <w:p>
            <w:pPr>
              <w:pStyle w:val="65"/>
              <w:spacing w:line="240" w:lineRule="atLeast"/>
              <w:ind w:firstLine="480"/>
              <w:textAlignment w:val="baseline"/>
            </w:pPr>
            <w:r>
              <w:t>温度：25</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Align w:val="center"/>
          </w:tcPr>
          <w:p>
            <w:pPr>
              <w:pStyle w:val="65"/>
              <w:spacing w:line="240" w:lineRule="atLeast"/>
              <w:ind w:firstLine="480"/>
              <w:textAlignment w:val="baseline"/>
            </w:pPr>
            <w:r>
              <w:rPr>
                <w:rFonts w:hint="eastAsia"/>
              </w:rPr>
              <w:t>2</w:t>
            </w:r>
            <w:r>
              <w:t>-4</w:t>
            </w:r>
            <w:r>
              <w:rPr>
                <w:rFonts w:hint="eastAsia"/>
              </w:rPr>
              <w:t>#</w:t>
            </w:r>
            <w:r>
              <w:t>排气筒</w:t>
            </w:r>
          </w:p>
        </w:tc>
        <w:tc>
          <w:tcPr>
            <w:tcW w:w="546" w:type="pct"/>
            <w:vAlign w:val="center"/>
          </w:tcPr>
          <w:p>
            <w:pPr>
              <w:pStyle w:val="65"/>
              <w:spacing w:line="240" w:lineRule="atLeast"/>
              <w:ind w:firstLine="480"/>
              <w:textAlignment w:val="baseline"/>
            </w:pPr>
            <w:r>
              <w:rPr>
                <w:rFonts w:hint="eastAsia"/>
              </w:rPr>
              <w:t>63</w:t>
            </w:r>
          </w:p>
        </w:tc>
        <w:tc>
          <w:tcPr>
            <w:tcW w:w="456" w:type="pct"/>
            <w:vAlign w:val="center"/>
          </w:tcPr>
          <w:p>
            <w:pPr>
              <w:pStyle w:val="65"/>
              <w:spacing w:line="240" w:lineRule="atLeast"/>
              <w:ind w:firstLine="480"/>
              <w:textAlignment w:val="baseline"/>
            </w:pPr>
            <w:r>
              <w:rPr>
                <w:rFonts w:hint="eastAsia"/>
              </w:rPr>
              <w:t>-1100</w:t>
            </w:r>
          </w:p>
        </w:tc>
        <w:tc>
          <w:tcPr>
            <w:tcW w:w="788" w:type="pct"/>
            <w:vAlign w:val="center"/>
          </w:tcPr>
          <w:p>
            <w:pPr>
              <w:pStyle w:val="65"/>
              <w:spacing w:line="240" w:lineRule="atLeast"/>
              <w:ind w:firstLine="480"/>
              <w:textAlignment w:val="baseline"/>
            </w:pPr>
            <w:r>
              <w:rPr>
                <w:rFonts w:hint="eastAsia"/>
              </w:rPr>
              <w:t>氨</w:t>
            </w:r>
          </w:p>
        </w:tc>
        <w:tc>
          <w:tcPr>
            <w:tcW w:w="667" w:type="pct"/>
            <w:vAlign w:val="center"/>
          </w:tcPr>
          <w:p>
            <w:pPr>
              <w:pStyle w:val="65"/>
              <w:spacing w:line="240" w:lineRule="atLeast"/>
              <w:ind w:firstLine="480"/>
              <w:textAlignment w:val="baseline"/>
            </w:pPr>
            <w:r>
              <w:rPr>
                <w:rFonts w:hint="eastAsia"/>
              </w:rPr>
              <w:t>10000</w:t>
            </w:r>
          </w:p>
        </w:tc>
        <w:tc>
          <w:tcPr>
            <w:tcW w:w="806" w:type="pct"/>
            <w:vAlign w:val="center"/>
          </w:tcPr>
          <w:p>
            <w:pPr>
              <w:pStyle w:val="65"/>
              <w:spacing w:line="240" w:lineRule="atLeast"/>
              <w:ind w:firstLine="480"/>
              <w:textAlignment w:val="baseline"/>
            </w:pPr>
            <w:r>
              <w:t>高度：25m</w:t>
            </w:r>
          </w:p>
          <w:p>
            <w:pPr>
              <w:pStyle w:val="65"/>
              <w:spacing w:line="240" w:lineRule="atLeast"/>
              <w:ind w:firstLine="480"/>
              <w:textAlignment w:val="baseline"/>
            </w:pPr>
            <w:r>
              <w:t>内径：0.5m</w:t>
            </w:r>
          </w:p>
          <w:p>
            <w:pPr>
              <w:pStyle w:val="65"/>
              <w:spacing w:line="240" w:lineRule="atLeast"/>
              <w:ind w:firstLine="480"/>
              <w:textAlignment w:val="baseline"/>
            </w:pPr>
            <w:r>
              <w:t>温度：25</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Align w:val="center"/>
          </w:tcPr>
          <w:p>
            <w:pPr>
              <w:pStyle w:val="65"/>
              <w:spacing w:line="240" w:lineRule="atLeast"/>
              <w:ind w:firstLine="480"/>
              <w:textAlignment w:val="baseline"/>
            </w:pPr>
            <w:r>
              <w:rPr>
                <w:rFonts w:hint="eastAsia"/>
              </w:rPr>
              <w:t>5</w:t>
            </w:r>
            <w:r>
              <w:t>#</w:t>
            </w:r>
            <w:r>
              <w:rPr>
                <w:rFonts w:hint="eastAsia"/>
              </w:rPr>
              <w:t>排气筒</w:t>
            </w:r>
          </w:p>
        </w:tc>
        <w:tc>
          <w:tcPr>
            <w:tcW w:w="546" w:type="pct"/>
            <w:vAlign w:val="center"/>
          </w:tcPr>
          <w:p>
            <w:pPr>
              <w:pStyle w:val="65"/>
              <w:spacing w:line="240" w:lineRule="atLeast"/>
              <w:ind w:firstLine="480"/>
              <w:textAlignment w:val="baseline"/>
            </w:pPr>
            <w:r>
              <w:rPr>
                <w:rFonts w:hint="eastAsia"/>
              </w:rPr>
              <w:t>-114</w:t>
            </w:r>
          </w:p>
        </w:tc>
        <w:tc>
          <w:tcPr>
            <w:tcW w:w="456" w:type="pct"/>
            <w:vAlign w:val="center"/>
          </w:tcPr>
          <w:p>
            <w:pPr>
              <w:pStyle w:val="65"/>
              <w:spacing w:line="240" w:lineRule="atLeast"/>
              <w:ind w:firstLine="480"/>
              <w:textAlignment w:val="baseline"/>
            </w:pPr>
            <w:r>
              <w:rPr>
                <w:rFonts w:hint="eastAsia"/>
              </w:rPr>
              <w:t>-1100</w:t>
            </w:r>
          </w:p>
        </w:tc>
        <w:tc>
          <w:tcPr>
            <w:tcW w:w="788" w:type="pct"/>
            <w:vAlign w:val="center"/>
          </w:tcPr>
          <w:p>
            <w:pPr>
              <w:pStyle w:val="65"/>
              <w:spacing w:line="240" w:lineRule="atLeast"/>
              <w:ind w:firstLine="480"/>
              <w:textAlignment w:val="baseline"/>
            </w:pPr>
            <w:r>
              <w:rPr>
                <w:rFonts w:hint="eastAsia"/>
              </w:rPr>
              <w:t>P</w:t>
            </w:r>
            <w:r>
              <w:t>M</w:t>
            </w:r>
            <w:r>
              <w:rPr>
                <w:vertAlign w:val="subscript"/>
              </w:rPr>
              <w:t>10</w:t>
            </w:r>
          </w:p>
        </w:tc>
        <w:tc>
          <w:tcPr>
            <w:tcW w:w="667" w:type="pct"/>
            <w:vAlign w:val="center"/>
          </w:tcPr>
          <w:p>
            <w:pPr>
              <w:pStyle w:val="65"/>
              <w:spacing w:line="240" w:lineRule="atLeast"/>
              <w:ind w:firstLine="480"/>
              <w:textAlignment w:val="baseline"/>
            </w:pPr>
            <w:r>
              <w:rPr>
                <w:rFonts w:hint="eastAsia"/>
              </w:rPr>
              <w:t>2000</w:t>
            </w:r>
          </w:p>
        </w:tc>
        <w:tc>
          <w:tcPr>
            <w:tcW w:w="806" w:type="pct"/>
            <w:vAlign w:val="center"/>
          </w:tcPr>
          <w:p>
            <w:pPr>
              <w:pStyle w:val="65"/>
              <w:spacing w:line="240" w:lineRule="atLeast"/>
              <w:ind w:firstLine="480"/>
              <w:textAlignment w:val="baseline"/>
            </w:pPr>
            <w:r>
              <w:t>高度：25m</w:t>
            </w:r>
          </w:p>
          <w:p>
            <w:pPr>
              <w:pStyle w:val="65"/>
              <w:spacing w:line="240" w:lineRule="atLeast"/>
              <w:ind w:firstLine="480"/>
              <w:textAlignment w:val="baseline"/>
            </w:pPr>
            <w:r>
              <w:t>内径：0.25m</w:t>
            </w:r>
          </w:p>
          <w:p>
            <w:pPr>
              <w:pStyle w:val="65"/>
              <w:spacing w:line="240" w:lineRule="atLeast"/>
              <w:ind w:firstLine="480"/>
              <w:textAlignment w:val="baseline"/>
            </w:pPr>
            <w:r>
              <w:t>温度：25</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restart"/>
            <w:vAlign w:val="center"/>
          </w:tcPr>
          <w:p>
            <w:pPr>
              <w:pStyle w:val="65"/>
              <w:spacing w:line="240" w:lineRule="atLeast"/>
              <w:ind w:firstLine="480"/>
              <w:textAlignment w:val="baseline"/>
            </w:pPr>
            <w:r>
              <w:t>6</w:t>
            </w:r>
            <w:r>
              <w:rPr>
                <w:rFonts w:hint="eastAsia"/>
              </w:rPr>
              <w:t>#</w:t>
            </w:r>
            <w:r>
              <w:t>排气筒</w:t>
            </w:r>
          </w:p>
        </w:tc>
        <w:tc>
          <w:tcPr>
            <w:tcW w:w="546" w:type="pct"/>
            <w:vMerge w:val="restart"/>
            <w:vAlign w:val="center"/>
          </w:tcPr>
          <w:p>
            <w:pPr>
              <w:pStyle w:val="65"/>
              <w:spacing w:line="240" w:lineRule="atLeast"/>
              <w:ind w:firstLine="480"/>
              <w:textAlignment w:val="baseline"/>
            </w:pPr>
            <w:r>
              <w:rPr>
                <w:rFonts w:hint="eastAsia"/>
              </w:rPr>
              <w:t>300</w:t>
            </w:r>
          </w:p>
        </w:tc>
        <w:tc>
          <w:tcPr>
            <w:tcW w:w="456" w:type="pct"/>
            <w:vMerge w:val="restart"/>
            <w:vAlign w:val="center"/>
          </w:tcPr>
          <w:p>
            <w:pPr>
              <w:pStyle w:val="65"/>
              <w:spacing w:line="240" w:lineRule="atLeast"/>
              <w:ind w:firstLine="480"/>
              <w:textAlignment w:val="baseline"/>
            </w:pPr>
            <w:r>
              <w:rPr>
                <w:rFonts w:hint="eastAsia"/>
              </w:rPr>
              <w:t>-950</w:t>
            </w:r>
          </w:p>
        </w:tc>
        <w:tc>
          <w:tcPr>
            <w:tcW w:w="788" w:type="pct"/>
            <w:vAlign w:val="center"/>
          </w:tcPr>
          <w:p>
            <w:pPr>
              <w:pStyle w:val="65"/>
              <w:spacing w:line="240" w:lineRule="atLeast"/>
              <w:ind w:firstLine="480"/>
              <w:textAlignment w:val="baseline"/>
            </w:pPr>
            <w:r>
              <w:rPr>
                <w:rFonts w:hint="eastAsia"/>
              </w:rPr>
              <w:t>P</w:t>
            </w:r>
            <w:r>
              <w:t>M</w:t>
            </w:r>
            <w:r>
              <w:rPr>
                <w:vertAlign w:val="subscript"/>
              </w:rPr>
              <w:t>10</w:t>
            </w:r>
          </w:p>
        </w:tc>
        <w:tc>
          <w:tcPr>
            <w:tcW w:w="667" w:type="pct"/>
            <w:vMerge w:val="restart"/>
            <w:vAlign w:val="center"/>
          </w:tcPr>
          <w:p>
            <w:pPr>
              <w:pStyle w:val="65"/>
              <w:spacing w:line="240" w:lineRule="atLeast"/>
              <w:ind w:firstLine="480"/>
              <w:textAlignment w:val="baseline"/>
            </w:pPr>
            <w:r>
              <w:rPr>
                <w:rFonts w:hint="eastAsia"/>
              </w:rPr>
              <w:t>35000</w:t>
            </w:r>
          </w:p>
        </w:tc>
        <w:tc>
          <w:tcPr>
            <w:tcW w:w="806" w:type="pct"/>
            <w:vMerge w:val="restart"/>
            <w:vAlign w:val="center"/>
          </w:tcPr>
          <w:p>
            <w:pPr>
              <w:pStyle w:val="65"/>
              <w:spacing w:line="240" w:lineRule="atLeast"/>
              <w:ind w:firstLine="480"/>
              <w:textAlignment w:val="baseline"/>
            </w:pPr>
            <w:r>
              <w:t>高度：50m</w:t>
            </w:r>
          </w:p>
          <w:p>
            <w:pPr>
              <w:pStyle w:val="65"/>
              <w:spacing w:line="240" w:lineRule="atLeast"/>
              <w:ind w:firstLine="480"/>
              <w:textAlignment w:val="baseline"/>
            </w:pPr>
            <w:r>
              <w:t>内径：1.3m</w:t>
            </w:r>
          </w:p>
          <w:p>
            <w:pPr>
              <w:pStyle w:val="65"/>
              <w:spacing w:line="240" w:lineRule="atLeast"/>
              <w:ind w:firstLine="480"/>
              <w:textAlignment w:val="baseline"/>
            </w:pPr>
            <w:r>
              <w:t>温度：120</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1</w:t>
            </w: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S</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1</w:t>
            </w: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N</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3</w:t>
            </w: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restart"/>
            <w:vAlign w:val="center"/>
          </w:tcPr>
          <w:p>
            <w:pPr>
              <w:pStyle w:val="65"/>
              <w:spacing w:line="240" w:lineRule="atLeast"/>
              <w:ind w:firstLine="480"/>
              <w:textAlignment w:val="baseline"/>
            </w:pPr>
            <w:r>
              <w:rPr>
                <w:rFonts w:hint="eastAsia"/>
              </w:rPr>
              <w:t>7#排气筒</w:t>
            </w:r>
          </w:p>
        </w:tc>
        <w:tc>
          <w:tcPr>
            <w:tcW w:w="546" w:type="pct"/>
            <w:vMerge w:val="restart"/>
            <w:vAlign w:val="center"/>
          </w:tcPr>
          <w:p>
            <w:pPr>
              <w:pStyle w:val="65"/>
              <w:spacing w:line="240" w:lineRule="atLeast"/>
              <w:ind w:firstLine="480"/>
              <w:textAlignment w:val="baseline"/>
            </w:pPr>
            <w:r>
              <w:rPr>
                <w:rFonts w:hint="eastAsia"/>
              </w:rPr>
              <w:t>52</w:t>
            </w:r>
          </w:p>
        </w:tc>
        <w:tc>
          <w:tcPr>
            <w:tcW w:w="456" w:type="pct"/>
            <w:vMerge w:val="restart"/>
            <w:vAlign w:val="center"/>
          </w:tcPr>
          <w:p>
            <w:pPr>
              <w:pStyle w:val="65"/>
              <w:spacing w:line="240" w:lineRule="atLeast"/>
              <w:ind w:firstLine="480"/>
              <w:textAlignment w:val="baseline"/>
            </w:pPr>
            <w:r>
              <w:rPr>
                <w:rFonts w:hint="eastAsia"/>
              </w:rPr>
              <w:t>-800</w:t>
            </w:r>
          </w:p>
        </w:tc>
        <w:tc>
          <w:tcPr>
            <w:tcW w:w="788" w:type="pct"/>
            <w:vAlign w:val="center"/>
          </w:tcPr>
          <w:p>
            <w:pPr>
              <w:pStyle w:val="65"/>
              <w:spacing w:line="240" w:lineRule="atLeast"/>
              <w:ind w:firstLine="480"/>
              <w:textAlignment w:val="baseline"/>
            </w:pPr>
            <w:r>
              <w:rPr>
                <w:rFonts w:hint="eastAsia"/>
              </w:rPr>
              <w:t>P</w:t>
            </w:r>
            <w:r>
              <w:t>M</w:t>
            </w:r>
            <w:r>
              <w:rPr>
                <w:vertAlign w:val="subscript"/>
              </w:rPr>
              <w:t>10</w:t>
            </w:r>
          </w:p>
        </w:tc>
        <w:tc>
          <w:tcPr>
            <w:tcW w:w="667" w:type="pct"/>
            <w:vMerge w:val="restart"/>
            <w:vAlign w:val="center"/>
          </w:tcPr>
          <w:p>
            <w:pPr>
              <w:pStyle w:val="65"/>
              <w:spacing w:line="240" w:lineRule="atLeast"/>
              <w:ind w:firstLine="480"/>
              <w:textAlignment w:val="baseline"/>
            </w:pPr>
            <w:r>
              <w:rPr>
                <w:rFonts w:hint="eastAsia"/>
              </w:rPr>
              <w:t>13625.9</w:t>
            </w:r>
          </w:p>
        </w:tc>
        <w:tc>
          <w:tcPr>
            <w:tcW w:w="806" w:type="pct"/>
            <w:vMerge w:val="restart"/>
            <w:vAlign w:val="center"/>
          </w:tcPr>
          <w:p>
            <w:pPr>
              <w:pStyle w:val="65"/>
              <w:spacing w:line="240" w:lineRule="atLeast"/>
              <w:ind w:firstLine="480"/>
              <w:textAlignment w:val="baseline"/>
            </w:pPr>
            <w:r>
              <w:t>高度：15m</w:t>
            </w:r>
          </w:p>
          <w:p>
            <w:pPr>
              <w:pStyle w:val="65"/>
              <w:spacing w:line="240" w:lineRule="atLeast"/>
              <w:ind w:firstLine="480"/>
              <w:textAlignment w:val="baseline"/>
            </w:pPr>
            <w:r>
              <w:t>内径：0.7m</w:t>
            </w:r>
          </w:p>
          <w:p>
            <w:pPr>
              <w:pStyle w:val="65"/>
              <w:spacing w:line="240" w:lineRule="atLeast"/>
              <w:ind w:firstLine="480"/>
              <w:textAlignment w:val="baseline"/>
            </w:pPr>
            <w:r>
              <w:t>温度：120</w:t>
            </w:r>
            <w:r>
              <w:rPr>
                <w:rFonts w:hint="eastAsia" w:ascii="宋体" w:hAnsi="宋体" w:cs="宋体"/>
              </w:rPr>
              <w:t>℃</w:t>
            </w:r>
          </w:p>
        </w:tc>
        <w:tc>
          <w:tcPr>
            <w:tcW w:w="802" w:type="pct"/>
            <w:vAlign w:val="center"/>
          </w:tcPr>
          <w:p>
            <w:pPr>
              <w:pStyle w:val="65"/>
              <w:spacing w:line="240" w:lineRule="atLeast"/>
              <w:ind w:firstLine="480"/>
              <w:textAlignment w:val="baseline"/>
            </w:pPr>
            <w:r>
              <w:rPr>
                <w:rFonts w:hint="eastAsia"/>
              </w:rPr>
              <w:t>0</w:t>
            </w: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S</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5" w:type="pct"/>
            <w:vMerge w:val="continue"/>
            <w:vAlign w:val="center"/>
          </w:tcPr>
          <w:p>
            <w:pPr>
              <w:pStyle w:val="65"/>
              <w:spacing w:line="240" w:lineRule="atLeast"/>
              <w:ind w:firstLine="480"/>
              <w:textAlignment w:val="baseline"/>
            </w:pPr>
          </w:p>
        </w:tc>
        <w:tc>
          <w:tcPr>
            <w:tcW w:w="546" w:type="pct"/>
            <w:vMerge w:val="continue"/>
            <w:vAlign w:val="center"/>
          </w:tcPr>
          <w:p>
            <w:pPr>
              <w:pStyle w:val="65"/>
              <w:spacing w:line="240" w:lineRule="atLeast"/>
              <w:ind w:firstLine="480"/>
              <w:textAlignment w:val="baseline"/>
            </w:pPr>
          </w:p>
        </w:tc>
        <w:tc>
          <w:tcPr>
            <w:tcW w:w="456" w:type="pct"/>
            <w:vMerge w:val="continue"/>
            <w:vAlign w:val="center"/>
          </w:tcPr>
          <w:p>
            <w:pPr>
              <w:pStyle w:val="65"/>
              <w:spacing w:line="240" w:lineRule="atLeast"/>
              <w:ind w:firstLine="480"/>
              <w:textAlignment w:val="baseline"/>
            </w:pPr>
          </w:p>
        </w:tc>
        <w:tc>
          <w:tcPr>
            <w:tcW w:w="788" w:type="pct"/>
            <w:vAlign w:val="center"/>
          </w:tcPr>
          <w:p>
            <w:pPr>
              <w:pStyle w:val="65"/>
              <w:spacing w:line="240" w:lineRule="atLeast"/>
              <w:ind w:firstLine="480"/>
              <w:textAlignment w:val="baseline"/>
            </w:pPr>
            <w:r>
              <w:rPr>
                <w:rFonts w:hint="eastAsia"/>
              </w:rPr>
              <w:t>N</w:t>
            </w:r>
            <w:r>
              <w:t>O</w:t>
            </w:r>
            <w:r>
              <w:rPr>
                <w:vertAlign w:val="subscript"/>
              </w:rPr>
              <w:t>2</w:t>
            </w:r>
          </w:p>
        </w:tc>
        <w:tc>
          <w:tcPr>
            <w:tcW w:w="667" w:type="pct"/>
            <w:vMerge w:val="continue"/>
            <w:vAlign w:val="center"/>
          </w:tcPr>
          <w:p>
            <w:pPr>
              <w:pStyle w:val="65"/>
              <w:spacing w:line="240" w:lineRule="atLeast"/>
              <w:ind w:firstLine="480"/>
              <w:textAlignment w:val="baseline"/>
            </w:pPr>
          </w:p>
        </w:tc>
        <w:tc>
          <w:tcPr>
            <w:tcW w:w="806" w:type="pct"/>
            <w:vMerge w:val="continue"/>
            <w:vAlign w:val="center"/>
          </w:tcPr>
          <w:p>
            <w:pPr>
              <w:pStyle w:val="65"/>
              <w:spacing w:line="240" w:lineRule="atLeast"/>
              <w:ind w:firstLine="480"/>
              <w:textAlignment w:val="baseline"/>
            </w:pPr>
          </w:p>
        </w:tc>
        <w:tc>
          <w:tcPr>
            <w:tcW w:w="802" w:type="pct"/>
            <w:vAlign w:val="center"/>
          </w:tcPr>
          <w:p>
            <w:pPr>
              <w:pStyle w:val="65"/>
              <w:spacing w:line="240" w:lineRule="atLeast"/>
              <w:ind w:firstLine="480"/>
              <w:textAlignment w:val="baseline"/>
            </w:pPr>
            <w:r>
              <w:rPr>
                <w:rFonts w:hint="eastAsia"/>
              </w:rPr>
              <w:t>0</w:t>
            </w:r>
            <w:r>
              <w:t>.56</w:t>
            </w:r>
          </w:p>
        </w:tc>
      </w:tr>
    </w:tbl>
    <w:p>
      <w:pPr>
        <w:ind w:firstLine="480"/>
      </w:pPr>
      <w:r>
        <w:rPr>
          <w:rFonts w:hint="eastAsia"/>
        </w:rPr>
        <w:t>（3）区域削减污染源</w:t>
      </w:r>
    </w:p>
    <w:p>
      <w:pPr>
        <w:ind w:firstLine="480"/>
      </w:pPr>
      <w:r>
        <w:t>评价范围内区域削减污染源为川维燃煤锅炉超低排放改造项目，其削减源强见表</w:t>
      </w:r>
      <w:r>
        <w:rPr>
          <w:rFonts w:hint="eastAsia"/>
        </w:rPr>
        <w:t>5.2-11。</w:t>
      </w:r>
    </w:p>
    <w:p>
      <w:pPr>
        <w:pStyle w:val="41"/>
      </w:pPr>
      <w:r>
        <w:rPr>
          <w:rFonts w:hint="eastAsia"/>
        </w:rPr>
        <w:t>表5.2-11  区域削减废气排放源强参数一览表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000"/>
        <w:gridCol w:w="820"/>
        <w:gridCol w:w="1691"/>
        <w:gridCol w:w="1561"/>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blHeader/>
        </w:trPr>
        <w:tc>
          <w:tcPr>
            <w:tcW w:w="899" w:type="pct"/>
            <w:vMerge w:val="restart"/>
            <w:vAlign w:val="center"/>
          </w:tcPr>
          <w:p>
            <w:pPr>
              <w:pStyle w:val="65"/>
              <w:ind w:firstLine="400"/>
            </w:pPr>
            <w:r>
              <w:t>污染源编号</w:t>
            </w:r>
          </w:p>
        </w:tc>
        <w:tc>
          <w:tcPr>
            <w:tcW w:w="1068" w:type="pct"/>
            <w:gridSpan w:val="2"/>
            <w:vAlign w:val="center"/>
          </w:tcPr>
          <w:p>
            <w:pPr>
              <w:pStyle w:val="65"/>
              <w:ind w:firstLine="400"/>
            </w:pPr>
            <w:r>
              <w:t>相对坐标（m）</w:t>
            </w:r>
          </w:p>
        </w:tc>
        <w:tc>
          <w:tcPr>
            <w:tcW w:w="992" w:type="pct"/>
            <w:vMerge w:val="restart"/>
            <w:vAlign w:val="center"/>
          </w:tcPr>
          <w:p>
            <w:pPr>
              <w:pStyle w:val="65"/>
              <w:ind w:firstLine="400"/>
            </w:pPr>
            <w:r>
              <w:t>主要污染物</w:t>
            </w:r>
          </w:p>
        </w:tc>
        <w:tc>
          <w:tcPr>
            <w:tcW w:w="916" w:type="pct"/>
            <w:vMerge w:val="restart"/>
            <w:vAlign w:val="center"/>
          </w:tcPr>
          <w:p>
            <w:pPr>
              <w:pStyle w:val="65"/>
              <w:ind w:firstLine="400"/>
            </w:pPr>
            <w:r>
              <w:t>排放高度（m）</w:t>
            </w:r>
          </w:p>
        </w:tc>
        <w:tc>
          <w:tcPr>
            <w:tcW w:w="1125" w:type="pct"/>
            <w:vMerge w:val="restart"/>
            <w:vAlign w:val="center"/>
          </w:tcPr>
          <w:p>
            <w:pPr>
              <w:pStyle w:val="65"/>
              <w:ind w:firstLine="400"/>
            </w:pPr>
            <w:r>
              <w:t>排放源强（kg/h）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899" w:type="pct"/>
            <w:vMerge w:val="continue"/>
            <w:vAlign w:val="center"/>
          </w:tcPr>
          <w:p>
            <w:pPr>
              <w:pStyle w:val="65"/>
              <w:ind w:firstLine="400"/>
            </w:pPr>
          </w:p>
        </w:tc>
        <w:tc>
          <w:tcPr>
            <w:tcW w:w="587" w:type="pct"/>
            <w:vAlign w:val="center"/>
          </w:tcPr>
          <w:p>
            <w:pPr>
              <w:pStyle w:val="65"/>
              <w:ind w:firstLine="400"/>
            </w:pPr>
            <w:r>
              <w:rPr>
                <w:rFonts w:hint="eastAsia"/>
              </w:rPr>
              <w:t>X</w:t>
            </w:r>
          </w:p>
        </w:tc>
        <w:tc>
          <w:tcPr>
            <w:tcW w:w="481" w:type="pct"/>
            <w:vAlign w:val="center"/>
          </w:tcPr>
          <w:p>
            <w:pPr>
              <w:pStyle w:val="65"/>
              <w:ind w:firstLine="400"/>
            </w:pPr>
            <w:r>
              <w:rPr>
                <w:rFonts w:hint="eastAsia"/>
              </w:rPr>
              <w:t>Y</w:t>
            </w:r>
          </w:p>
        </w:tc>
        <w:tc>
          <w:tcPr>
            <w:tcW w:w="992" w:type="pct"/>
            <w:vMerge w:val="continue"/>
            <w:vAlign w:val="center"/>
          </w:tcPr>
          <w:p>
            <w:pPr>
              <w:pStyle w:val="65"/>
              <w:ind w:firstLine="400"/>
            </w:pPr>
          </w:p>
        </w:tc>
        <w:tc>
          <w:tcPr>
            <w:tcW w:w="916" w:type="pct"/>
            <w:vMerge w:val="continue"/>
            <w:vAlign w:val="center"/>
          </w:tcPr>
          <w:p>
            <w:pPr>
              <w:pStyle w:val="65"/>
              <w:ind w:firstLine="400"/>
            </w:pPr>
          </w:p>
        </w:tc>
        <w:tc>
          <w:tcPr>
            <w:tcW w:w="1125" w:type="pct"/>
            <w:vMerge w:val="continue"/>
            <w:vAlign w:val="center"/>
          </w:tcPr>
          <w:p>
            <w:pPr>
              <w:pStyle w:val="65"/>
              <w:ind w:firstLine="4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65"/>
              <w:ind w:firstLine="400"/>
            </w:pPr>
            <w:r>
              <w:t>1#排气筒</w:t>
            </w:r>
          </w:p>
        </w:tc>
        <w:tc>
          <w:tcPr>
            <w:tcW w:w="587" w:type="pct"/>
            <w:vMerge w:val="restart"/>
            <w:vAlign w:val="center"/>
          </w:tcPr>
          <w:p>
            <w:pPr>
              <w:pStyle w:val="65"/>
              <w:ind w:firstLine="400"/>
            </w:pPr>
            <w:r>
              <w:rPr>
                <w:rFonts w:hint="eastAsia"/>
              </w:rPr>
              <w:t>2560</w:t>
            </w:r>
          </w:p>
        </w:tc>
        <w:tc>
          <w:tcPr>
            <w:tcW w:w="481" w:type="pct"/>
            <w:vMerge w:val="restart"/>
            <w:vAlign w:val="center"/>
          </w:tcPr>
          <w:p>
            <w:pPr>
              <w:pStyle w:val="65"/>
              <w:ind w:firstLine="400"/>
            </w:pPr>
            <w:r>
              <w:rPr>
                <w:rFonts w:hint="eastAsia"/>
              </w:rPr>
              <w:t>-5600</w:t>
            </w:r>
          </w:p>
        </w:tc>
        <w:tc>
          <w:tcPr>
            <w:tcW w:w="992" w:type="pct"/>
            <w:vAlign w:val="center"/>
          </w:tcPr>
          <w:p>
            <w:pPr>
              <w:pStyle w:val="65"/>
              <w:ind w:firstLine="400"/>
            </w:pPr>
            <w:r>
              <w:t>PM</w:t>
            </w:r>
            <w:r>
              <w:rPr>
                <w:vertAlign w:val="subscript"/>
              </w:rPr>
              <w:t>10</w:t>
            </w:r>
          </w:p>
        </w:tc>
        <w:tc>
          <w:tcPr>
            <w:tcW w:w="916" w:type="pct"/>
            <w:vMerge w:val="restart"/>
            <w:vAlign w:val="center"/>
          </w:tcPr>
          <w:p>
            <w:pPr>
              <w:pStyle w:val="65"/>
              <w:ind w:firstLine="400"/>
            </w:pPr>
            <w:r>
              <w:t>120</w:t>
            </w:r>
          </w:p>
        </w:tc>
        <w:tc>
          <w:tcPr>
            <w:tcW w:w="1125" w:type="pct"/>
            <w:vAlign w:val="center"/>
          </w:tcPr>
          <w:p>
            <w:pPr>
              <w:pStyle w:val="65"/>
              <w:ind w:firstLine="400"/>
            </w:pPr>
            <w:r>
              <w:t>8.759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SO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126.172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NO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29.204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65"/>
              <w:ind w:firstLine="400"/>
            </w:pPr>
            <w:r>
              <w:t>2#排气筒</w:t>
            </w:r>
          </w:p>
        </w:tc>
        <w:tc>
          <w:tcPr>
            <w:tcW w:w="587" w:type="pct"/>
            <w:vMerge w:val="restart"/>
            <w:vAlign w:val="center"/>
          </w:tcPr>
          <w:p>
            <w:pPr>
              <w:pStyle w:val="65"/>
              <w:ind w:firstLine="400"/>
            </w:pPr>
            <w:r>
              <w:rPr>
                <w:rFonts w:hint="eastAsia"/>
              </w:rPr>
              <w:t>2560</w:t>
            </w:r>
          </w:p>
        </w:tc>
        <w:tc>
          <w:tcPr>
            <w:tcW w:w="481" w:type="pct"/>
            <w:vMerge w:val="restart"/>
            <w:vAlign w:val="center"/>
          </w:tcPr>
          <w:p>
            <w:pPr>
              <w:pStyle w:val="65"/>
              <w:ind w:firstLine="400"/>
            </w:pPr>
            <w:r>
              <w:rPr>
                <w:rFonts w:hint="eastAsia"/>
              </w:rPr>
              <w:t>-5650</w:t>
            </w:r>
          </w:p>
        </w:tc>
        <w:tc>
          <w:tcPr>
            <w:tcW w:w="992" w:type="pct"/>
            <w:vAlign w:val="center"/>
          </w:tcPr>
          <w:p>
            <w:pPr>
              <w:pStyle w:val="65"/>
              <w:ind w:firstLine="400"/>
            </w:pPr>
            <w:r>
              <w:t>PM</w:t>
            </w:r>
            <w:r>
              <w:rPr>
                <w:vertAlign w:val="subscript"/>
              </w:rPr>
              <w:t>10</w:t>
            </w:r>
          </w:p>
        </w:tc>
        <w:tc>
          <w:tcPr>
            <w:tcW w:w="916" w:type="pct"/>
            <w:vMerge w:val="restart"/>
            <w:vAlign w:val="center"/>
          </w:tcPr>
          <w:p>
            <w:pPr>
              <w:pStyle w:val="65"/>
              <w:ind w:firstLine="400"/>
            </w:pPr>
            <w:r>
              <w:t>210</w:t>
            </w:r>
          </w:p>
        </w:tc>
        <w:tc>
          <w:tcPr>
            <w:tcW w:w="1125" w:type="pct"/>
            <w:vAlign w:val="center"/>
          </w:tcPr>
          <w:p>
            <w:pPr>
              <w:pStyle w:val="65"/>
              <w:ind w:firstLine="400"/>
            </w:pPr>
            <w: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SO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110.843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NO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27.95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restart"/>
            <w:vAlign w:val="center"/>
          </w:tcPr>
          <w:p>
            <w:pPr>
              <w:pStyle w:val="65"/>
              <w:ind w:firstLine="400"/>
            </w:pPr>
            <w:r>
              <w:t>3#排气筒</w:t>
            </w:r>
          </w:p>
        </w:tc>
        <w:tc>
          <w:tcPr>
            <w:tcW w:w="587" w:type="pct"/>
            <w:vMerge w:val="restart"/>
            <w:vAlign w:val="center"/>
          </w:tcPr>
          <w:p>
            <w:pPr>
              <w:pStyle w:val="65"/>
              <w:ind w:firstLine="400"/>
            </w:pPr>
            <w:r>
              <w:rPr>
                <w:rFonts w:hint="eastAsia"/>
              </w:rPr>
              <w:t>2510</w:t>
            </w:r>
          </w:p>
        </w:tc>
        <w:tc>
          <w:tcPr>
            <w:tcW w:w="481" w:type="pct"/>
            <w:vMerge w:val="restart"/>
            <w:vAlign w:val="center"/>
          </w:tcPr>
          <w:p>
            <w:pPr>
              <w:pStyle w:val="65"/>
              <w:ind w:firstLine="400"/>
            </w:pPr>
            <w:r>
              <w:rPr>
                <w:rFonts w:hint="eastAsia"/>
              </w:rPr>
              <w:t>-5340</w:t>
            </w:r>
          </w:p>
        </w:tc>
        <w:tc>
          <w:tcPr>
            <w:tcW w:w="992" w:type="pct"/>
            <w:vAlign w:val="center"/>
          </w:tcPr>
          <w:p>
            <w:pPr>
              <w:pStyle w:val="65"/>
              <w:ind w:firstLine="400"/>
            </w:pPr>
            <w:r>
              <w:t>PM</w:t>
            </w:r>
            <w:r>
              <w:rPr>
                <w:vertAlign w:val="subscript"/>
              </w:rPr>
              <w:t>10</w:t>
            </w:r>
          </w:p>
        </w:tc>
        <w:tc>
          <w:tcPr>
            <w:tcW w:w="916" w:type="pct"/>
            <w:vMerge w:val="restart"/>
            <w:vAlign w:val="center"/>
          </w:tcPr>
          <w:p>
            <w:pPr>
              <w:pStyle w:val="65"/>
              <w:ind w:firstLine="400"/>
            </w:pPr>
            <w:r>
              <w:t>210</w:t>
            </w:r>
          </w:p>
        </w:tc>
        <w:tc>
          <w:tcPr>
            <w:tcW w:w="1125" w:type="pct"/>
            <w:vAlign w:val="center"/>
          </w:tcPr>
          <w:p>
            <w:pPr>
              <w:pStyle w:val="65"/>
              <w:ind w:firstLine="400"/>
            </w:pPr>
            <w: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SO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pct"/>
            <w:vMerge w:val="continue"/>
            <w:vAlign w:val="center"/>
          </w:tcPr>
          <w:p>
            <w:pPr>
              <w:pStyle w:val="65"/>
              <w:ind w:firstLine="400"/>
            </w:pPr>
          </w:p>
        </w:tc>
        <w:tc>
          <w:tcPr>
            <w:tcW w:w="587" w:type="pct"/>
            <w:vMerge w:val="continue"/>
            <w:vAlign w:val="center"/>
          </w:tcPr>
          <w:p>
            <w:pPr>
              <w:pStyle w:val="65"/>
              <w:ind w:firstLine="400"/>
            </w:pPr>
          </w:p>
        </w:tc>
        <w:tc>
          <w:tcPr>
            <w:tcW w:w="481" w:type="pct"/>
            <w:vMerge w:val="continue"/>
            <w:vAlign w:val="center"/>
          </w:tcPr>
          <w:p>
            <w:pPr>
              <w:pStyle w:val="65"/>
              <w:ind w:firstLine="400"/>
            </w:pPr>
          </w:p>
        </w:tc>
        <w:tc>
          <w:tcPr>
            <w:tcW w:w="992" w:type="pct"/>
            <w:vAlign w:val="center"/>
          </w:tcPr>
          <w:p>
            <w:pPr>
              <w:pStyle w:val="65"/>
              <w:ind w:firstLine="400"/>
            </w:pPr>
            <w:r>
              <w:t>NO</w:t>
            </w:r>
            <w:r>
              <w:rPr>
                <w:vertAlign w:val="subscript"/>
              </w:rPr>
              <w:t>2</w:t>
            </w:r>
          </w:p>
        </w:tc>
        <w:tc>
          <w:tcPr>
            <w:tcW w:w="916" w:type="pct"/>
            <w:vMerge w:val="continue"/>
            <w:vAlign w:val="center"/>
          </w:tcPr>
          <w:p>
            <w:pPr>
              <w:pStyle w:val="65"/>
              <w:ind w:firstLine="400"/>
            </w:pPr>
          </w:p>
        </w:tc>
        <w:tc>
          <w:tcPr>
            <w:tcW w:w="1125" w:type="pct"/>
            <w:vAlign w:val="center"/>
          </w:tcPr>
          <w:p>
            <w:pPr>
              <w:pStyle w:val="65"/>
              <w:ind w:firstLine="400"/>
            </w:pPr>
            <w:r>
              <w:t>57.78</w:t>
            </w:r>
          </w:p>
        </w:tc>
      </w:tr>
    </w:tbl>
    <w:p>
      <w:pPr>
        <w:ind w:firstLine="480"/>
      </w:pPr>
      <w:r>
        <w:rPr>
          <w:rFonts w:hint="eastAsia"/>
        </w:rPr>
        <w:t>（4）项目物料及产品运输新增污染源影响分析</w:t>
      </w:r>
    </w:p>
    <w:p>
      <w:pPr>
        <w:ind w:firstLine="480"/>
      </w:pPr>
      <w:r>
        <w:rPr>
          <w:rFonts w:hint="eastAsia"/>
        </w:rPr>
        <w:t>拟建项目属于改扩建项目，现有厂区位于长寿经开区内，主要原料均由周边相关企业供应。项目厂外运输主要方式为陆地车辆运输，依托园区现有社会力量满足本项目运输需求，厂内主要为管道输送或叉车。拟建项目的实施对区域交通流量影响不明显，不会新增交通运输移动源的污染物排放量。</w:t>
      </w:r>
    </w:p>
    <w:p>
      <w:pPr>
        <w:pStyle w:val="5"/>
        <w:spacing w:before="163" w:after="163"/>
      </w:pPr>
      <w:r>
        <w:rPr>
          <w:rFonts w:hint="eastAsia"/>
        </w:rPr>
        <w:t>5.2.1.6项目新增污染源贡献影响情况</w:t>
      </w:r>
    </w:p>
    <w:p>
      <w:pPr>
        <w:ind w:firstLine="480"/>
      </w:pPr>
      <w:r>
        <w:rPr>
          <w:rFonts w:hint="eastAsia"/>
        </w:rPr>
        <w:t>正常工况下，本项目新增污染源排放污染物的贡献情况预测结果见表5.2-12。</w:t>
      </w:r>
    </w:p>
    <w:p>
      <w:pPr>
        <w:pStyle w:val="41"/>
      </w:pPr>
      <w:r>
        <w:rPr>
          <w:rFonts w:hint="eastAsia"/>
        </w:rPr>
        <w:t>表5.2-12  项目新增污染源最大地面浓度预测结果</w:t>
      </w:r>
    </w:p>
    <w:tbl>
      <w:tblPr>
        <w:tblStyle w:val="33"/>
        <w:tblW w:w="5000" w:type="pct"/>
        <w:tblInd w:w="0" w:type="dxa"/>
        <w:tblLayout w:type="fixed"/>
        <w:tblCellMar>
          <w:top w:w="0" w:type="dxa"/>
          <w:left w:w="108" w:type="dxa"/>
          <w:bottom w:w="0" w:type="dxa"/>
          <w:right w:w="108" w:type="dxa"/>
        </w:tblCellMar>
      </w:tblPr>
      <w:tblGrid>
        <w:gridCol w:w="480"/>
        <w:gridCol w:w="1190"/>
        <w:gridCol w:w="1130"/>
        <w:gridCol w:w="849"/>
        <w:gridCol w:w="1133"/>
        <w:gridCol w:w="994"/>
        <w:gridCol w:w="994"/>
        <w:gridCol w:w="849"/>
        <w:gridCol w:w="903"/>
      </w:tblGrid>
      <w:tr>
        <w:tblPrEx>
          <w:tblCellMar>
            <w:top w:w="0" w:type="dxa"/>
            <w:left w:w="108" w:type="dxa"/>
            <w:bottom w:w="0" w:type="dxa"/>
            <w:right w:w="108" w:type="dxa"/>
          </w:tblCellMar>
        </w:tblPrEx>
        <w:trPr>
          <w:trHeight w:val="270" w:hRule="atLeast"/>
        </w:trPr>
        <w:tc>
          <w:tcPr>
            <w:tcW w:w="282"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序号</w:t>
            </w:r>
          </w:p>
        </w:tc>
        <w:tc>
          <w:tcPr>
            <w:tcW w:w="698"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点名称</w:t>
            </w:r>
          </w:p>
        </w:tc>
        <w:tc>
          <w:tcPr>
            <w:tcW w:w="663"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点坐标</w:t>
            </w:r>
          </w:p>
        </w:tc>
        <w:tc>
          <w:tcPr>
            <w:tcW w:w="498"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浓度</w:t>
            </w:r>
          </w:p>
          <w:p>
            <w:pPr>
              <w:pStyle w:val="65"/>
              <w:ind w:firstLine="360"/>
              <w:rPr>
                <w:sz w:val="18"/>
                <w:szCs w:val="18"/>
              </w:rPr>
            </w:pPr>
            <w:r>
              <w:rPr>
                <w:rFonts w:hint="eastAsia"/>
                <w:sz w:val="18"/>
                <w:szCs w:val="18"/>
              </w:rPr>
              <w:t>类型</w:t>
            </w:r>
          </w:p>
        </w:tc>
        <w:tc>
          <w:tcPr>
            <w:tcW w:w="665"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浓度增量(mg/m</w:t>
            </w:r>
            <w:r>
              <w:rPr>
                <w:rFonts w:hint="eastAsia"/>
                <w:sz w:val="18"/>
                <w:szCs w:val="18"/>
                <w:vertAlign w:val="superscript"/>
              </w:rPr>
              <w:t>3</w:t>
            </w:r>
            <w:r>
              <w:rPr>
                <w:rFonts w:hint="eastAsia"/>
                <w:sz w:val="18"/>
                <w:szCs w:val="18"/>
              </w:rPr>
              <w:t>)</w:t>
            </w:r>
          </w:p>
        </w:tc>
        <w:tc>
          <w:tcPr>
            <w:tcW w:w="583"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出现时间(YYMM</w:t>
            </w:r>
          </w:p>
          <w:p>
            <w:pPr>
              <w:pStyle w:val="65"/>
              <w:ind w:firstLine="360"/>
              <w:rPr>
                <w:sz w:val="18"/>
                <w:szCs w:val="18"/>
              </w:rPr>
            </w:pPr>
            <w:r>
              <w:rPr>
                <w:rFonts w:hint="eastAsia"/>
                <w:sz w:val="18"/>
                <w:szCs w:val="18"/>
              </w:rPr>
              <w:t>DDHH)</w:t>
            </w:r>
          </w:p>
        </w:tc>
        <w:tc>
          <w:tcPr>
            <w:tcW w:w="583"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评价标准</w:t>
            </w:r>
          </w:p>
          <w:p>
            <w:pPr>
              <w:pStyle w:val="65"/>
              <w:ind w:firstLine="360"/>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98"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占标率</w:t>
            </w:r>
          </w:p>
          <w:p>
            <w:pPr>
              <w:pStyle w:val="65"/>
              <w:ind w:firstLine="360"/>
              <w:rPr>
                <w:sz w:val="18"/>
                <w:szCs w:val="18"/>
              </w:rPr>
            </w:pPr>
            <w:r>
              <w:rPr>
                <w:rFonts w:hint="eastAsia"/>
                <w:sz w:val="18"/>
                <w:szCs w:val="18"/>
              </w:rPr>
              <w:t>%</w:t>
            </w:r>
          </w:p>
        </w:tc>
        <w:tc>
          <w:tcPr>
            <w:tcW w:w="529" w:type="pct"/>
            <w:tcBorders>
              <w:top w:val="single" w:color="auto" w:sz="4" w:space="0"/>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是否</w:t>
            </w:r>
          </w:p>
          <w:p>
            <w:pPr>
              <w:pStyle w:val="65"/>
              <w:ind w:firstLine="360"/>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5000" w:type="pct"/>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SO</w:t>
            </w:r>
            <w:r>
              <w:rPr>
                <w:rFonts w:hint="eastAsia"/>
                <w:b/>
                <w:sz w:val="18"/>
                <w:szCs w:val="18"/>
                <w:vertAlign w:val="subscript"/>
              </w:rPr>
              <w:t>2</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2.21E-05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2.02E-06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3.17E-04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3.15E-06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2.86E-04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19082407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1.75E-05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1.68E-06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w:t>
            </w:r>
          </w:p>
          <w:p>
            <w:pPr>
              <w:pStyle w:val="65"/>
              <w:ind w:firstLine="360"/>
              <w:rPr>
                <w:sz w:val="18"/>
                <w:szCs w:val="18"/>
              </w:rPr>
            </w:pPr>
            <w:r>
              <w:rPr>
                <w:rFonts w:hint="eastAsia"/>
                <w:sz w:val="18"/>
                <w:szCs w:val="18"/>
              </w:rPr>
              <w:t>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3.98E-04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2.36E-06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2.92E-04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2.17E-05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3.10E-06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3.14E-04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2.61E-05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190707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2.23E-06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w:t>
            </w:r>
          </w:p>
          <w:p>
            <w:pPr>
              <w:pStyle w:val="65"/>
              <w:ind w:firstLine="360"/>
              <w:rPr>
                <w:sz w:val="18"/>
                <w:szCs w:val="18"/>
              </w:rPr>
            </w:pPr>
            <w:r>
              <w:rPr>
                <w:rFonts w:hint="eastAsia"/>
                <w:sz w:val="18"/>
                <w:szCs w:val="18"/>
              </w:rPr>
              <w:t>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2.82E-04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190212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2.49E-06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2.70E-04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1.61E-05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1.61E-06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3.15E-04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3.17E-06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7.40E-03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19082504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1.48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8.25E-04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191130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0.55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1.42E-04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0.24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5000" w:type="pct"/>
            <w:gridSpan w:val="9"/>
            <w:tcBorders>
              <w:top w:val="nil"/>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NOx</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6.11E-03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2.44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4.77E-03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4.30E-03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19082407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2.63E-04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0.26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w:t>
            </w:r>
          </w:p>
          <w:p>
            <w:pPr>
              <w:pStyle w:val="65"/>
              <w:ind w:firstLine="360"/>
              <w:rPr>
                <w:sz w:val="18"/>
                <w:szCs w:val="18"/>
              </w:rPr>
            </w:pPr>
            <w:r>
              <w:rPr>
                <w:rFonts w:hint="eastAsia"/>
                <w:sz w:val="18"/>
                <w:szCs w:val="18"/>
              </w:rPr>
              <w:t>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5.99E-03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3.55E-05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4.39E-03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3.27E-04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4.66E-05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w:t>
            </w:r>
          </w:p>
          <w:p>
            <w:pPr>
              <w:pStyle w:val="65"/>
              <w:ind w:firstLine="360"/>
              <w:rPr>
                <w:sz w:val="18"/>
                <w:szCs w:val="18"/>
              </w:rPr>
            </w:pPr>
            <w:r>
              <w:rPr>
                <w:rFonts w:hint="eastAsia"/>
                <w:sz w:val="18"/>
                <w:szCs w:val="18"/>
              </w:rPr>
              <w:t>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4.73E-03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1.89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3.93E-04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190707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3.36E-05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w:t>
            </w:r>
          </w:p>
          <w:p>
            <w:pPr>
              <w:pStyle w:val="65"/>
              <w:ind w:firstLine="360"/>
              <w:rPr>
                <w:sz w:val="18"/>
                <w:szCs w:val="18"/>
              </w:rPr>
            </w:pPr>
            <w:r>
              <w:rPr>
                <w:rFonts w:hint="eastAsia"/>
                <w:sz w:val="18"/>
                <w:szCs w:val="18"/>
              </w:rPr>
              <w:t>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4.24E-03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4.84E-04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190212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0.48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3.75E-05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4.07E-03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2.42E-04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0.24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2.43E-05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4.75E-03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0.35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4.77E-05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1.11E-01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19082504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44.57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1.24E-02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191130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12.43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2.15E-03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4.29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5000" w:type="pct"/>
            <w:gridSpan w:val="9"/>
            <w:tcBorders>
              <w:top w:val="nil"/>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PM</w:t>
            </w:r>
            <w:r>
              <w:rPr>
                <w:rFonts w:hint="eastAsia"/>
                <w:b/>
                <w:sz w:val="18"/>
                <w:szCs w:val="18"/>
                <w:vertAlign w:val="subscript"/>
              </w:rPr>
              <w:t>10</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8.14E-04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4.43E-05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4.05E-06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6.36E-04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4.66E-05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6.32E-06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5.73E-04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19082407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3.38E-06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7.99E-04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4.48E-05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4.73E-06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5.86E-04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4.35E-05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6.21E-06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6.30E-04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5.24E-05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190707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4.47E-06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5.65E-04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6.46E-05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190212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5.00E-06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5.42E-04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3.24E-06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6.33E-04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4.67E-05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6.36E-06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1.49E-02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19082504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1.66E-03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191130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1.50E-01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2.86E-04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7.00E-02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0.41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5000" w:type="pct"/>
            <w:gridSpan w:val="9"/>
            <w:tcBorders>
              <w:top w:val="nil"/>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NH</w:t>
            </w:r>
            <w:r>
              <w:rPr>
                <w:rFonts w:hint="eastAsia"/>
                <w:b/>
                <w:sz w:val="18"/>
                <w:szCs w:val="18"/>
                <w:vertAlign w:val="subscript"/>
              </w:rPr>
              <w:t>3</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1.32E-02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19062402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6.62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6.52E-04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191213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0.97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2.30E-05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1.19E-03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19012517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0.59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6.24E-06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1.15E-03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19110219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0.58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8.69E-05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190317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3.83E-06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5.80E-03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19103104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3.25E-04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191031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0.48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8.50E-06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1.19E-03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19012517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7.32E-05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191214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6.61E-06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1.39E-02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19032503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6.97</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6.86E-04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190101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2.07E-05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1.78E-03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0.89</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190718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7.25E-06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1.06E-03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19042122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0.53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8.08E-05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3.33E-06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1.19E-03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19012517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0.6</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7.40E-05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6.26E-06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-300,-600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7.28E-02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19092803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36.41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-300,-600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1.09E-02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16.21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-300,-600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8.42E-04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2.55</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5000" w:type="pct"/>
            <w:gridSpan w:val="9"/>
            <w:tcBorders>
              <w:top w:val="nil"/>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PM</w:t>
            </w:r>
            <w:r>
              <w:rPr>
                <w:rFonts w:hint="eastAsia"/>
                <w:b/>
                <w:sz w:val="18"/>
                <w:szCs w:val="18"/>
                <w:vertAlign w:val="subscript"/>
              </w:rPr>
              <w:t>2.5</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4.07E-04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2.03E-06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3.18E-04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3.16E-06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2.87E-04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19082407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1.75E-05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1.69E-06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3.99E-04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0.18</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2.36E-06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2.93E-04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2.18E-05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3.11E-06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3.15E-04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2.62E-05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190707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2.24E-06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2.83E-04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3.23E-05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190212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2.71E-04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1.61E-05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0.02</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1.62E-06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3.16E-04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0.14</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2.33E-05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3.18E-06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7.43E-03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19082504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2.25E-01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8.28E-04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191130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-400,-1100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1.43E-04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0.41</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5000" w:type="pct"/>
            <w:gridSpan w:val="9"/>
            <w:tcBorders>
              <w:top w:val="nil"/>
              <w:left w:val="single" w:color="auto" w:sz="4" w:space="0"/>
              <w:bottom w:val="single" w:color="auto" w:sz="4" w:space="0"/>
              <w:right w:val="single" w:color="auto" w:sz="4" w:space="0"/>
            </w:tcBorders>
            <w:shd w:val="clear" w:color="auto" w:fill="auto"/>
            <w:noWrap/>
            <w:vAlign w:val="center"/>
          </w:tcPr>
          <w:p>
            <w:pPr>
              <w:pStyle w:val="65"/>
              <w:ind w:firstLine="361"/>
              <w:rPr>
                <w:b/>
                <w:sz w:val="18"/>
                <w:szCs w:val="18"/>
              </w:rPr>
            </w:pPr>
            <w:r>
              <w:rPr>
                <w:rFonts w:hint="eastAsia"/>
                <w:b/>
                <w:sz w:val="18"/>
                <w:szCs w:val="18"/>
              </w:rPr>
              <w:t>非甲烷总烃</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晏家街道</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2276,-1218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6.10E-07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19051107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190511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长寿经开区管委会</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1937,-627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晏家中学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2124,-1907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4.80E-07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19082407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190124</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4</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晏家实验小学</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2509,-773</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5.60E-07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泓原医院</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2112,-568</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6.10E-07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19060806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190608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龙口村居民点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-7,742,441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1.35E-06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190922</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观双村居民点</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7,272,447</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1.85E-06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190113</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8</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A8云天化聚甲醛项目位置附近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1600,-2802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3.50E-07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190911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9</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A4管委会办公区对面附近</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1931,-622</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7.40E-07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19123109</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3.00E-08</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191231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0.00E+00</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网格</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-200,-200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1小时</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1.84E-05</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19061906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2.00E+00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日平均</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1.72E-06</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190521</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6.70E-01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82" w:type="pct"/>
            <w:tcBorders>
              <w:top w:val="nil"/>
              <w:left w:val="single" w:color="auto" w:sz="4" w:space="0"/>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　</w:t>
            </w:r>
          </w:p>
        </w:tc>
        <w:tc>
          <w:tcPr>
            <w:tcW w:w="66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-100,-100</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全时段</w:t>
            </w:r>
          </w:p>
        </w:tc>
        <w:tc>
          <w:tcPr>
            <w:tcW w:w="665"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5.70E-07</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平均值</w:t>
            </w:r>
          </w:p>
        </w:tc>
        <w:tc>
          <w:tcPr>
            <w:tcW w:w="583"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3.30E-01</w:t>
            </w:r>
          </w:p>
        </w:tc>
        <w:tc>
          <w:tcPr>
            <w:tcW w:w="498"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0</w:t>
            </w:r>
          </w:p>
        </w:tc>
        <w:tc>
          <w:tcPr>
            <w:tcW w:w="529" w:type="pct"/>
            <w:tcBorders>
              <w:top w:val="nil"/>
              <w:left w:val="nil"/>
              <w:bottom w:val="single" w:color="auto" w:sz="4" w:space="0"/>
              <w:right w:val="single" w:color="auto" w:sz="4" w:space="0"/>
            </w:tcBorders>
            <w:shd w:val="clear" w:color="auto" w:fill="auto"/>
            <w:noWrap/>
            <w:vAlign w:val="center"/>
          </w:tcPr>
          <w:p>
            <w:pPr>
              <w:pStyle w:val="65"/>
              <w:ind w:firstLine="360"/>
              <w:rPr>
                <w:sz w:val="18"/>
                <w:szCs w:val="18"/>
              </w:rPr>
            </w:pPr>
            <w:r>
              <w:rPr>
                <w:rFonts w:hint="eastAsia"/>
                <w:sz w:val="18"/>
                <w:szCs w:val="18"/>
              </w:rPr>
              <w:t>达标</w:t>
            </w:r>
          </w:p>
        </w:tc>
      </w:tr>
    </w:tbl>
    <w:p>
      <w:pPr>
        <w:ind w:firstLine="480"/>
      </w:pPr>
      <w:r>
        <w:rPr>
          <w:rFonts w:hint="eastAsia"/>
        </w:rPr>
        <w:t>拟建项目正常工况下，预测新增污染源排放主要污染物SO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和非甲烷总烃，在各环境保护目标和网格点的短期浓度和年均浓度贡献值，结果表明：</w:t>
      </w:r>
    </w:p>
    <w:p>
      <w:pPr>
        <w:ind w:firstLine="480"/>
      </w:pPr>
      <w:r>
        <w:rPr>
          <w:rFonts w:hint="eastAsia"/>
        </w:rPr>
        <w:t>（1）短期浓度</w:t>
      </w:r>
    </w:p>
    <w:p>
      <w:pPr>
        <w:ind w:firstLine="480"/>
      </w:pPr>
      <w:r>
        <w:rPr>
          <w:rFonts w:hint="eastAsia"/>
        </w:rPr>
        <w:t>拟建项目新增污染物SO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和非甲烷总烃在评价范围内各环境保护目标和网格点最大1h平均质量浓度占标率分别为：1.48%、44.57%、3.3%、3.3%、36.41%和0。</w:t>
      </w:r>
    </w:p>
    <w:p>
      <w:pPr>
        <w:ind w:firstLine="480"/>
      </w:pPr>
      <w:r>
        <w:rPr>
          <w:rFonts w:hint="eastAsia"/>
        </w:rPr>
        <w:t>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和非甲烷总烃在评价范围内各环境保护目标和网格点最大日均质量浓度占标率分别为：0.55%、12.43%、1.1%、1.1%、16.21%和0%</w:t>
      </w:r>
    </w:p>
    <w:p>
      <w:pPr>
        <w:ind w:firstLine="480"/>
      </w:pPr>
      <w:r>
        <w:rPr>
          <w:rFonts w:hint="eastAsia"/>
        </w:rPr>
        <w:t>各污染物在评价范围内各环境空气保护目标和网格点处的1h平均质量浓度以及日均质量浓度均达标。</w:t>
      </w:r>
    </w:p>
    <w:p>
      <w:pPr>
        <w:ind w:firstLine="480"/>
      </w:pPr>
      <w:r>
        <w:rPr>
          <w:rFonts w:hint="eastAsia"/>
        </w:rPr>
        <w:t>因此，上述污染物短期浓度贡献值的最大浓度占标率均≤100%，均满足相应的环境质量标准要求。</w:t>
      </w:r>
    </w:p>
    <w:p>
      <w:pPr>
        <w:ind w:firstLine="480"/>
      </w:pPr>
      <w:r>
        <w:rPr>
          <w:rFonts w:hint="eastAsia"/>
        </w:rPr>
        <w:t>（2）年均浓度</w:t>
      </w:r>
    </w:p>
    <w:p>
      <w:pPr>
        <w:ind w:firstLine="480"/>
      </w:pPr>
      <w:r>
        <w:rPr>
          <w:rFonts w:hint="eastAsia"/>
        </w:rPr>
        <w:t>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和非甲烷总烃的各网格点年平均质量浓度占标率分别为：0.24%、4.29%、0.41%、0.41%、2.55%和0。</w:t>
      </w:r>
    </w:p>
    <w:p>
      <w:pPr>
        <w:ind w:firstLine="480"/>
      </w:pPr>
      <w:r>
        <w:rPr>
          <w:rFonts w:hint="eastAsia"/>
        </w:rPr>
        <w:t>各污染物在评价范围内各环境空气保护目标和网格点处的年均质量浓度均为达标，且占标率均小于30%。</w:t>
      </w:r>
    </w:p>
    <w:p>
      <w:pPr>
        <w:ind w:firstLine="480"/>
      </w:pPr>
      <w:r>
        <w:rPr>
          <w:rFonts w:hint="eastAsia"/>
        </w:rPr>
        <w:t>因此，上述污染物年均浓度贡献值的最大浓度占标率均≤30%，均满足相应的环境质量标准要求。</w:t>
      </w:r>
    </w:p>
    <w:p>
      <w:pPr>
        <w:pStyle w:val="5"/>
        <w:spacing w:before="163" w:after="163"/>
      </w:pPr>
      <w:r>
        <w:rPr>
          <w:rFonts w:hint="eastAsia"/>
        </w:rPr>
        <w:t>5.2.1.7项目叠加环境质量现状影响情况</w:t>
      </w:r>
    </w:p>
    <w:p>
      <w:pPr>
        <w:ind w:firstLine="480"/>
      </w:pPr>
      <w:r>
        <w:rPr>
          <w:rFonts w:hint="eastAsia"/>
        </w:rPr>
        <w:t>拟建项目废气叠加影响主要考虑拟建项目新增污染源、区域削减源、环境质量现状监测数据及在建污染源的叠加影响。</w:t>
      </w:r>
    </w:p>
    <w:p>
      <w:pPr>
        <w:ind w:firstLine="480"/>
      </w:pPr>
      <w:r>
        <w:rPr>
          <w:rFonts w:hint="eastAsia"/>
        </w:rPr>
        <w:t>对于SO</w:t>
      </w:r>
      <w:r>
        <w:rPr>
          <w:rFonts w:hint="eastAsia"/>
          <w:vertAlign w:val="subscript"/>
        </w:rPr>
        <w:t>2</w:t>
      </w:r>
      <w:r>
        <w:rPr>
          <w:rFonts w:hint="eastAsia"/>
        </w:rPr>
        <w:t>、NOx、PM</w:t>
      </w:r>
      <w:r>
        <w:rPr>
          <w:rFonts w:hint="eastAsia"/>
          <w:vertAlign w:val="subscript"/>
        </w:rPr>
        <w:t>10</w:t>
      </w:r>
      <w:r>
        <w:rPr>
          <w:rFonts w:hint="eastAsia"/>
        </w:rPr>
        <w:t>等有日保证率的因子，评价其保证率日均浓度和年均浓度叠加影响，对于NH</w:t>
      </w:r>
      <w:r>
        <w:rPr>
          <w:rFonts w:hint="eastAsia"/>
          <w:vertAlign w:val="subscript"/>
        </w:rPr>
        <w:t>3</w:t>
      </w:r>
      <w:r>
        <w:rPr>
          <w:rFonts w:hint="eastAsia"/>
        </w:rPr>
        <w:t>和非甲烷总烃等仅有短期浓度限值的、且仅有补充监测7天监测数据的因子，评价其小时浓度的叠加影响。</w:t>
      </w:r>
    </w:p>
    <w:p>
      <w:pPr>
        <w:ind w:firstLine="480"/>
      </w:pPr>
      <w:r>
        <w:rPr>
          <w:rFonts w:hint="eastAsia"/>
        </w:rPr>
        <w:t>具体预测结果见表5.2-13~表5.2-20。</w:t>
      </w:r>
    </w:p>
    <w:p>
      <w:pPr>
        <w:ind w:firstLine="480"/>
      </w:pPr>
    </w:p>
    <w:p>
      <w:pPr>
        <w:ind w:firstLine="480"/>
        <w:sectPr>
          <w:headerReference r:id="rId35" w:type="first"/>
          <w:footerReference r:id="rId38" w:type="first"/>
          <w:headerReference r:id="rId33" w:type="default"/>
          <w:footerReference r:id="rId36" w:type="default"/>
          <w:headerReference r:id="rId34" w:type="even"/>
          <w:footerReference r:id="rId37" w:type="even"/>
          <w:pgSz w:w="11906" w:h="16838"/>
          <w:pgMar w:top="1440" w:right="1800" w:bottom="1440" w:left="1800" w:header="851" w:footer="992" w:gutter="0"/>
          <w:cols w:space="425" w:num="1"/>
          <w:docGrid w:type="lines" w:linePitch="326" w:charSpace="0"/>
        </w:sectPr>
      </w:pPr>
    </w:p>
    <w:p>
      <w:pPr>
        <w:pStyle w:val="41"/>
      </w:pPr>
      <w:r>
        <w:rPr>
          <w:rFonts w:hint="eastAsia"/>
        </w:rPr>
        <w:t>表5.2-13    SO</w:t>
      </w:r>
      <w:r>
        <w:rPr>
          <w:rFonts w:hint="eastAsia"/>
          <w:vertAlign w:val="subscript"/>
        </w:rPr>
        <w:t>2</w:t>
      </w:r>
      <w:r>
        <w:rPr>
          <w:rFonts w:hint="eastAsia"/>
        </w:rPr>
        <w:t>98%保证率日平均浓度叠加情况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7.46E-05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7.46E-05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0.05</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2.34E-04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2.34E-04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0.16</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3.15E-05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20190117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3.15E-05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0.02</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0.10</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2.13E-04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2.13E-04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0.14</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5.82E-07</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5.82E-07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0.00</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20190115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0.01</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3.05E-05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20191224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3.05E-05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0.02</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2.37E-04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2.37E-04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0.16</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3.64E-03</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3.64E-03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2.43</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bl>
    <w:p>
      <w:pPr>
        <w:pStyle w:val="41"/>
      </w:pPr>
      <w:r>
        <w:rPr>
          <w:rFonts w:hint="eastAsia"/>
        </w:rPr>
        <w:t>表5.2-14    SO</w:t>
      </w:r>
      <w:r>
        <w:rPr>
          <w:rFonts w:hint="eastAsia"/>
          <w:vertAlign w:val="subscript"/>
        </w:rPr>
        <w:t>2</w:t>
      </w:r>
      <w:r>
        <w:rPr>
          <w:rFonts w:hint="eastAsia"/>
        </w:rPr>
        <w:t>年平均浓度叠加情况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7.46E-05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7.46E-05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0.05</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2.34E-04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2.34E-04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0.16</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3.15E-05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20190117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3.15E-05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0.02</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0.10</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2.13E-04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2.13E-04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0.14</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5.82E-07</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5.82E-07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0.00</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20190115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0.01</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3.05E-05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20191224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3.05E-05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0.02</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2.37E-04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2.37E-04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0.16</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3.64E-03</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3.64E-03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2.43</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bl>
    <w:p>
      <w:pPr>
        <w:pStyle w:val="41"/>
      </w:pPr>
      <w:r>
        <w:rPr>
          <w:rFonts w:hint="eastAsia"/>
        </w:rPr>
        <w:t>表5.2-15    NO</w:t>
      </w:r>
      <w:r>
        <w:rPr>
          <w:rFonts w:hint="eastAsia"/>
          <w:vertAlign w:val="subscript"/>
        </w:rPr>
        <w:t>X</w:t>
      </w:r>
      <w:r>
        <w:rPr>
          <w:rFonts w:hint="eastAsia"/>
        </w:rPr>
        <w:t>98%保证率日平均浓度叠加情况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w:t>
            </w:r>
          </w:p>
          <w:p>
            <w:pPr>
              <w:pStyle w:val="42"/>
              <w:rPr>
                <w:sz w:val="18"/>
                <w:szCs w:val="18"/>
              </w:rPr>
            </w:pPr>
            <w:r>
              <w:rPr>
                <w:rFonts w:hint="eastAsia"/>
                <w:sz w:val="18"/>
                <w:szCs w:val="18"/>
              </w:rPr>
              <w:t>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2.72E-04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20190703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2.72E-04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0.27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7.40E-04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7.40E-04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0.74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1.70E-04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1.70E-04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0.17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20190717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0.50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7.06E-04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20190413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7.06E-04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0.71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1.55E-04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20190413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1.55E-04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0.16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1.45E-04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20190209</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1.45E-04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0.15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1.67E-04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20190317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1.67E-04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0.17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7.44E-04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20190717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7.44E-04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0.74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2.72E-04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20190703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2.72E-04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sz w:val="18"/>
                <w:szCs w:val="18"/>
              </w:rPr>
              <w:t>1.00E-01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0.27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bl>
    <w:p>
      <w:pPr>
        <w:pStyle w:val="41"/>
        <w:spacing w:before="120" w:after="120"/>
      </w:pPr>
      <w:r>
        <w:rPr>
          <w:rFonts w:hint="eastAsia"/>
        </w:rPr>
        <w:t>表5.2-16    NO</w:t>
      </w:r>
      <w:r>
        <w:rPr>
          <w:rFonts w:hint="eastAsia"/>
          <w:vertAlign w:val="subscript"/>
        </w:rPr>
        <w:t>x</w:t>
      </w:r>
      <w:r>
        <w:rPr>
          <w:rFonts w:hint="eastAsia"/>
        </w:rPr>
        <w:t>年平均浓度叠加情况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w:t>
            </w:r>
          </w:p>
          <w:p>
            <w:pPr>
              <w:pStyle w:val="42"/>
              <w:rPr>
                <w:sz w:val="18"/>
                <w:szCs w:val="18"/>
              </w:rPr>
            </w:pPr>
            <w:r>
              <w:rPr>
                <w:rFonts w:hint="eastAsia"/>
                <w:sz w:val="18"/>
                <w:szCs w:val="18"/>
              </w:rPr>
              <w:t>后的浓度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-2.70E-05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53.95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7.02E-05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2.71E-02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54.14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-7.31E-05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2.69E-02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53.85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1.78E-05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54.04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6.28E-05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2.71E-02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54.13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-3.38E-06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53.99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-5.01E-06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53.99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-1.15E-04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2.69E-02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53.77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7.14E-05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2.71E-02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54.14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3.89E-03</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3.09E-02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61.78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bl>
    <w:p>
      <w:pPr>
        <w:pStyle w:val="41"/>
      </w:pPr>
      <w:r>
        <w:rPr>
          <w:rFonts w:hint="eastAsia"/>
        </w:rPr>
        <w:t>表5.2-17 PM</w:t>
      </w:r>
      <w:r>
        <w:rPr>
          <w:rFonts w:hint="eastAsia"/>
          <w:vertAlign w:val="subscript"/>
        </w:rPr>
        <w:t>10</w:t>
      </w:r>
      <w:r>
        <w:rPr>
          <w:rFonts w:hint="eastAsia"/>
        </w:rPr>
        <w:t>95%保证率日平均浓度叠加情况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5.54E-05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20191125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5.54E-05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0.04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1.50E-04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1.50E-04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0.10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2.99E-05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2.99E-05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1.07E-04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20190906</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1.07E-04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0.07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1.46E-04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1.46E-04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0.10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2.26E-05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20190430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2.26E-05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2.23E-05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20190209</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2.23E-05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0.01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2.86E-05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20190624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2.86E-05</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0.02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20191118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1.51E-04</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0.10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0,-1200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2.93E-03</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20190113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2.93E-03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1.50E-01</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1.95 </w:t>
            </w:r>
          </w:p>
        </w:tc>
        <w:tc>
          <w:tcPr>
            <w:tcW w:w="311"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达标</w:t>
            </w:r>
          </w:p>
        </w:tc>
      </w:tr>
    </w:tbl>
    <w:p>
      <w:pPr>
        <w:pStyle w:val="41"/>
      </w:pPr>
      <w:r>
        <w:rPr>
          <w:rFonts w:hint="eastAsia"/>
        </w:rPr>
        <w:t>表5.2-18  PM</w:t>
      </w:r>
      <w:r>
        <w:rPr>
          <w:rFonts w:hint="eastAsia"/>
          <w:vertAlign w:val="subscript"/>
        </w:rPr>
        <w:t>10</w:t>
      </w:r>
      <w:r>
        <w:rPr>
          <w:rFonts w:hint="eastAsia"/>
        </w:rPr>
        <w:t>年平均浓度叠加情况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-1.72E-05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81.40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4.71E-06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81.44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-2.90E-05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81.39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-6.59E-06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81.42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3.15E-06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81.43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-8.24E-06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81.42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-9.35E-06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81.42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-4.09E-05</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81.37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4.97E-06</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5.70E-02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81.44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全时段</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1.02E-03</w:t>
            </w:r>
          </w:p>
        </w:tc>
        <w:tc>
          <w:tcPr>
            <w:tcW w:w="546"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平均值</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0.057 </w:t>
            </w:r>
          </w:p>
        </w:tc>
        <w:tc>
          <w:tcPr>
            <w:tcW w:w="63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5.80E-02</w:t>
            </w:r>
          </w:p>
        </w:tc>
        <w:tc>
          <w:tcPr>
            <w:tcW w:w="353"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7.00E-02</w:t>
            </w:r>
          </w:p>
        </w:tc>
        <w:tc>
          <w:tcPr>
            <w:tcW w:w="44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 xml:space="preserve">82.89 </w:t>
            </w:r>
          </w:p>
        </w:tc>
        <w:tc>
          <w:tcPr>
            <w:tcW w:w="3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bl>
    <w:p>
      <w:pPr>
        <w:pStyle w:val="41"/>
      </w:pPr>
      <w:r>
        <w:rPr>
          <w:rFonts w:hint="eastAsia"/>
        </w:rPr>
        <w:t>表5.2-19  NH</w:t>
      </w:r>
      <w:r>
        <w:rPr>
          <w:rFonts w:hint="eastAsia"/>
          <w:vertAlign w:val="subscript"/>
        </w:rPr>
        <w:t>3</w:t>
      </w:r>
      <w:r>
        <w:rPr>
          <w:rFonts w:hint="eastAsia"/>
        </w:rPr>
        <w:t>小时平均浓度叠加情况</w:t>
      </w:r>
    </w:p>
    <w:tbl>
      <w:tblPr>
        <w:tblStyle w:val="33"/>
        <w:tblW w:w="5000" w:type="pct"/>
        <w:tblInd w:w="0" w:type="dxa"/>
        <w:tblLayout w:type="fixed"/>
        <w:tblCellMar>
          <w:top w:w="0" w:type="dxa"/>
          <w:left w:w="108" w:type="dxa"/>
          <w:bottom w:w="0" w:type="dxa"/>
          <w:right w:w="108" w:type="dxa"/>
        </w:tblCellMar>
      </w:tblPr>
      <w:tblGrid>
        <w:gridCol w:w="608"/>
        <w:gridCol w:w="2619"/>
        <w:gridCol w:w="1477"/>
        <w:gridCol w:w="1001"/>
        <w:gridCol w:w="1001"/>
        <w:gridCol w:w="1548"/>
        <w:gridCol w:w="1001"/>
        <w:gridCol w:w="1786"/>
        <w:gridCol w:w="1001"/>
        <w:gridCol w:w="1250"/>
        <w:gridCol w:w="882"/>
      </w:tblGrid>
      <w:tr>
        <w:tblPrEx>
          <w:tblCellMar>
            <w:top w:w="0" w:type="dxa"/>
            <w:left w:w="108" w:type="dxa"/>
            <w:bottom w:w="0" w:type="dxa"/>
            <w:right w:w="108" w:type="dxa"/>
          </w:tblCellMar>
        </w:tblPrEx>
        <w:trPr>
          <w:trHeight w:val="270" w:hRule="atLeast"/>
        </w:trPr>
        <w:tc>
          <w:tcPr>
            <w:tcW w:w="21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p>
            <w:pPr>
              <w:pStyle w:val="42"/>
              <w:rPr>
                <w:sz w:val="18"/>
                <w:szCs w:val="18"/>
              </w:rPr>
            </w:pPr>
            <w:r>
              <w:rPr>
                <w:rFonts w:hint="eastAsia"/>
                <w:sz w:val="18"/>
                <w:szCs w:val="18"/>
              </w:rPr>
              <w:t>(x或r,y或a)</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46"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(YYMMDDHH)</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背景浓度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3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叠加背景后</w:t>
            </w:r>
          </w:p>
          <w:p>
            <w:pPr>
              <w:pStyle w:val="42"/>
              <w:rPr>
                <w:sz w:val="18"/>
                <w:szCs w:val="18"/>
              </w:rPr>
            </w:pPr>
            <w:r>
              <w:rPr>
                <w:rFonts w:hint="eastAsia"/>
                <w:sz w:val="18"/>
                <w:szCs w:val="18"/>
              </w:rPr>
              <w:t>的浓度</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53"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4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p>
            <w:pPr>
              <w:pStyle w:val="42"/>
              <w:rPr>
                <w:sz w:val="18"/>
                <w:szCs w:val="18"/>
              </w:rPr>
            </w:pPr>
            <w:r>
              <w:rPr>
                <w:rFonts w:hint="eastAsia"/>
                <w:sz w:val="18"/>
                <w:szCs w:val="18"/>
              </w:rPr>
              <w:t>(叠加背景</w:t>
            </w:r>
          </w:p>
          <w:p>
            <w:pPr>
              <w:pStyle w:val="42"/>
              <w:rPr>
                <w:sz w:val="18"/>
                <w:szCs w:val="18"/>
              </w:rPr>
            </w:pPr>
            <w:r>
              <w:rPr>
                <w:rFonts w:hint="eastAsia"/>
                <w:sz w:val="18"/>
                <w:szCs w:val="18"/>
              </w:rPr>
              <w:t>以后)</w:t>
            </w:r>
          </w:p>
        </w:tc>
        <w:tc>
          <w:tcPr>
            <w:tcW w:w="311"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1.32E-02</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19062402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7.28E-02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36.42</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8.50E-03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19090803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6.81E-02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34.05</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7.59E-03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19072103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6.72E-02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33.59</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7.22E-03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19090223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6.68E-02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33.41</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8.21E-03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19090803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6.78E-02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33.91</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1.39E-02</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19032503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7.35E-02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36.77</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24"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5.38E-03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19100323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6.50E-02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32.49</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A8云天化聚甲醛项目位置附近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1600,-2802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6.64E-03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19082706</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6.62E-02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33.12</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9</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A4管委会办公区对面附近</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1931,-622</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8.56E-03</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19090803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6.82E-02</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34.08</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4"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10</w:t>
            </w:r>
          </w:p>
        </w:tc>
        <w:tc>
          <w:tcPr>
            <w:tcW w:w="9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52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-100,-1100</w:t>
            </w:r>
          </w:p>
        </w:tc>
        <w:tc>
          <w:tcPr>
            <w:tcW w:w="353"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日平均</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9.01E-02</w:t>
            </w:r>
          </w:p>
        </w:tc>
        <w:tc>
          <w:tcPr>
            <w:tcW w:w="546"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19082403</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5.96E-02</w:t>
            </w:r>
          </w:p>
        </w:tc>
        <w:tc>
          <w:tcPr>
            <w:tcW w:w="630"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3.15E-01</w:t>
            </w:r>
          </w:p>
        </w:tc>
        <w:tc>
          <w:tcPr>
            <w:tcW w:w="353"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2.00E-01</w:t>
            </w:r>
          </w:p>
        </w:tc>
        <w:tc>
          <w:tcPr>
            <w:tcW w:w="44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74.9</w:t>
            </w:r>
          </w:p>
        </w:tc>
        <w:tc>
          <w:tcPr>
            <w:tcW w:w="311" w:type="pct"/>
            <w:tcBorders>
              <w:top w:val="nil"/>
              <w:left w:val="nil"/>
              <w:bottom w:val="single" w:color="auto" w:sz="4" w:space="0"/>
              <w:right w:val="single" w:color="auto" w:sz="4" w:space="0"/>
            </w:tcBorders>
            <w:shd w:val="clear" w:color="auto" w:fill="auto"/>
            <w:noWrap/>
          </w:tcPr>
          <w:p>
            <w:pPr>
              <w:pStyle w:val="42"/>
              <w:rPr>
                <w:sz w:val="18"/>
                <w:szCs w:val="18"/>
              </w:rPr>
            </w:pPr>
            <w:r>
              <w:rPr>
                <w:rFonts w:hint="eastAsia"/>
                <w:sz w:val="18"/>
                <w:szCs w:val="18"/>
              </w:rPr>
              <w:t>达标</w:t>
            </w:r>
          </w:p>
        </w:tc>
      </w:tr>
    </w:tbl>
    <w:p>
      <w:pPr>
        <w:pStyle w:val="41"/>
      </w:pPr>
      <w:r>
        <w:rPr>
          <w:rFonts w:hint="eastAsia"/>
        </w:rPr>
        <w:t>表5.2-20  非甲烷总烃小时平均浓度叠加情况</w:t>
      </w:r>
    </w:p>
    <w:tbl>
      <w:tblPr>
        <w:tblStyle w:val="33"/>
        <w:tblW w:w="5083" w:type="pct"/>
        <w:tblInd w:w="0" w:type="dxa"/>
        <w:tblLayout w:type="fixed"/>
        <w:tblCellMar>
          <w:top w:w="0" w:type="dxa"/>
          <w:left w:w="108" w:type="dxa"/>
          <w:bottom w:w="0" w:type="dxa"/>
          <w:right w:w="108" w:type="dxa"/>
        </w:tblCellMar>
      </w:tblPr>
      <w:tblGrid>
        <w:gridCol w:w="607"/>
        <w:gridCol w:w="2620"/>
        <w:gridCol w:w="1478"/>
        <w:gridCol w:w="1000"/>
        <w:gridCol w:w="1000"/>
        <w:gridCol w:w="1548"/>
        <w:gridCol w:w="1236"/>
        <w:gridCol w:w="1787"/>
        <w:gridCol w:w="1000"/>
        <w:gridCol w:w="1251"/>
        <w:gridCol w:w="882"/>
      </w:tblGrid>
      <w:tr>
        <w:tblPrEx>
          <w:tblCellMar>
            <w:top w:w="0" w:type="dxa"/>
            <w:left w:w="108" w:type="dxa"/>
            <w:bottom w:w="0" w:type="dxa"/>
            <w:right w:w="108" w:type="dxa"/>
          </w:tblCellMar>
        </w:tblPrEx>
        <w:trPr>
          <w:trHeight w:val="270" w:hRule="atLeast"/>
        </w:trPr>
        <w:tc>
          <w:tcPr>
            <w:tcW w:w="21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序号</w:t>
            </w:r>
          </w:p>
        </w:tc>
        <w:tc>
          <w:tcPr>
            <w:tcW w:w="909"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点名称</w:t>
            </w:r>
          </w:p>
        </w:tc>
        <w:tc>
          <w:tcPr>
            <w:tcW w:w="513"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点坐标</w:t>
            </w:r>
          </w:p>
          <w:p>
            <w:pPr>
              <w:pStyle w:val="42"/>
              <w:spacing w:line="300" w:lineRule="exact"/>
              <w:rPr>
                <w:sz w:val="18"/>
                <w:szCs w:val="18"/>
              </w:rPr>
            </w:pPr>
            <w:r>
              <w:rPr>
                <w:rFonts w:hint="eastAsia"/>
                <w:sz w:val="18"/>
                <w:szCs w:val="18"/>
              </w:rPr>
              <w:t>(x或r,y或a)</w:t>
            </w:r>
          </w:p>
        </w:tc>
        <w:tc>
          <w:tcPr>
            <w:tcW w:w="347"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浓度类型</w:t>
            </w:r>
          </w:p>
        </w:tc>
        <w:tc>
          <w:tcPr>
            <w:tcW w:w="347"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浓度</w:t>
            </w:r>
          </w:p>
          <w:p>
            <w:pPr>
              <w:pStyle w:val="42"/>
              <w:spacing w:line="300" w:lineRule="exact"/>
              <w:rPr>
                <w:sz w:val="18"/>
                <w:szCs w:val="18"/>
              </w:rPr>
            </w:pPr>
            <w:r>
              <w:rPr>
                <w:rFonts w:hint="eastAsia"/>
                <w:sz w:val="18"/>
                <w:szCs w:val="18"/>
              </w:rPr>
              <w:t>增量</w:t>
            </w:r>
          </w:p>
          <w:p>
            <w:pPr>
              <w:pStyle w:val="42"/>
              <w:spacing w:line="300" w:lineRule="exact"/>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37"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出现时间</w:t>
            </w:r>
          </w:p>
          <w:p>
            <w:pPr>
              <w:pStyle w:val="42"/>
              <w:spacing w:line="300" w:lineRule="exact"/>
              <w:rPr>
                <w:sz w:val="18"/>
                <w:szCs w:val="18"/>
              </w:rPr>
            </w:pPr>
            <w:r>
              <w:rPr>
                <w:rFonts w:hint="eastAsia"/>
                <w:sz w:val="18"/>
                <w:szCs w:val="18"/>
              </w:rPr>
              <w:t>(YYMMDDHH)</w:t>
            </w:r>
          </w:p>
        </w:tc>
        <w:tc>
          <w:tcPr>
            <w:tcW w:w="429"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背景浓度</w:t>
            </w:r>
          </w:p>
          <w:p>
            <w:pPr>
              <w:pStyle w:val="42"/>
              <w:spacing w:line="300" w:lineRule="exact"/>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620"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叠加背景后</w:t>
            </w:r>
          </w:p>
          <w:p>
            <w:pPr>
              <w:pStyle w:val="42"/>
              <w:spacing w:line="300" w:lineRule="exact"/>
              <w:rPr>
                <w:sz w:val="18"/>
                <w:szCs w:val="18"/>
              </w:rPr>
            </w:pPr>
            <w:r>
              <w:rPr>
                <w:rFonts w:hint="eastAsia"/>
                <w:sz w:val="18"/>
                <w:szCs w:val="18"/>
              </w:rPr>
              <w:t>的浓度</w:t>
            </w:r>
          </w:p>
          <w:p>
            <w:pPr>
              <w:pStyle w:val="42"/>
              <w:spacing w:line="300" w:lineRule="exact"/>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347"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评价</w:t>
            </w:r>
          </w:p>
          <w:p>
            <w:pPr>
              <w:pStyle w:val="42"/>
              <w:spacing w:line="300" w:lineRule="exact"/>
              <w:rPr>
                <w:sz w:val="18"/>
                <w:szCs w:val="18"/>
              </w:rPr>
            </w:pPr>
            <w:r>
              <w:rPr>
                <w:rFonts w:hint="eastAsia"/>
                <w:sz w:val="18"/>
                <w:szCs w:val="18"/>
              </w:rPr>
              <w:t>标准</w:t>
            </w:r>
          </w:p>
          <w:p>
            <w:pPr>
              <w:pStyle w:val="42"/>
              <w:spacing w:line="300" w:lineRule="exact"/>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434"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占标率%</w:t>
            </w:r>
          </w:p>
          <w:p>
            <w:pPr>
              <w:pStyle w:val="42"/>
              <w:spacing w:line="300" w:lineRule="exact"/>
              <w:rPr>
                <w:sz w:val="18"/>
                <w:szCs w:val="18"/>
              </w:rPr>
            </w:pPr>
            <w:r>
              <w:rPr>
                <w:rFonts w:hint="eastAsia"/>
                <w:sz w:val="18"/>
                <w:szCs w:val="18"/>
              </w:rPr>
              <w:t>(叠加背景</w:t>
            </w:r>
          </w:p>
          <w:p>
            <w:pPr>
              <w:pStyle w:val="42"/>
              <w:spacing w:line="300" w:lineRule="exact"/>
              <w:rPr>
                <w:sz w:val="18"/>
                <w:szCs w:val="18"/>
              </w:rPr>
            </w:pPr>
            <w:r>
              <w:rPr>
                <w:rFonts w:hint="eastAsia"/>
                <w:sz w:val="18"/>
                <w:szCs w:val="18"/>
              </w:rPr>
              <w:t>以后)</w:t>
            </w:r>
          </w:p>
        </w:tc>
        <w:tc>
          <w:tcPr>
            <w:tcW w:w="306"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是否</w:t>
            </w:r>
          </w:p>
          <w:p>
            <w:pPr>
              <w:pStyle w:val="42"/>
              <w:spacing w:line="300" w:lineRule="exact"/>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1</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晏家街道</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2276,-1218</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6.10E-07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19051107</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2</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长寿经开区管委会</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1937,-627</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7.40E-07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19123109</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3</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晏家中学</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2124,-1907</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4.80E-07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19082407</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4</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晏家实验小学</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2509,-773</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5.60E-07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19123109</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5</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泓原医院</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2112,-568</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6.10E-07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19060806</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6</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龙口村居民点</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-7,74,2441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1.35E-06</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19092207</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7</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观双村居民点</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7,27,2447</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1.85E-06</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19011309</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8</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A8云天化聚甲醛项目位置附近</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1600,-2802</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3.50E-07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19091107</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9</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A4管委会办公区对面附近</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1931,-622</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7.40E-07</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19123109</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211"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8"/>
                <w:szCs w:val="18"/>
              </w:rPr>
            </w:pPr>
            <w:r>
              <w:rPr>
                <w:rFonts w:hint="eastAsia"/>
                <w:sz w:val="18"/>
                <w:szCs w:val="18"/>
              </w:rPr>
              <w:t>10</w:t>
            </w:r>
          </w:p>
        </w:tc>
        <w:tc>
          <w:tcPr>
            <w:tcW w:w="9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网格</w:t>
            </w:r>
          </w:p>
        </w:tc>
        <w:tc>
          <w:tcPr>
            <w:tcW w:w="51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-100,-1100</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1小时</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1.84E-05</w:t>
            </w:r>
          </w:p>
        </w:tc>
        <w:tc>
          <w:tcPr>
            <w:tcW w:w="53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19061906</w:t>
            </w:r>
          </w:p>
        </w:tc>
        <w:tc>
          <w:tcPr>
            <w:tcW w:w="42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620"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6.30E-01</w:t>
            </w:r>
          </w:p>
        </w:tc>
        <w:tc>
          <w:tcPr>
            <w:tcW w:w="347"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2.00E+00</w:t>
            </w:r>
          </w:p>
        </w:tc>
        <w:tc>
          <w:tcPr>
            <w:tcW w:w="434"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31.5</w:t>
            </w:r>
          </w:p>
        </w:tc>
        <w:tc>
          <w:tcPr>
            <w:tcW w:w="30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8"/>
                <w:szCs w:val="18"/>
              </w:rPr>
            </w:pPr>
            <w:r>
              <w:rPr>
                <w:rFonts w:hint="eastAsia"/>
                <w:sz w:val="18"/>
                <w:szCs w:val="18"/>
              </w:rPr>
              <w:t>达标</w:t>
            </w:r>
          </w:p>
        </w:tc>
      </w:tr>
    </w:tbl>
    <w:p>
      <w:pPr>
        <w:pStyle w:val="41"/>
      </w:pPr>
    </w:p>
    <w:p>
      <w:pPr>
        <w:pStyle w:val="41"/>
        <w:sectPr>
          <w:pgSz w:w="16838" w:h="11906" w:orient="landscape"/>
          <w:pgMar w:top="1797" w:right="1440" w:bottom="1797" w:left="1440" w:header="851" w:footer="992" w:gutter="0"/>
          <w:cols w:space="425" w:num="1"/>
          <w:docGrid w:type="lines" w:linePitch="312" w:charSpace="0"/>
        </w:sectPr>
      </w:pPr>
    </w:p>
    <w:p>
      <w:pPr>
        <w:ind w:firstLine="480"/>
      </w:pPr>
      <w:r>
        <w:rPr>
          <w:rFonts w:hint="eastAsia"/>
        </w:rPr>
        <w:t>根据表5.2-13~表5.2-18可知，拟建项目各污染源排放SO</w:t>
      </w:r>
      <w:r>
        <w:rPr>
          <w:rFonts w:hint="eastAsia"/>
          <w:vertAlign w:val="subscript"/>
        </w:rPr>
        <w:t>2</w:t>
      </w:r>
      <w:r>
        <w:rPr>
          <w:rFonts w:hint="eastAsia"/>
        </w:rPr>
        <w:t>、NOx和PM</w:t>
      </w:r>
      <w:r>
        <w:rPr>
          <w:rFonts w:hint="eastAsia"/>
          <w:vertAlign w:val="subscript"/>
        </w:rPr>
        <w:t>10</w:t>
      </w:r>
      <w:r>
        <w:rPr>
          <w:rFonts w:hint="eastAsia"/>
        </w:rPr>
        <w:t>在评价范围内各环境空气保护目标和网格点最大年均浓度叠加背景浓度值、区域削减源和及在建污染源后，各污染物浓度均满足均满足《环境空气质量标准》（GB3095-2012）二级标准要求。</w:t>
      </w:r>
    </w:p>
    <w:p>
      <w:pPr>
        <w:ind w:firstLine="480"/>
      </w:pPr>
      <w:r>
        <w:rPr>
          <w:rFonts w:hint="eastAsia"/>
        </w:rPr>
        <w:t>根据表5.2-19和表5.2-20，拟建项目各污染源排放NH</w:t>
      </w:r>
      <w:r>
        <w:rPr>
          <w:rFonts w:hint="eastAsia"/>
          <w:vertAlign w:val="subscript"/>
        </w:rPr>
        <w:t>3</w:t>
      </w:r>
      <w:r>
        <w:rPr>
          <w:rFonts w:hint="eastAsia"/>
        </w:rPr>
        <w:t>和非甲烷总烃在评价范围内各环境空气保护目标和网格点最大小时浓度贡献值叠加补充监测现状数据、区域削减源及在建污染源后，各污染物浓度分别满足</w:t>
      </w:r>
      <w:r>
        <w:rPr>
          <w:rFonts w:eastAsiaTheme="minorEastAsia"/>
        </w:rPr>
        <w:t>《环境影响评价技术导则 大气环境》（H.J 2.2-2018）附录D中浓度按参考限值</w:t>
      </w:r>
      <w:r>
        <w:rPr>
          <w:rFonts w:hint="eastAsia" w:eastAsiaTheme="minorEastAsia"/>
        </w:rPr>
        <w:t>和参照执行的</w:t>
      </w:r>
      <w:r>
        <w:rPr>
          <w:rFonts w:eastAsiaTheme="minorEastAsia"/>
        </w:rPr>
        <w:t>《环境空气质量 非甲烷总烃限值》（DB13/1577-2012）二级标准浓度限值</w:t>
      </w:r>
      <w:r>
        <w:rPr>
          <w:rFonts w:hint="eastAsia" w:eastAsiaTheme="minorEastAsia"/>
        </w:rPr>
        <w:t>要求。</w:t>
      </w:r>
    </w:p>
    <w:p>
      <w:pPr>
        <w:pStyle w:val="5"/>
        <w:spacing w:before="163" w:after="163"/>
      </w:pPr>
      <w:r>
        <w:rPr>
          <w:rFonts w:hint="eastAsia"/>
        </w:rPr>
        <w:t>5.2.1.8环境质量不达标污染物（PM</w:t>
      </w:r>
      <w:r>
        <w:rPr>
          <w:rFonts w:hint="eastAsia"/>
          <w:vertAlign w:val="subscript"/>
        </w:rPr>
        <w:t>2.5</w:t>
      </w:r>
      <w:r>
        <w:rPr>
          <w:rFonts w:hint="eastAsia"/>
        </w:rPr>
        <w:t>）区域环境质量变化</w:t>
      </w:r>
    </w:p>
    <w:p>
      <w:pPr>
        <w:ind w:firstLine="480"/>
      </w:pPr>
      <w:r>
        <w:rPr>
          <w:rFonts w:hint="eastAsia"/>
        </w:rPr>
        <w:t>根据《2019重庆市环境状况公报》大气统计监测数据，项目所在长寿区环境空气中PM</w:t>
      </w:r>
      <w:r>
        <w:rPr>
          <w:rFonts w:hint="eastAsia"/>
          <w:vertAlign w:val="subscript"/>
        </w:rPr>
        <w:t>2.5</w:t>
      </w:r>
      <w:r>
        <w:rPr>
          <w:rFonts w:hint="eastAsia"/>
        </w:rPr>
        <w:t>（超标0.03倍）不满足《环境空气质量标准》(GB3095-2012)二级标准要求。因此，长寿区环境空气质量不达标，为不达标区。</w:t>
      </w:r>
    </w:p>
    <w:p>
      <w:pPr>
        <w:ind w:firstLine="480"/>
        <w:rPr>
          <w:kern w:val="24"/>
        </w:rPr>
      </w:pPr>
      <w:r>
        <w:rPr>
          <w:rFonts w:hint="eastAsia"/>
          <w:kern w:val="24"/>
        </w:rPr>
        <w:t>根据导则“8.8.4区域环境质量变化评价”，按照公式计算实施区域削减方案后预测范围的年平均质量浓度变化率k，公式如下：</w:t>
      </w:r>
    </w:p>
    <w:p>
      <w:pPr>
        <w:ind w:firstLine="480"/>
        <w:rPr>
          <w:kern w:val="24"/>
        </w:rPr>
      </w:pPr>
      <w:r>
        <w:rPr>
          <w:rFonts w:hint="eastAsia"/>
          <w:kern w:val="24"/>
        </w:rPr>
        <w:t>k</w:t>
      </w:r>
      <w:r>
        <w:rPr>
          <w:kern w:val="24"/>
        </w:rPr>
        <w:t xml:space="preserve"> </w:t>
      </w:r>
      <w:r>
        <w:rPr>
          <w:rFonts w:hint="eastAsia"/>
          <w:kern w:val="24"/>
        </w:rPr>
        <w:t>=</w:t>
      </w:r>
      <w:r>
        <w:rPr>
          <w:kern w:val="24"/>
        </w:rPr>
        <w:t>[</w:t>
      </w:r>
      <w:r>
        <w:rPr>
          <w:kern w:val="24"/>
        </w:rPr>
        <w:sym w:font="Symbol" w:char="F060"/>
      </w:r>
      <w:r>
        <w:rPr>
          <w:kern w:val="24"/>
        </w:rPr>
        <w:t>C</w:t>
      </w:r>
      <w:r>
        <w:rPr>
          <w:rFonts w:hint="eastAsia"/>
          <w:kern w:val="24"/>
        </w:rPr>
        <w:t>本项目(</w:t>
      </w:r>
      <w:r>
        <w:rPr>
          <w:kern w:val="24"/>
        </w:rPr>
        <w:t>α</w:t>
      </w:r>
      <w:r>
        <w:rPr>
          <w:rFonts w:hint="eastAsia"/>
          <w:kern w:val="24"/>
        </w:rPr>
        <w:t>)—</w:t>
      </w:r>
      <w:r>
        <w:rPr>
          <w:kern w:val="24"/>
        </w:rPr>
        <w:sym w:font="Symbol" w:char="F060"/>
      </w:r>
      <w:r>
        <w:rPr>
          <w:kern w:val="24"/>
        </w:rPr>
        <w:t>C</w:t>
      </w:r>
      <w:r>
        <w:rPr>
          <w:rFonts w:hint="eastAsia"/>
          <w:kern w:val="24"/>
        </w:rPr>
        <w:t>区域削减(</w:t>
      </w:r>
      <w:r>
        <w:rPr>
          <w:kern w:val="24"/>
        </w:rPr>
        <w:t>α</w:t>
      </w:r>
      <w:r>
        <w:rPr>
          <w:rFonts w:hint="eastAsia"/>
          <w:kern w:val="24"/>
        </w:rPr>
        <w:t>)</w:t>
      </w:r>
      <w:r>
        <w:rPr>
          <w:kern w:val="24"/>
        </w:rPr>
        <w:t xml:space="preserve">] / </w:t>
      </w:r>
      <w:r>
        <w:rPr>
          <w:kern w:val="24"/>
        </w:rPr>
        <w:sym w:font="Symbol" w:char="F060"/>
      </w:r>
      <w:r>
        <w:rPr>
          <w:kern w:val="24"/>
        </w:rPr>
        <w:t>C</w:t>
      </w:r>
      <w:r>
        <w:rPr>
          <w:rFonts w:hint="eastAsia"/>
          <w:kern w:val="24"/>
        </w:rPr>
        <w:t>区域削减(</w:t>
      </w:r>
      <w:r>
        <w:rPr>
          <w:kern w:val="24"/>
        </w:rPr>
        <w:t>α</w:t>
      </w:r>
      <w:r>
        <w:rPr>
          <w:rFonts w:hint="eastAsia"/>
          <w:kern w:val="24"/>
        </w:rPr>
        <w:t>)</w:t>
      </w:r>
      <w:r>
        <w:rPr>
          <w:kern w:val="24"/>
        </w:rPr>
        <w:t xml:space="preserve"> ×100</w:t>
      </w:r>
      <w:r>
        <w:rPr>
          <w:rFonts w:hint="eastAsia"/>
          <w:kern w:val="24"/>
        </w:rPr>
        <w:t>%</w:t>
      </w:r>
    </w:p>
    <w:p>
      <w:pPr>
        <w:ind w:firstLine="480"/>
        <w:rPr>
          <w:kern w:val="24"/>
        </w:rPr>
      </w:pPr>
      <w:r>
        <w:rPr>
          <w:rFonts w:hint="eastAsia"/>
          <w:kern w:val="24"/>
        </w:rPr>
        <w:t>式中：k——预测范围年平均质量浓度变化率，%；</w:t>
      </w:r>
    </w:p>
    <w:p>
      <w:pPr>
        <w:ind w:firstLine="480"/>
        <w:rPr>
          <w:kern w:val="24"/>
        </w:rPr>
      </w:pPr>
      <w:r>
        <w:rPr>
          <w:rFonts w:hint="eastAsia"/>
          <w:kern w:val="24"/>
        </w:rPr>
        <w:t xml:space="preserve">    </w:t>
      </w:r>
      <w:r>
        <w:rPr>
          <w:kern w:val="24"/>
        </w:rPr>
        <w:sym w:font="Symbol" w:char="F060"/>
      </w:r>
      <w:r>
        <w:rPr>
          <w:kern w:val="24"/>
        </w:rPr>
        <w:t>C</w:t>
      </w:r>
      <w:r>
        <w:rPr>
          <w:rFonts w:hint="eastAsia"/>
          <w:kern w:val="24"/>
        </w:rPr>
        <w:t>本项目(</w:t>
      </w:r>
      <w:r>
        <w:rPr>
          <w:kern w:val="24"/>
        </w:rPr>
        <w:t>α</w:t>
      </w:r>
      <w:r>
        <w:rPr>
          <w:rFonts w:hint="eastAsia"/>
          <w:kern w:val="24"/>
        </w:rPr>
        <w:t>)——本项目对所有网格点的年平均质量浓度贡献值的算术平均值，µg/m</w:t>
      </w:r>
      <w:r>
        <w:rPr>
          <w:rFonts w:hint="eastAsia"/>
          <w:kern w:val="24"/>
          <w:vertAlign w:val="superscript"/>
        </w:rPr>
        <w:t>3</w:t>
      </w:r>
      <w:r>
        <w:rPr>
          <w:rFonts w:hint="eastAsia"/>
          <w:kern w:val="24"/>
        </w:rPr>
        <w:t>；</w:t>
      </w:r>
    </w:p>
    <w:p>
      <w:pPr>
        <w:ind w:firstLine="480"/>
        <w:rPr>
          <w:kern w:val="24"/>
        </w:rPr>
      </w:pPr>
      <w:r>
        <w:rPr>
          <w:rFonts w:hint="eastAsia"/>
          <w:kern w:val="24"/>
        </w:rPr>
        <w:t xml:space="preserve">    </w:t>
      </w:r>
      <w:r>
        <w:rPr>
          <w:kern w:val="24"/>
        </w:rPr>
        <w:sym w:font="Symbol" w:char="F060"/>
      </w:r>
      <w:r>
        <w:rPr>
          <w:kern w:val="24"/>
        </w:rPr>
        <w:t>C</w:t>
      </w:r>
      <w:r>
        <w:rPr>
          <w:rFonts w:hint="eastAsia"/>
          <w:kern w:val="24"/>
        </w:rPr>
        <w:t>区域削减(</w:t>
      </w:r>
      <w:r>
        <w:rPr>
          <w:kern w:val="24"/>
        </w:rPr>
        <w:t>α</w:t>
      </w:r>
      <w:r>
        <w:rPr>
          <w:rFonts w:hint="eastAsia"/>
          <w:kern w:val="24"/>
        </w:rPr>
        <w:t>)——区域削减污染源对所有网格点的年平均质量浓度贡献值的算术平均值，µg/m</w:t>
      </w:r>
      <w:r>
        <w:rPr>
          <w:rFonts w:hint="eastAsia"/>
          <w:kern w:val="24"/>
          <w:vertAlign w:val="superscript"/>
        </w:rPr>
        <w:t>3</w:t>
      </w:r>
      <w:r>
        <w:rPr>
          <w:rFonts w:hint="eastAsia"/>
          <w:kern w:val="24"/>
        </w:rPr>
        <w:t>。</w:t>
      </w:r>
    </w:p>
    <w:p>
      <w:pPr>
        <w:ind w:firstLine="480"/>
        <w:rPr>
          <w:kern w:val="24"/>
        </w:rPr>
      </w:pPr>
      <w:r>
        <w:rPr>
          <w:rFonts w:hint="eastAsia"/>
        </w:rPr>
        <w:t>根据调查，拟建项目所在区域颗粒物（PM</w:t>
      </w:r>
      <w:r>
        <w:rPr>
          <w:rFonts w:hint="eastAsia"/>
          <w:vertAlign w:val="subscript"/>
        </w:rPr>
        <w:t>10</w:t>
      </w:r>
      <w:r>
        <w:rPr>
          <w:rFonts w:hint="eastAsia"/>
        </w:rPr>
        <w:t>）削减源主要来自</w:t>
      </w:r>
      <w:r>
        <w:t>川维燃煤锅炉超低排放改造项目，其削减源强见表</w:t>
      </w:r>
      <w:r>
        <w:rPr>
          <w:rFonts w:hint="eastAsia"/>
        </w:rPr>
        <w:t>5.2-11，本次评价P</w:t>
      </w:r>
      <w:r>
        <w:t>M</w:t>
      </w:r>
      <w:r>
        <w:rPr>
          <w:vertAlign w:val="subscript"/>
        </w:rPr>
        <w:t>2.5</w:t>
      </w:r>
      <w:r>
        <w:rPr>
          <w:rFonts w:hint="eastAsia"/>
        </w:rPr>
        <w:t>削减量考虑为颗粒物（PM</w:t>
      </w:r>
      <w:r>
        <w:rPr>
          <w:rFonts w:hint="eastAsia"/>
          <w:vertAlign w:val="subscript"/>
        </w:rPr>
        <w:t>10</w:t>
      </w:r>
      <w:r>
        <w:rPr>
          <w:rFonts w:hint="eastAsia"/>
        </w:rPr>
        <w:t>）削减量的5</w:t>
      </w:r>
      <w:r>
        <w:t>0</w:t>
      </w:r>
      <w:r>
        <w:rPr>
          <w:rFonts w:hint="eastAsia"/>
        </w:rPr>
        <w:t>%。</w:t>
      </w:r>
    </w:p>
    <w:p>
      <w:pPr>
        <w:ind w:firstLine="480"/>
        <w:rPr>
          <w:kern w:val="24"/>
        </w:rPr>
      </w:pPr>
      <w:r>
        <w:rPr>
          <w:rFonts w:hint="eastAsia"/>
          <w:kern w:val="24"/>
        </w:rPr>
        <w:t>根据上述公式计算，结合预测结果，统计得颗粒物环境质量变化情况见表5.2-20。</w:t>
      </w:r>
    </w:p>
    <w:p>
      <w:pPr>
        <w:pStyle w:val="41"/>
      </w:pPr>
      <w:r>
        <w:rPr>
          <w:rFonts w:hint="eastAsia"/>
        </w:rPr>
        <w:t xml:space="preserve">表5.2-20    </w:t>
      </w:r>
      <w:r>
        <w:t xml:space="preserve">  </w:t>
      </w:r>
      <w:r>
        <w:rPr>
          <w:rFonts w:hint="eastAsia"/>
        </w:rPr>
        <w:t>环境质量现状不达标污染物区域环境质量变化率</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5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tcPr>
          <w:p>
            <w:pPr>
              <w:pStyle w:val="42"/>
              <w:ind w:firstLine="400"/>
            </w:pPr>
            <w:r>
              <w:rPr>
                <w:rFonts w:hint="eastAsia"/>
              </w:rPr>
              <w:t>项目</w:t>
            </w:r>
          </w:p>
        </w:tc>
        <w:tc>
          <w:tcPr>
            <w:tcW w:w="3247" w:type="pct"/>
          </w:tcPr>
          <w:p>
            <w:pPr>
              <w:pStyle w:val="42"/>
              <w:ind w:firstLine="400"/>
            </w:pPr>
            <w:r>
              <w:rPr>
                <w:rFonts w:hint="eastAsia"/>
              </w:rPr>
              <w:t>年均浓度贡献值µg/m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tcPr>
          <w:p>
            <w:pPr>
              <w:pStyle w:val="42"/>
              <w:ind w:firstLine="400"/>
            </w:pPr>
            <w:r>
              <w:rPr/>
              <w:sym w:font="Symbol" w:char="F060"/>
            </w:r>
            <w:r>
              <w:t>C</w:t>
            </w:r>
            <w:r>
              <w:rPr>
                <w:rFonts w:hint="eastAsia"/>
              </w:rPr>
              <w:t>本项目(</w:t>
            </w:r>
            <w:r>
              <w:t>α</w:t>
            </w:r>
            <w:r>
              <w:rPr>
                <w:rFonts w:hint="eastAsia"/>
              </w:rPr>
              <w:t>)</w:t>
            </w:r>
          </w:p>
        </w:tc>
        <w:tc>
          <w:tcPr>
            <w:tcW w:w="3247" w:type="pct"/>
          </w:tcPr>
          <w:p>
            <w:pPr>
              <w:pStyle w:val="42"/>
              <w:ind w:firstLine="400"/>
            </w:pPr>
            <w:r>
              <w:rPr>
                <w:rFonts w:hint="eastAsia"/>
              </w:rPr>
              <w:t>1.16E-02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tcPr>
          <w:p>
            <w:pPr>
              <w:pStyle w:val="42"/>
              <w:ind w:firstLine="400"/>
            </w:pPr>
            <w:r>
              <w:rPr/>
              <w:sym w:font="Symbol" w:char="F060"/>
            </w:r>
            <w:r>
              <w:t>C</w:t>
            </w:r>
            <w:r>
              <w:rPr>
                <w:rFonts w:hint="eastAsia"/>
              </w:rPr>
              <w:t>区域削减(</w:t>
            </w:r>
            <w:r>
              <w:t>α</w:t>
            </w:r>
            <w:r>
              <w:rPr>
                <w:rFonts w:hint="eastAsia"/>
              </w:rPr>
              <w:t>)</w:t>
            </w:r>
          </w:p>
        </w:tc>
        <w:tc>
          <w:tcPr>
            <w:tcW w:w="3247" w:type="pct"/>
          </w:tcPr>
          <w:p>
            <w:pPr>
              <w:pStyle w:val="42"/>
              <w:ind w:firstLine="400"/>
            </w:pPr>
            <w:r>
              <w:rPr>
                <w:rFonts w:hint="eastAsia"/>
              </w:rPr>
              <w:t>1.84E-02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3" w:type="pct"/>
          </w:tcPr>
          <w:p>
            <w:pPr>
              <w:pStyle w:val="42"/>
              <w:ind w:firstLine="400"/>
            </w:pPr>
            <w:r>
              <w:rPr>
                <w:rFonts w:hint="eastAsia"/>
              </w:rPr>
              <w:t>k</w:t>
            </w:r>
          </w:p>
        </w:tc>
        <w:tc>
          <w:tcPr>
            <w:tcW w:w="3247" w:type="pct"/>
          </w:tcPr>
          <w:p>
            <w:pPr>
              <w:pStyle w:val="42"/>
              <w:ind w:firstLine="400"/>
            </w:pPr>
            <w:r>
              <w:t>-</w:t>
            </w:r>
            <w:r>
              <w:rPr>
                <w:rFonts w:hint="eastAsia"/>
              </w:rPr>
              <w:t>100</w:t>
            </w:r>
            <w:r>
              <w:t xml:space="preserve"> %</w:t>
            </w:r>
          </w:p>
        </w:tc>
      </w:tr>
    </w:tbl>
    <w:p>
      <w:pPr>
        <w:ind w:firstLine="480"/>
      </w:pPr>
      <w:r>
        <w:rPr>
          <w:rFonts w:hint="eastAsia"/>
          <w:kern w:val="24"/>
        </w:rPr>
        <w:t>实施削减后预测范围的年平均浓度变化率 k =</w:t>
      </w:r>
      <w:r>
        <w:t xml:space="preserve"> </w:t>
      </w:r>
      <w:r>
        <w:rPr>
          <w:kern w:val="24"/>
        </w:rPr>
        <w:t>-</w:t>
      </w:r>
      <w:r>
        <w:rPr>
          <w:rFonts w:hint="eastAsia"/>
          <w:kern w:val="24"/>
        </w:rPr>
        <w:t>36.9</w:t>
      </w:r>
      <w:r>
        <w:rPr>
          <w:kern w:val="24"/>
        </w:rPr>
        <w:t>%</w:t>
      </w:r>
      <w:r>
        <w:rPr>
          <w:rFonts w:hint="eastAsia"/>
          <w:kern w:val="24"/>
        </w:rPr>
        <w:t xml:space="preserve"> &lt; -20%，因此区域环境质量整体改善。</w:t>
      </w:r>
    </w:p>
    <w:p>
      <w:pPr>
        <w:pStyle w:val="5"/>
        <w:spacing w:before="163" w:after="163"/>
      </w:pPr>
      <w:r>
        <w:rPr>
          <w:rFonts w:hint="eastAsia"/>
        </w:rPr>
        <w:t>5.2.1.9项目非正常排放预测结果</w:t>
      </w:r>
    </w:p>
    <w:p>
      <w:pPr>
        <w:ind w:firstLine="480"/>
      </w:pPr>
      <w:r>
        <w:rPr>
          <w:rFonts w:hint="eastAsia"/>
        </w:rPr>
        <w:t>拟建项目废气非正常工况下排放废气对环境空气保护目标和网格点各污染物的1h最大浓度贡献值预测结果见表5.2-21-5.2-23。</w:t>
      </w:r>
    </w:p>
    <w:p>
      <w:pPr>
        <w:pStyle w:val="41"/>
      </w:pPr>
      <w:r>
        <w:rPr>
          <w:rFonts w:hint="eastAsia"/>
        </w:rPr>
        <w:t>表5.2-21  非正常工况SO</w:t>
      </w:r>
      <w:r>
        <w:rPr>
          <w:rFonts w:hint="eastAsia"/>
          <w:vertAlign w:val="subscript"/>
        </w:rPr>
        <w:t>2</w:t>
      </w:r>
      <w:r>
        <w:rPr>
          <w:rFonts w:hint="eastAsia"/>
        </w:rPr>
        <w:t>影响预测结果</w:t>
      </w:r>
    </w:p>
    <w:tbl>
      <w:tblPr>
        <w:tblStyle w:val="33"/>
        <w:tblW w:w="5000" w:type="pct"/>
        <w:tblInd w:w="0" w:type="dxa"/>
        <w:tblLayout w:type="autofit"/>
        <w:tblCellMar>
          <w:top w:w="0" w:type="dxa"/>
          <w:left w:w="108" w:type="dxa"/>
          <w:bottom w:w="0" w:type="dxa"/>
          <w:right w:w="108" w:type="dxa"/>
        </w:tblCellMar>
      </w:tblPr>
      <w:tblGrid>
        <w:gridCol w:w="595"/>
        <w:gridCol w:w="1656"/>
        <w:gridCol w:w="1045"/>
        <w:gridCol w:w="942"/>
        <w:gridCol w:w="942"/>
        <w:gridCol w:w="942"/>
        <w:gridCol w:w="891"/>
        <w:gridCol w:w="913"/>
        <w:gridCol w:w="596"/>
      </w:tblGrid>
      <w:tr>
        <w:tblPrEx>
          <w:tblCellMar>
            <w:top w:w="0" w:type="dxa"/>
            <w:left w:w="108" w:type="dxa"/>
            <w:bottom w:w="0" w:type="dxa"/>
            <w:right w:w="108" w:type="dxa"/>
          </w:tblCellMar>
        </w:tblPrEx>
        <w:trPr>
          <w:trHeight w:val="270" w:hRule="atLeast"/>
        </w:trPr>
        <w:tc>
          <w:tcPr>
            <w:tcW w:w="35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序号</w:t>
            </w:r>
          </w:p>
        </w:tc>
        <w:tc>
          <w:tcPr>
            <w:tcW w:w="962"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点名称</w:t>
            </w:r>
          </w:p>
        </w:tc>
        <w:tc>
          <w:tcPr>
            <w:tcW w:w="61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点坐标</w:t>
            </w:r>
          </w:p>
        </w:tc>
        <w:tc>
          <w:tcPr>
            <w:tcW w:w="55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浓度类型</w:t>
            </w:r>
          </w:p>
        </w:tc>
        <w:tc>
          <w:tcPr>
            <w:tcW w:w="55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浓度增量</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5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出现时间</w:t>
            </w:r>
          </w:p>
          <w:p>
            <w:pPr>
              <w:pStyle w:val="42"/>
              <w:rPr>
                <w:sz w:val="18"/>
                <w:szCs w:val="18"/>
              </w:rPr>
            </w:pPr>
            <w:r>
              <w:rPr>
                <w:rFonts w:hint="eastAsia"/>
                <w:sz w:val="18"/>
                <w:szCs w:val="18"/>
              </w:rPr>
              <w:t>(YYMM</w:t>
            </w:r>
          </w:p>
          <w:p>
            <w:pPr>
              <w:pStyle w:val="42"/>
              <w:rPr>
                <w:sz w:val="18"/>
                <w:szCs w:val="18"/>
              </w:rPr>
            </w:pPr>
            <w:r>
              <w:rPr>
                <w:rFonts w:hint="eastAsia"/>
                <w:sz w:val="18"/>
                <w:szCs w:val="18"/>
              </w:rPr>
              <w:t>DDHH)</w:t>
            </w:r>
          </w:p>
        </w:tc>
        <w:tc>
          <w:tcPr>
            <w:tcW w:w="524"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评价</w:t>
            </w:r>
          </w:p>
          <w:p>
            <w:pPr>
              <w:pStyle w:val="42"/>
              <w:rPr>
                <w:sz w:val="18"/>
                <w:szCs w:val="18"/>
              </w:rPr>
            </w:pPr>
            <w:r>
              <w:rPr>
                <w:rFonts w:hint="eastAsia"/>
                <w:sz w:val="18"/>
                <w:szCs w:val="18"/>
              </w:rPr>
              <w:t>标准</w:t>
            </w:r>
          </w:p>
          <w:p>
            <w:pPr>
              <w:pStyle w:val="42"/>
              <w:rPr>
                <w:sz w:val="18"/>
                <w:szCs w:val="18"/>
              </w:rPr>
            </w:pPr>
            <w:r>
              <w:rPr>
                <w:rFonts w:hint="eastAsia"/>
                <w:sz w:val="18"/>
                <w:szCs w:val="18"/>
              </w:rPr>
              <w:t>(mg/m</w:t>
            </w:r>
            <w:r>
              <w:rPr>
                <w:rFonts w:hint="eastAsia"/>
                <w:sz w:val="18"/>
                <w:szCs w:val="18"/>
                <w:vertAlign w:val="superscript"/>
              </w:rPr>
              <w:t>3</w:t>
            </w:r>
            <w:r>
              <w:rPr>
                <w:rFonts w:hint="eastAsia"/>
                <w:sz w:val="18"/>
                <w:szCs w:val="18"/>
              </w:rPr>
              <w:t>)</w:t>
            </w:r>
          </w:p>
        </w:tc>
        <w:tc>
          <w:tcPr>
            <w:tcW w:w="537"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占标率%</w:t>
            </w:r>
          </w:p>
        </w:tc>
        <w:tc>
          <w:tcPr>
            <w:tcW w:w="350" w:type="pct"/>
            <w:tcBorders>
              <w:top w:val="single" w:color="auto" w:sz="4" w:space="0"/>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是否</w:t>
            </w:r>
          </w:p>
          <w:p>
            <w:pPr>
              <w:pStyle w:val="42"/>
              <w:rPr>
                <w:sz w:val="18"/>
                <w:szCs w:val="18"/>
              </w:rPr>
            </w:pPr>
            <w:r>
              <w:rPr>
                <w:rFonts w:hint="eastAsia"/>
                <w:sz w:val="18"/>
                <w:szCs w:val="18"/>
              </w:rPr>
              <w:t>超标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1</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晏家街道</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2276,-1218</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1.04E-03</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19110220</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0.21</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2</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长寿经开区管委会</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1937,-627</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7.33E-04</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19060806</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0.15</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3</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晏家中学</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2124,-1907</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5.42E-04</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19042905</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0.11</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4</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晏家实验小学</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2509,-773</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1.48E-03</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19060924</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0.3</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5</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泓原医院</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2112,-568</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7.15E-04</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19072923</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0.14</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6</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龙口村居民点</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-774,2441</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8.85E-04</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19081604</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0.18</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7</w:t>
            </w:r>
          </w:p>
        </w:tc>
        <w:tc>
          <w:tcPr>
            <w:tcW w:w="962" w:type="pct"/>
            <w:tcBorders>
              <w:top w:val="nil"/>
              <w:left w:val="nil"/>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观双村居民点</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727,2447</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8.68E-04</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19071819</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0.17</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r>
        <w:tblPrEx>
          <w:tblCellMar>
            <w:top w:w="0" w:type="dxa"/>
            <w:left w:w="108" w:type="dxa"/>
            <w:bottom w:w="0" w:type="dxa"/>
            <w:right w:w="108" w:type="dxa"/>
          </w:tblCellMar>
        </w:tblPrEx>
        <w:trPr>
          <w:trHeight w:val="270" w:hRule="atLeast"/>
        </w:trPr>
        <w:tc>
          <w:tcPr>
            <w:tcW w:w="350" w:type="pct"/>
            <w:tcBorders>
              <w:top w:val="nil"/>
              <w:left w:val="single" w:color="auto" w:sz="4" w:space="0"/>
              <w:bottom w:val="single" w:color="auto" w:sz="4" w:space="0"/>
              <w:right w:val="single" w:color="auto" w:sz="4" w:space="0"/>
            </w:tcBorders>
            <w:shd w:val="clear" w:color="auto" w:fill="auto"/>
            <w:noWrap/>
            <w:vAlign w:val="center"/>
          </w:tcPr>
          <w:p>
            <w:pPr>
              <w:pStyle w:val="42"/>
              <w:rPr>
                <w:sz w:val="18"/>
                <w:szCs w:val="18"/>
              </w:rPr>
            </w:pPr>
            <w:r>
              <w:rPr>
                <w:rFonts w:hint="eastAsia"/>
                <w:sz w:val="18"/>
                <w:szCs w:val="18"/>
              </w:rPr>
              <w:t>8</w:t>
            </w:r>
          </w:p>
        </w:tc>
        <w:tc>
          <w:tcPr>
            <w:tcW w:w="962"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网格</w:t>
            </w:r>
          </w:p>
        </w:tc>
        <w:tc>
          <w:tcPr>
            <w:tcW w:w="61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-300,-800</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1小时</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1.73E-02</w:t>
            </w:r>
          </w:p>
        </w:tc>
        <w:tc>
          <w:tcPr>
            <w:tcW w:w="55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19012205</w:t>
            </w:r>
          </w:p>
        </w:tc>
        <w:tc>
          <w:tcPr>
            <w:tcW w:w="52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5.00E-01</w:t>
            </w:r>
          </w:p>
        </w:tc>
        <w:tc>
          <w:tcPr>
            <w:tcW w:w="53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3.46</w:t>
            </w:r>
          </w:p>
        </w:tc>
        <w:tc>
          <w:tcPr>
            <w:tcW w:w="350"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8"/>
                <w:szCs w:val="18"/>
              </w:rPr>
            </w:pPr>
            <w:r>
              <w:rPr>
                <w:rFonts w:hint="eastAsia"/>
                <w:sz w:val="18"/>
                <w:szCs w:val="18"/>
              </w:rPr>
              <w:t>达标</w:t>
            </w:r>
          </w:p>
        </w:tc>
      </w:tr>
    </w:tbl>
    <w:p>
      <w:pPr>
        <w:pStyle w:val="41"/>
      </w:pPr>
      <w:r>
        <w:rPr>
          <w:rFonts w:hint="eastAsia"/>
        </w:rPr>
        <w:t>表5.2-22  非正常工况NO</w:t>
      </w:r>
      <w:r>
        <w:rPr>
          <w:rFonts w:hint="eastAsia"/>
          <w:vertAlign w:val="subscript"/>
        </w:rPr>
        <w:t>X</w:t>
      </w:r>
      <w:r>
        <w:rPr>
          <w:rFonts w:hint="eastAsia"/>
        </w:rPr>
        <w:t>影响预测结果</w:t>
      </w:r>
    </w:p>
    <w:tbl>
      <w:tblPr>
        <w:tblStyle w:val="33"/>
        <w:tblW w:w="5000" w:type="pct"/>
        <w:tblInd w:w="0" w:type="dxa"/>
        <w:tblLayout w:type="autofit"/>
        <w:tblCellMar>
          <w:top w:w="0" w:type="dxa"/>
          <w:left w:w="108" w:type="dxa"/>
          <w:bottom w:w="0" w:type="dxa"/>
          <w:right w:w="108" w:type="dxa"/>
        </w:tblCellMar>
      </w:tblPr>
      <w:tblGrid>
        <w:gridCol w:w="564"/>
        <w:gridCol w:w="1416"/>
        <w:gridCol w:w="1130"/>
        <w:gridCol w:w="828"/>
        <w:gridCol w:w="1007"/>
        <w:gridCol w:w="1262"/>
        <w:gridCol w:w="864"/>
        <w:gridCol w:w="887"/>
        <w:gridCol w:w="564"/>
      </w:tblGrid>
      <w:tr>
        <w:tblPrEx>
          <w:tblCellMar>
            <w:top w:w="0" w:type="dxa"/>
            <w:left w:w="108" w:type="dxa"/>
            <w:bottom w:w="0" w:type="dxa"/>
            <w:right w:w="108" w:type="dxa"/>
          </w:tblCellMar>
        </w:tblPrEx>
        <w:trPr>
          <w:trHeight w:val="270" w:hRule="atLeast"/>
        </w:trPr>
        <w:tc>
          <w:tcPr>
            <w:tcW w:w="3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序号</w:t>
            </w:r>
          </w:p>
        </w:tc>
        <w:tc>
          <w:tcPr>
            <w:tcW w:w="811"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点名称</w:t>
            </w:r>
          </w:p>
        </w:tc>
        <w:tc>
          <w:tcPr>
            <w:tcW w:w="666"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点坐标</w:t>
            </w:r>
          </w:p>
        </w:tc>
        <w:tc>
          <w:tcPr>
            <w:tcW w:w="488"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浓度</w:t>
            </w:r>
          </w:p>
          <w:p>
            <w:pPr>
              <w:pStyle w:val="42"/>
              <w:spacing w:line="300" w:lineRule="exact"/>
              <w:rPr>
                <w:sz w:val="15"/>
                <w:szCs w:val="15"/>
              </w:rPr>
            </w:pPr>
            <w:r>
              <w:rPr>
                <w:rFonts w:hint="eastAsia"/>
                <w:sz w:val="15"/>
                <w:szCs w:val="15"/>
              </w:rPr>
              <w:t>类型</w:t>
            </w:r>
          </w:p>
        </w:tc>
        <w:tc>
          <w:tcPr>
            <w:tcW w:w="593"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浓度</w:t>
            </w:r>
          </w:p>
          <w:p>
            <w:pPr>
              <w:pStyle w:val="42"/>
              <w:spacing w:line="300" w:lineRule="exact"/>
              <w:rPr>
                <w:sz w:val="15"/>
                <w:szCs w:val="15"/>
              </w:rPr>
            </w:pPr>
            <w:r>
              <w:rPr>
                <w:rFonts w:hint="eastAsia"/>
                <w:sz w:val="15"/>
                <w:szCs w:val="15"/>
              </w:rPr>
              <w:t>增量</w:t>
            </w:r>
          </w:p>
          <w:p>
            <w:pPr>
              <w:pStyle w:val="42"/>
              <w:spacing w:line="300" w:lineRule="exact"/>
              <w:rPr>
                <w:sz w:val="15"/>
                <w:szCs w:val="15"/>
              </w:rPr>
            </w:pPr>
            <w:r>
              <w:rPr>
                <w:rFonts w:hint="eastAsia"/>
                <w:sz w:val="15"/>
                <w:szCs w:val="15"/>
              </w:rPr>
              <w:t>(mg/m</w:t>
            </w:r>
            <w:r>
              <w:rPr>
                <w:rFonts w:hint="eastAsia"/>
                <w:sz w:val="15"/>
                <w:szCs w:val="15"/>
                <w:vertAlign w:val="superscript"/>
              </w:rPr>
              <w:t>3</w:t>
            </w:r>
            <w:r>
              <w:rPr>
                <w:rFonts w:hint="eastAsia"/>
                <w:sz w:val="15"/>
                <w:szCs w:val="15"/>
              </w:rPr>
              <w:t>)</w:t>
            </w:r>
          </w:p>
        </w:tc>
        <w:tc>
          <w:tcPr>
            <w:tcW w:w="743"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出现时间</w:t>
            </w:r>
          </w:p>
          <w:p>
            <w:pPr>
              <w:pStyle w:val="42"/>
              <w:spacing w:line="300" w:lineRule="exact"/>
              <w:rPr>
                <w:sz w:val="15"/>
                <w:szCs w:val="15"/>
              </w:rPr>
            </w:pPr>
            <w:r>
              <w:rPr>
                <w:rFonts w:hint="eastAsia"/>
                <w:sz w:val="15"/>
                <w:szCs w:val="15"/>
              </w:rPr>
              <w:t>(YYMMDDHH)</w:t>
            </w:r>
          </w:p>
        </w:tc>
        <w:tc>
          <w:tcPr>
            <w:tcW w:w="509"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评价</w:t>
            </w:r>
          </w:p>
          <w:p>
            <w:pPr>
              <w:pStyle w:val="42"/>
              <w:spacing w:line="300" w:lineRule="exact"/>
              <w:rPr>
                <w:sz w:val="15"/>
                <w:szCs w:val="15"/>
              </w:rPr>
            </w:pPr>
            <w:r>
              <w:rPr>
                <w:rFonts w:hint="eastAsia"/>
                <w:sz w:val="15"/>
                <w:szCs w:val="15"/>
              </w:rPr>
              <w:t>标准</w:t>
            </w:r>
          </w:p>
          <w:p>
            <w:pPr>
              <w:pStyle w:val="42"/>
              <w:spacing w:line="300" w:lineRule="exact"/>
              <w:rPr>
                <w:sz w:val="15"/>
                <w:szCs w:val="15"/>
              </w:rPr>
            </w:pPr>
            <w:r>
              <w:rPr>
                <w:rFonts w:hint="eastAsia"/>
                <w:sz w:val="15"/>
                <w:szCs w:val="15"/>
              </w:rPr>
              <w:t>(mg/m</w:t>
            </w:r>
            <w:r>
              <w:rPr>
                <w:rFonts w:hint="eastAsia"/>
                <w:sz w:val="15"/>
                <w:szCs w:val="15"/>
                <w:vertAlign w:val="superscript"/>
              </w:rPr>
              <w:t>3</w:t>
            </w:r>
            <w:r>
              <w:rPr>
                <w:rFonts w:hint="eastAsia"/>
                <w:sz w:val="15"/>
                <w:szCs w:val="15"/>
              </w:rPr>
              <w:t>)</w:t>
            </w:r>
          </w:p>
        </w:tc>
        <w:tc>
          <w:tcPr>
            <w:tcW w:w="523"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占标率%</w:t>
            </w:r>
          </w:p>
        </w:tc>
        <w:tc>
          <w:tcPr>
            <w:tcW w:w="333" w:type="pct"/>
            <w:tcBorders>
              <w:top w:val="single" w:color="auto" w:sz="4" w:space="0"/>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是否</w:t>
            </w:r>
          </w:p>
          <w:p>
            <w:pPr>
              <w:pStyle w:val="42"/>
              <w:spacing w:line="300" w:lineRule="exact"/>
              <w:rPr>
                <w:sz w:val="15"/>
                <w:szCs w:val="15"/>
              </w:rPr>
            </w:pPr>
            <w:r>
              <w:rPr>
                <w:rFonts w:hint="eastAsia"/>
                <w:sz w:val="15"/>
                <w:szCs w:val="15"/>
              </w:rPr>
              <w:t>超标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1</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晏家街道</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2276,-1218</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2.49E-03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19110220</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0.99</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2</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长寿经开区管委会</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1937,-627</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1.76E-03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19060806</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0.7</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3</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晏家中学</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2124,-1907</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1.30E-03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19042905</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0.52</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4</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晏家实验小学</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2509,-773</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3.54E-03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19060924</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1.42</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5</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泓原医院</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2112,-568</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1.72E-03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19072923</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0.69</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6</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龙口村居民点</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-774,2441</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2.13E-03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19081604</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0.85</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7</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观双村居民点</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727,2447</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2.08E-03</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19071819</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0.83</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spacing w:line="300" w:lineRule="exact"/>
              <w:rPr>
                <w:sz w:val="15"/>
                <w:szCs w:val="15"/>
              </w:rPr>
            </w:pPr>
            <w:r>
              <w:rPr>
                <w:rFonts w:hint="eastAsia"/>
                <w:sz w:val="15"/>
                <w:szCs w:val="15"/>
              </w:rPr>
              <w:t>8</w:t>
            </w:r>
          </w:p>
        </w:tc>
        <w:tc>
          <w:tcPr>
            <w:tcW w:w="811"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网格</w:t>
            </w:r>
          </w:p>
        </w:tc>
        <w:tc>
          <w:tcPr>
            <w:tcW w:w="666"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-300,-800</w:t>
            </w:r>
          </w:p>
        </w:tc>
        <w:tc>
          <w:tcPr>
            <w:tcW w:w="488"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1小时</w:t>
            </w:r>
          </w:p>
        </w:tc>
        <w:tc>
          <w:tcPr>
            <w:tcW w:w="59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4.15E-02</w:t>
            </w:r>
          </w:p>
        </w:tc>
        <w:tc>
          <w:tcPr>
            <w:tcW w:w="74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19012205</w:t>
            </w:r>
          </w:p>
        </w:tc>
        <w:tc>
          <w:tcPr>
            <w:tcW w:w="509"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2.50E-01</w:t>
            </w:r>
          </w:p>
        </w:tc>
        <w:tc>
          <w:tcPr>
            <w:tcW w:w="52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16.6</w:t>
            </w:r>
          </w:p>
        </w:tc>
        <w:tc>
          <w:tcPr>
            <w:tcW w:w="333" w:type="pct"/>
            <w:tcBorders>
              <w:top w:val="nil"/>
              <w:left w:val="nil"/>
              <w:bottom w:val="single" w:color="auto" w:sz="4" w:space="0"/>
              <w:right w:val="single" w:color="auto" w:sz="4" w:space="0"/>
            </w:tcBorders>
            <w:shd w:val="clear" w:color="auto" w:fill="auto"/>
            <w:noWrap/>
            <w:vAlign w:val="center"/>
          </w:tcPr>
          <w:p>
            <w:pPr>
              <w:pStyle w:val="42"/>
              <w:spacing w:line="300" w:lineRule="exact"/>
              <w:rPr>
                <w:rFonts w:ascii="宋体" w:hAnsi="宋体" w:cs="宋体"/>
                <w:sz w:val="15"/>
                <w:szCs w:val="15"/>
              </w:rPr>
            </w:pPr>
            <w:r>
              <w:rPr>
                <w:rFonts w:hint="eastAsia"/>
                <w:sz w:val="15"/>
                <w:szCs w:val="15"/>
              </w:rPr>
              <w:t>达标</w:t>
            </w:r>
          </w:p>
        </w:tc>
      </w:tr>
    </w:tbl>
    <w:p>
      <w:pPr>
        <w:pStyle w:val="41"/>
      </w:pPr>
      <w:r>
        <w:rPr>
          <w:rFonts w:hint="eastAsia"/>
        </w:rPr>
        <w:t>表5.2-23  非正常工况PM</w:t>
      </w:r>
      <w:r>
        <w:rPr>
          <w:rFonts w:hint="eastAsia"/>
          <w:vertAlign w:val="subscript"/>
        </w:rPr>
        <w:t>10</w:t>
      </w:r>
      <w:r>
        <w:rPr>
          <w:rFonts w:hint="eastAsia"/>
        </w:rPr>
        <w:t>影响预测结果</w:t>
      </w:r>
    </w:p>
    <w:tbl>
      <w:tblPr>
        <w:tblStyle w:val="33"/>
        <w:tblW w:w="5000" w:type="pct"/>
        <w:tblInd w:w="0" w:type="dxa"/>
        <w:tblLayout w:type="autofit"/>
        <w:tblCellMar>
          <w:top w:w="0" w:type="dxa"/>
          <w:left w:w="108" w:type="dxa"/>
          <w:bottom w:w="0" w:type="dxa"/>
          <w:right w:w="108" w:type="dxa"/>
        </w:tblCellMar>
      </w:tblPr>
      <w:tblGrid>
        <w:gridCol w:w="570"/>
        <w:gridCol w:w="1561"/>
        <w:gridCol w:w="995"/>
        <w:gridCol w:w="900"/>
        <w:gridCol w:w="849"/>
        <w:gridCol w:w="1358"/>
        <w:gridCol w:w="849"/>
        <w:gridCol w:w="871"/>
        <w:gridCol w:w="569"/>
      </w:tblGrid>
      <w:tr>
        <w:tblPrEx>
          <w:tblCellMar>
            <w:top w:w="0" w:type="dxa"/>
            <w:left w:w="108" w:type="dxa"/>
            <w:bottom w:w="0" w:type="dxa"/>
            <w:right w:w="108" w:type="dxa"/>
          </w:tblCellMar>
        </w:tblPrEx>
        <w:trPr>
          <w:trHeight w:val="270" w:hRule="atLeast"/>
        </w:trPr>
        <w:tc>
          <w:tcPr>
            <w:tcW w:w="33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序号</w:t>
            </w:r>
          </w:p>
        </w:tc>
        <w:tc>
          <w:tcPr>
            <w:tcW w:w="915"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点名称</w:t>
            </w:r>
          </w:p>
        </w:tc>
        <w:tc>
          <w:tcPr>
            <w:tcW w:w="584"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点坐标</w:t>
            </w:r>
          </w:p>
        </w:tc>
        <w:tc>
          <w:tcPr>
            <w:tcW w:w="528"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浓度类型</w:t>
            </w:r>
          </w:p>
        </w:tc>
        <w:tc>
          <w:tcPr>
            <w:tcW w:w="498"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浓度</w:t>
            </w:r>
          </w:p>
          <w:p>
            <w:pPr>
              <w:pStyle w:val="42"/>
              <w:rPr>
                <w:sz w:val="15"/>
                <w:szCs w:val="15"/>
              </w:rPr>
            </w:pPr>
            <w:r>
              <w:rPr>
                <w:rFonts w:hint="eastAsia"/>
                <w:sz w:val="15"/>
                <w:szCs w:val="15"/>
              </w:rPr>
              <w:t>增量</w:t>
            </w:r>
          </w:p>
          <w:p>
            <w:pPr>
              <w:pStyle w:val="42"/>
              <w:rPr>
                <w:sz w:val="15"/>
                <w:szCs w:val="15"/>
              </w:rPr>
            </w:pPr>
            <w:r>
              <w:rPr>
                <w:rFonts w:hint="eastAsia"/>
                <w:sz w:val="15"/>
                <w:szCs w:val="15"/>
              </w:rPr>
              <w:t>(mg/m</w:t>
            </w:r>
            <w:r>
              <w:rPr>
                <w:rFonts w:hint="eastAsia"/>
                <w:sz w:val="15"/>
                <w:szCs w:val="15"/>
                <w:vertAlign w:val="superscript"/>
              </w:rPr>
              <w:t>3</w:t>
            </w:r>
            <w:r>
              <w:rPr>
                <w:rFonts w:hint="eastAsia"/>
                <w:sz w:val="15"/>
                <w:szCs w:val="15"/>
              </w:rPr>
              <w:t>)</w:t>
            </w:r>
          </w:p>
        </w:tc>
        <w:tc>
          <w:tcPr>
            <w:tcW w:w="797"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出现时间</w:t>
            </w:r>
          </w:p>
          <w:p>
            <w:pPr>
              <w:pStyle w:val="42"/>
              <w:rPr>
                <w:sz w:val="15"/>
                <w:szCs w:val="15"/>
              </w:rPr>
            </w:pPr>
            <w:r>
              <w:rPr>
                <w:rFonts w:hint="eastAsia"/>
                <w:sz w:val="15"/>
                <w:szCs w:val="15"/>
              </w:rPr>
              <w:t>(YYMMDDHH)</w:t>
            </w:r>
          </w:p>
        </w:tc>
        <w:tc>
          <w:tcPr>
            <w:tcW w:w="498"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评价</w:t>
            </w:r>
          </w:p>
          <w:p>
            <w:pPr>
              <w:pStyle w:val="42"/>
              <w:rPr>
                <w:sz w:val="15"/>
                <w:szCs w:val="15"/>
              </w:rPr>
            </w:pPr>
            <w:r>
              <w:rPr>
                <w:rFonts w:hint="eastAsia"/>
                <w:sz w:val="15"/>
                <w:szCs w:val="15"/>
              </w:rPr>
              <w:t>标准</w:t>
            </w:r>
          </w:p>
          <w:p>
            <w:pPr>
              <w:pStyle w:val="42"/>
              <w:rPr>
                <w:sz w:val="15"/>
                <w:szCs w:val="15"/>
              </w:rPr>
            </w:pPr>
            <w:r>
              <w:rPr>
                <w:rFonts w:hint="eastAsia"/>
                <w:sz w:val="15"/>
                <w:szCs w:val="15"/>
              </w:rPr>
              <w:t>(mg/m</w:t>
            </w:r>
            <w:r>
              <w:rPr>
                <w:rFonts w:hint="eastAsia"/>
                <w:sz w:val="15"/>
                <w:szCs w:val="15"/>
                <w:vertAlign w:val="superscript"/>
              </w:rPr>
              <w:t>3</w:t>
            </w:r>
            <w:r>
              <w:rPr>
                <w:rFonts w:hint="eastAsia"/>
                <w:sz w:val="15"/>
                <w:szCs w:val="15"/>
              </w:rPr>
              <w:t>)</w:t>
            </w:r>
          </w:p>
        </w:tc>
        <w:tc>
          <w:tcPr>
            <w:tcW w:w="511"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占标率%</w:t>
            </w:r>
          </w:p>
        </w:tc>
        <w:tc>
          <w:tcPr>
            <w:tcW w:w="334" w:type="pct"/>
            <w:tcBorders>
              <w:top w:val="single" w:color="auto" w:sz="4" w:space="0"/>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是否</w:t>
            </w:r>
          </w:p>
          <w:p>
            <w:pPr>
              <w:pStyle w:val="42"/>
              <w:rPr>
                <w:sz w:val="15"/>
                <w:szCs w:val="15"/>
              </w:rPr>
            </w:pPr>
            <w:r>
              <w:rPr>
                <w:rFonts w:hint="eastAsia"/>
                <w:sz w:val="15"/>
                <w:szCs w:val="15"/>
              </w:rPr>
              <w:t>超标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1</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晏家街道</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2276,-1218</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4.14E-04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19110220</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0.09</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2</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长寿经开区管委会</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1937,-627</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2.93E-04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19060806</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0.07</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3</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晏家中学</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2124,-1907</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2.17E-04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19042905</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0.05</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4</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晏家实验小学</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2509,-773</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5.90E-04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19060924</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0.13</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5</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泓原医院</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2112,-568</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2.86E-04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19072923</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0.06</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6</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龙口村居民点</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-774,2441</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3.54E-04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19081604</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0.08</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7</w:t>
            </w:r>
          </w:p>
        </w:tc>
        <w:tc>
          <w:tcPr>
            <w:tcW w:w="915" w:type="pct"/>
            <w:tcBorders>
              <w:top w:val="nil"/>
              <w:left w:val="nil"/>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观双村居民点</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727,2447</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3.47E-04</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19071819</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0.08</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r>
        <w:tblPrEx>
          <w:tblCellMar>
            <w:top w:w="0" w:type="dxa"/>
            <w:left w:w="108" w:type="dxa"/>
            <w:bottom w:w="0" w:type="dxa"/>
            <w:right w:w="108" w:type="dxa"/>
          </w:tblCellMar>
        </w:tblPrEx>
        <w:trPr>
          <w:trHeight w:val="270" w:hRule="atLeast"/>
        </w:trPr>
        <w:tc>
          <w:tcPr>
            <w:tcW w:w="334" w:type="pct"/>
            <w:tcBorders>
              <w:top w:val="nil"/>
              <w:left w:val="single" w:color="auto" w:sz="4" w:space="0"/>
              <w:bottom w:val="single" w:color="auto" w:sz="4" w:space="0"/>
              <w:right w:val="single" w:color="auto" w:sz="4" w:space="0"/>
            </w:tcBorders>
            <w:shd w:val="clear" w:color="auto" w:fill="auto"/>
            <w:noWrap/>
            <w:vAlign w:val="center"/>
          </w:tcPr>
          <w:p>
            <w:pPr>
              <w:pStyle w:val="42"/>
              <w:rPr>
                <w:sz w:val="15"/>
                <w:szCs w:val="15"/>
              </w:rPr>
            </w:pPr>
            <w:r>
              <w:rPr>
                <w:rFonts w:hint="eastAsia"/>
                <w:sz w:val="15"/>
                <w:szCs w:val="15"/>
              </w:rPr>
              <w:t>8</w:t>
            </w:r>
          </w:p>
        </w:tc>
        <w:tc>
          <w:tcPr>
            <w:tcW w:w="915"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网格</w:t>
            </w:r>
          </w:p>
        </w:tc>
        <w:tc>
          <w:tcPr>
            <w:tcW w:w="58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-300,-800</w:t>
            </w:r>
          </w:p>
        </w:tc>
        <w:tc>
          <w:tcPr>
            <w:tcW w:w="52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1小时</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6.92E-03</w:t>
            </w:r>
          </w:p>
        </w:tc>
        <w:tc>
          <w:tcPr>
            <w:tcW w:w="797"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19012205</w:t>
            </w:r>
          </w:p>
        </w:tc>
        <w:tc>
          <w:tcPr>
            <w:tcW w:w="498"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4.50E-01</w:t>
            </w:r>
          </w:p>
        </w:tc>
        <w:tc>
          <w:tcPr>
            <w:tcW w:w="511"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1.54</w:t>
            </w:r>
          </w:p>
        </w:tc>
        <w:tc>
          <w:tcPr>
            <w:tcW w:w="334" w:type="pct"/>
            <w:tcBorders>
              <w:top w:val="nil"/>
              <w:left w:val="nil"/>
              <w:bottom w:val="single" w:color="auto" w:sz="4" w:space="0"/>
              <w:right w:val="single" w:color="auto" w:sz="4" w:space="0"/>
            </w:tcBorders>
            <w:shd w:val="clear" w:color="auto" w:fill="auto"/>
            <w:noWrap/>
            <w:vAlign w:val="center"/>
          </w:tcPr>
          <w:p>
            <w:pPr>
              <w:pStyle w:val="42"/>
              <w:rPr>
                <w:rFonts w:ascii="宋体" w:hAnsi="宋体" w:cs="宋体"/>
                <w:sz w:val="15"/>
                <w:szCs w:val="15"/>
              </w:rPr>
            </w:pPr>
            <w:r>
              <w:rPr>
                <w:rFonts w:hint="eastAsia"/>
                <w:sz w:val="15"/>
                <w:szCs w:val="15"/>
              </w:rPr>
              <w:t>达标</w:t>
            </w:r>
          </w:p>
        </w:tc>
      </w:tr>
    </w:tbl>
    <w:p>
      <w:pPr>
        <w:ind w:firstLine="480"/>
      </w:pPr>
      <w:r>
        <w:rPr>
          <w:rFonts w:hint="eastAsia"/>
        </w:rPr>
        <w:t>预测结果表明，非正常排放情况下，拟建项目排放各污染物SO</w:t>
      </w:r>
      <w:r>
        <w:rPr>
          <w:rFonts w:hint="eastAsia"/>
          <w:vertAlign w:val="subscript"/>
        </w:rPr>
        <w:t>2</w:t>
      </w:r>
      <w:r>
        <w:rPr>
          <w:rFonts w:hint="eastAsia"/>
        </w:rPr>
        <w:t>、NOx、PM</w:t>
      </w:r>
      <w:r>
        <w:rPr>
          <w:rFonts w:hint="eastAsia"/>
          <w:vertAlign w:val="subscript"/>
        </w:rPr>
        <w:t>10</w:t>
      </w:r>
      <w:r>
        <w:rPr>
          <w:rFonts w:hint="eastAsia"/>
        </w:rPr>
        <w:t>在评价范围内各环境保护目标和网格点处小时浓度最大值均满足《环境空气质量标准》（GB3095-2012）二级标准要求。</w:t>
      </w:r>
    </w:p>
    <w:p>
      <w:pPr>
        <w:pStyle w:val="5"/>
        <w:spacing w:before="163" w:after="163"/>
      </w:pPr>
      <w:r>
        <w:rPr>
          <w:rFonts w:hint="eastAsia"/>
        </w:rPr>
        <w:t>5.2.1.10大气环境防护距离</w:t>
      </w:r>
    </w:p>
    <w:p>
      <w:pPr>
        <w:ind w:firstLine="480"/>
      </w:pPr>
      <w:r>
        <w:rPr>
          <w:rFonts w:hint="eastAsia"/>
        </w:rPr>
        <w:t>根据《环境影响评价技术导则－大气环境》（HJ2.2-2018）的规定，本次大气环境影响预测采用导则推荐的AERMOD模式进行进一步预测。大气环境防护距离计算采用拟建项目建成后全厂的废气污染物排放源强作为环境防护距离计算的源强。环境防护距离计算情况见表5.2-24。</w:t>
      </w:r>
    </w:p>
    <w:p>
      <w:pPr>
        <w:pStyle w:val="41"/>
      </w:pPr>
      <w:r>
        <w:rPr>
          <w:rFonts w:hint="eastAsia"/>
        </w:rPr>
        <w:t>表5.2-24  环境防护距离计算一览表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3"/>
        <w:gridCol w:w="1207"/>
        <w:gridCol w:w="1788"/>
        <w:gridCol w:w="1532"/>
        <w:gridCol w:w="1167"/>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96" w:type="pct"/>
            <w:noWrap/>
            <w:vAlign w:val="center"/>
          </w:tcPr>
          <w:p>
            <w:pPr>
              <w:pStyle w:val="42"/>
            </w:pPr>
            <w:r>
              <w:t>序号</w:t>
            </w:r>
          </w:p>
        </w:tc>
        <w:tc>
          <w:tcPr>
            <w:tcW w:w="722" w:type="pct"/>
            <w:noWrap/>
            <w:vAlign w:val="center"/>
          </w:tcPr>
          <w:p>
            <w:pPr>
              <w:pStyle w:val="42"/>
            </w:pPr>
            <w:r>
              <w:t>污染物</w:t>
            </w:r>
          </w:p>
        </w:tc>
        <w:tc>
          <w:tcPr>
            <w:tcW w:w="1069" w:type="pct"/>
            <w:noWrap/>
            <w:vAlign w:val="center"/>
          </w:tcPr>
          <w:p>
            <w:pPr>
              <w:pStyle w:val="42"/>
            </w:pPr>
            <w:r>
              <w:t>网格点最大浓</w:t>
            </w:r>
          </w:p>
          <w:p>
            <w:pPr>
              <w:pStyle w:val="42"/>
            </w:pPr>
            <w:r>
              <w:t>度(mg/m</w:t>
            </w:r>
            <w:r>
              <w:rPr>
                <w:vertAlign w:val="superscript"/>
              </w:rPr>
              <w:t>3</w:t>
            </w:r>
            <w:r>
              <w:t>)</w:t>
            </w:r>
          </w:p>
        </w:tc>
        <w:tc>
          <w:tcPr>
            <w:tcW w:w="916" w:type="pct"/>
            <w:noWrap/>
            <w:vAlign w:val="center"/>
          </w:tcPr>
          <w:p>
            <w:pPr>
              <w:pStyle w:val="42"/>
            </w:pPr>
            <w:r>
              <w:t>评价标准</w:t>
            </w:r>
          </w:p>
          <w:p>
            <w:pPr>
              <w:pStyle w:val="42"/>
            </w:pPr>
            <w:r>
              <w:t>(mg/m</w:t>
            </w:r>
            <w:r>
              <w:rPr>
                <w:vertAlign w:val="superscript"/>
              </w:rPr>
              <w:t>3</w:t>
            </w:r>
            <w:r>
              <w:t>)</w:t>
            </w:r>
          </w:p>
        </w:tc>
        <w:tc>
          <w:tcPr>
            <w:tcW w:w="698" w:type="pct"/>
            <w:noWrap/>
            <w:vAlign w:val="center"/>
          </w:tcPr>
          <w:p>
            <w:pPr>
              <w:pStyle w:val="42"/>
            </w:pPr>
            <w:r>
              <w:t>浓度占标率</w:t>
            </w:r>
          </w:p>
          <w:p>
            <w:pPr>
              <w:pStyle w:val="42"/>
            </w:pPr>
            <w:r>
              <w:rPr>
                <w:rFonts w:hint="eastAsia"/>
              </w:rPr>
              <w:t>（</w:t>
            </w:r>
            <w:r>
              <w:t>%</w:t>
            </w:r>
            <w:r>
              <w:rPr>
                <w:rFonts w:hint="eastAsia"/>
              </w:rPr>
              <w:t>）</w:t>
            </w:r>
          </w:p>
        </w:tc>
        <w:tc>
          <w:tcPr>
            <w:tcW w:w="1199" w:type="pct"/>
            <w:noWrap/>
            <w:vAlign w:val="center"/>
          </w:tcPr>
          <w:p>
            <w:pPr>
              <w:pStyle w:val="42"/>
            </w:pPr>
            <w:r>
              <w:t>环境防护距离</w:t>
            </w:r>
          </w:p>
          <w:p>
            <w:pPr>
              <w:pStyle w:val="42"/>
            </w:pPr>
            <w:r>
              <w:t>计算结果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t>1</w:t>
            </w:r>
          </w:p>
        </w:tc>
        <w:tc>
          <w:tcPr>
            <w:tcW w:w="722" w:type="pct"/>
            <w:noWrap/>
            <w:vAlign w:val="center"/>
          </w:tcPr>
          <w:p>
            <w:pPr>
              <w:pStyle w:val="42"/>
            </w:pPr>
            <w:r>
              <w:rPr>
                <w:rFonts w:hint="eastAsia"/>
              </w:rPr>
              <w:t>S</w:t>
            </w:r>
            <w:r>
              <w:t>O</w:t>
            </w:r>
            <w:r>
              <w:rPr>
                <w:vertAlign w:val="subscript"/>
              </w:rPr>
              <w:t>2</w:t>
            </w:r>
          </w:p>
        </w:tc>
        <w:tc>
          <w:tcPr>
            <w:tcW w:w="1069" w:type="pct"/>
            <w:noWrap/>
            <w:vAlign w:val="center"/>
          </w:tcPr>
          <w:p>
            <w:pPr>
              <w:pStyle w:val="42"/>
            </w:pPr>
            <w:r>
              <w:rPr>
                <w:rFonts w:hint="eastAsia"/>
              </w:rPr>
              <w:t>7.40E-03</w:t>
            </w:r>
          </w:p>
        </w:tc>
        <w:tc>
          <w:tcPr>
            <w:tcW w:w="916" w:type="pct"/>
            <w:noWrap/>
            <w:vAlign w:val="center"/>
          </w:tcPr>
          <w:p>
            <w:pPr>
              <w:pStyle w:val="42"/>
            </w:pPr>
            <w:r>
              <w:t>0.</w:t>
            </w:r>
            <w:r>
              <w:rPr>
                <w:rFonts w:hint="eastAsia"/>
              </w:rPr>
              <w:t>50</w:t>
            </w:r>
          </w:p>
        </w:tc>
        <w:tc>
          <w:tcPr>
            <w:tcW w:w="698" w:type="pct"/>
            <w:noWrap/>
            <w:vAlign w:val="center"/>
          </w:tcPr>
          <w:p>
            <w:pPr>
              <w:pStyle w:val="42"/>
              <w:rPr>
                <w:lang w:val="en-GB"/>
              </w:rPr>
            </w:pPr>
            <w:r>
              <w:rPr>
                <w:rFonts w:hint="eastAsia"/>
                <w:lang w:val="en-GB"/>
              </w:rPr>
              <w:t>1.48</w:t>
            </w:r>
          </w:p>
        </w:tc>
        <w:tc>
          <w:tcPr>
            <w:tcW w:w="1199" w:type="pct"/>
            <w:noWrap/>
            <w:vAlign w:val="center"/>
          </w:tcPr>
          <w:p>
            <w:pPr>
              <w:pStyle w:val="42"/>
            </w:pPr>
            <w: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t>2</w:t>
            </w:r>
          </w:p>
        </w:tc>
        <w:tc>
          <w:tcPr>
            <w:tcW w:w="722" w:type="pct"/>
            <w:noWrap/>
            <w:vAlign w:val="center"/>
          </w:tcPr>
          <w:p>
            <w:pPr>
              <w:pStyle w:val="42"/>
            </w:pPr>
            <w:r>
              <w:rPr>
                <w:rFonts w:hint="eastAsia"/>
              </w:rPr>
              <w:t>N</w:t>
            </w:r>
            <w:r>
              <w:t>O</w:t>
            </w:r>
            <w:r>
              <w:rPr>
                <w:rFonts w:hint="eastAsia"/>
                <w:vertAlign w:val="subscript"/>
              </w:rPr>
              <w:t>x</w:t>
            </w:r>
          </w:p>
        </w:tc>
        <w:tc>
          <w:tcPr>
            <w:tcW w:w="1069" w:type="pct"/>
            <w:noWrap/>
            <w:vAlign w:val="center"/>
          </w:tcPr>
          <w:p>
            <w:pPr>
              <w:pStyle w:val="42"/>
            </w:pPr>
            <w:r>
              <w:rPr>
                <w:rFonts w:hint="eastAsia"/>
              </w:rPr>
              <w:t>1.11E-01</w:t>
            </w:r>
          </w:p>
        </w:tc>
        <w:tc>
          <w:tcPr>
            <w:tcW w:w="916" w:type="pct"/>
            <w:noWrap/>
            <w:vAlign w:val="center"/>
          </w:tcPr>
          <w:p>
            <w:pPr>
              <w:pStyle w:val="42"/>
            </w:pPr>
            <w:r>
              <w:rPr>
                <w:rFonts w:hint="eastAsia"/>
              </w:rPr>
              <w:t>0.25</w:t>
            </w:r>
          </w:p>
        </w:tc>
        <w:tc>
          <w:tcPr>
            <w:tcW w:w="698" w:type="pct"/>
            <w:noWrap/>
            <w:vAlign w:val="center"/>
          </w:tcPr>
          <w:p>
            <w:pPr>
              <w:pStyle w:val="42"/>
            </w:pPr>
            <w:r>
              <w:rPr>
                <w:rFonts w:hint="eastAsia"/>
              </w:rPr>
              <w:t>44.57</w:t>
            </w:r>
          </w:p>
        </w:tc>
        <w:tc>
          <w:tcPr>
            <w:tcW w:w="1199" w:type="pct"/>
            <w:noWrap/>
            <w:vAlign w:val="center"/>
          </w:tcPr>
          <w:p>
            <w:pPr>
              <w:pStyle w:val="42"/>
            </w:pPr>
            <w: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t>3</w:t>
            </w:r>
          </w:p>
        </w:tc>
        <w:tc>
          <w:tcPr>
            <w:tcW w:w="722" w:type="pct"/>
            <w:noWrap/>
            <w:vAlign w:val="center"/>
          </w:tcPr>
          <w:p>
            <w:pPr>
              <w:pStyle w:val="42"/>
            </w:pPr>
            <w:r>
              <w:rPr>
                <w:rFonts w:hint="eastAsia"/>
              </w:rPr>
              <w:t>P</w:t>
            </w:r>
            <w:r>
              <w:t>M</w:t>
            </w:r>
            <w:r>
              <w:rPr>
                <w:vertAlign w:val="subscript"/>
              </w:rPr>
              <w:t>10</w:t>
            </w:r>
          </w:p>
        </w:tc>
        <w:tc>
          <w:tcPr>
            <w:tcW w:w="1069" w:type="pct"/>
            <w:noWrap/>
            <w:vAlign w:val="center"/>
          </w:tcPr>
          <w:p>
            <w:pPr>
              <w:pStyle w:val="42"/>
            </w:pPr>
            <w:r>
              <w:rPr>
                <w:rFonts w:hint="eastAsia"/>
              </w:rPr>
              <w:t>1.49E-02</w:t>
            </w:r>
          </w:p>
        </w:tc>
        <w:tc>
          <w:tcPr>
            <w:tcW w:w="916" w:type="pct"/>
            <w:noWrap/>
            <w:vAlign w:val="center"/>
          </w:tcPr>
          <w:p>
            <w:pPr>
              <w:pStyle w:val="42"/>
            </w:pPr>
            <w:r>
              <w:rPr>
                <w:rFonts w:hint="eastAsia"/>
              </w:rPr>
              <w:t>0.45</w:t>
            </w:r>
          </w:p>
        </w:tc>
        <w:tc>
          <w:tcPr>
            <w:tcW w:w="698" w:type="pct"/>
            <w:noWrap/>
            <w:vAlign w:val="center"/>
          </w:tcPr>
          <w:p>
            <w:pPr>
              <w:pStyle w:val="42"/>
            </w:pPr>
            <w:r>
              <w:rPr>
                <w:rFonts w:hint="eastAsia"/>
              </w:rPr>
              <w:t>3.3</w:t>
            </w:r>
          </w:p>
        </w:tc>
        <w:tc>
          <w:tcPr>
            <w:tcW w:w="1199" w:type="pct"/>
            <w:noWrap/>
            <w:vAlign w:val="center"/>
          </w:tcPr>
          <w:p>
            <w:pPr>
              <w:pStyle w:val="42"/>
            </w:pPr>
            <w: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t>4</w:t>
            </w:r>
          </w:p>
        </w:tc>
        <w:tc>
          <w:tcPr>
            <w:tcW w:w="722" w:type="pct"/>
            <w:noWrap/>
            <w:vAlign w:val="center"/>
          </w:tcPr>
          <w:p>
            <w:pPr>
              <w:pStyle w:val="42"/>
            </w:pPr>
            <w:r>
              <w:rPr>
                <w:rFonts w:hint="eastAsia"/>
              </w:rPr>
              <w:t>P</w:t>
            </w:r>
            <w:r>
              <w:t>M</w:t>
            </w:r>
            <w:r>
              <w:rPr>
                <w:rFonts w:hint="eastAsia"/>
                <w:vertAlign w:val="subscript"/>
              </w:rPr>
              <w:t>2.5</w:t>
            </w:r>
          </w:p>
        </w:tc>
        <w:tc>
          <w:tcPr>
            <w:tcW w:w="1069" w:type="pct"/>
            <w:noWrap/>
            <w:vAlign w:val="center"/>
          </w:tcPr>
          <w:p>
            <w:pPr>
              <w:pStyle w:val="42"/>
            </w:pPr>
            <w:r>
              <w:rPr>
                <w:rFonts w:hint="eastAsia"/>
              </w:rPr>
              <w:t>7.43E-03</w:t>
            </w:r>
          </w:p>
        </w:tc>
        <w:tc>
          <w:tcPr>
            <w:tcW w:w="916" w:type="pct"/>
            <w:noWrap/>
            <w:vAlign w:val="center"/>
          </w:tcPr>
          <w:p>
            <w:pPr>
              <w:pStyle w:val="42"/>
            </w:pPr>
            <w:r>
              <w:rPr>
                <w:rFonts w:hint="eastAsia"/>
              </w:rPr>
              <w:t>0.225</w:t>
            </w:r>
          </w:p>
        </w:tc>
        <w:tc>
          <w:tcPr>
            <w:tcW w:w="698" w:type="pct"/>
            <w:noWrap/>
            <w:vAlign w:val="center"/>
          </w:tcPr>
          <w:p>
            <w:pPr>
              <w:pStyle w:val="42"/>
            </w:pPr>
            <w:r>
              <w:rPr>
                <w:rFonts w:hint="eastAsia"/>
              </w:rPr>
              <w:t>3.3</w:t>
            </w:r>
          </w:p>
        </w:tc>
        <w:tc>
          <w:tcPr>
            <w:tcW w:w="1199" w:type="pct"/>
            <w:noWrap/>
            <w:vAlign w:val="center"/>
          </w:tcPr>
          <w:p>
            <w:pPr>
              <w:pStyle w:val="42"/>
            </w:pPr>
            <w: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t>5</w:t>
            </w:r>
          </w:p>
        </w:tc>
        <w:tc>
          <w:tcPr>
            <w:tcW w:w="722" w:type="pct"/>
            <w:noWrap/>
            <w:vAlign w:val="center"/>
          </w:tcPr>
          <w:p>
            <w:pPr>
              <w:pStyle w:val="42"/>
            </w:pPr>
            <w:r>
              <w:rPr>
                <w:rFonts w:hint="eastAsia"/>
              </w:rPr>
              <w:t>NH</w:t>
            </w:r>
            <w:r>
              <w:rPr>
                <w:rFonts w:hint="eastAsia"/>
                <w:vertAlign w:val="subscript"/>
              </w:rPr>
              <w:t>3</w:t>
            </w:r>
          </w:p>
        </w:tc>
        <w:tc>
          <w:tcPr>
            <w:tcW w:w="1069" w:type="pct"/>
            <w:noWrap/>
            <w:vAlign w:val="center"/>
          </w:tcPr>
          <w:p>
            <w:pPr>
              <w:pStyle w:val="42"/>
            </w:pPr>
            <w:r>
              <w:rPr>
                <w:rFonts w:hint="eastAsia"/>
              </w:rPr>
              <w:t>7.28E-02</w:t>
            </w:r>
          </w:p>
        </w:tc>
        <w:tc>
          <w:tcPr>
            <w:tcW w:w="916" w:type="pct"/>
            <w:noWrap/>
            <w:vAlign w:val="center"/>
          </w:tcPr>
          <w:p>
            <w:pPr>
              <w:pStyle w:val="42"/>
            </w:pPr>
            <w:r>
              <w:t>0.</w:t>
            </w:r>
            <w:r>
              <w:rPr>
                <w:rFonts w:hint="eastAsia"/>
              </w:rPr>
              <w:t>20</w:t>
            </w:r>
          </w:p>
        </w:tc>
        <w:tc>
          <w:tcPr>
            <w:tcW w:w="698" w:type="pct"/>
            <w:noWrap/>
            <w:vAlign w:val="center"/>
          </w:tcPr>
          <w:p>
            <w:pPr>
              <w:pStyle w:val="42"/>
            </w:pPr>
            <w:r>
              <w:rPr>
                <w:rFonts w:hint="eastAsia"/>
              </w:rPr>
              <w:t>36.41</w:t>
            </w:r>
          </w:p>
        </w:tc>
        <w:tc>
          <w:tcPr>
            <w:tcW w:w="1199" w:type="pct"/>
            <w:noWrap/>
            <w:vAlign w:val="center"/>
          </w:tcPr>
          <w:p>
            <w:pPr>
              <w:pStyle w:val="42"/>
            </w:pPr>
            <w: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396" w:type="pct"/>
            <w:noWrap/>
            <w:vAlign w:val="center"/>
          </w:tcPr>
          <w:p>
            <w:pPr>
              <w:pStyle w:val="42"/>
            </w:pPr>
            <w:r>
              <w:rPr>
                <w:rFonts w:hint="eastAsia"/>
              </w:rPr>
              <w:t>6</w:t>
            </w:r>
          </w:p>
        </w:tc>
        <w:tc>
          <w:tcPr>
            <w:tcW w:w="722" w:type="pct"/>
            <w:noWrap/>
            <w:vAlign w:val="center"/>
          </w:tcPr>
          <w:p>
            <w:pPr>
              <w:pStyle w:val="42"/>
            </w:pPr>
            <w:r>
              <w:rPr>
                <w:rFonts w:hint="eastAsia"/>
              </w:rPr>
              <w:t>非甲烷总烃</w:t>
            </w:r>
          </w:p>
        </w:tc>
        <w:tc>
          <w:tcPr>
            <w:tcW w:w="1069" w:type="pct"/>
            <w:noWrap/>
            <w:vAlign w:val="center"/>
          </w:tcPr>
          <w:p>
            <w:pPr>
              <w:pStyle w:val="42"/>
            </w:pPr>
            <w:r>
              <w:rPr>
                <w:rFonts w:hint="eastAsia"/>
              </w:rPr>
              <w:t>1.84E-05</w:t>
            </w:r>
          </w:p>
        </w:tc>
        <w:tc>
          <w:tcPr>
            <w:tcW w:w="916" w:type="pct"/>
            <w:noWrap/>
            <w:vAlign w:val="center"/>
          </w:tcPr>
          <w:p>
            <w:pPr>
              <w:pStyle w:val="42"/>
            </w:pPr>
            <w:r>
              <w:rPr>
                <w:rFonts w:hint="eastAsia"/>
              </w:rPr>
              <w:t>2.0</w:t>
            </w:r>
          </w:p>
        </w:tc>
        <w:tc>
          <w:tcPr>
            <w:tcW w:w="698" w:type="pct"/>
            <w:noWrap/>
            <w:vAlign w:val="center"/>
          </w:tcPr>
          <w:p>
            <w:pPr>
              <w:pStyle w:val="42"/>
            </w:pPr>
            <w:r>
              <w:rPr>
                <w:rFonts w:hint="eastAsia"/>
              </w:rPr>
              <w:t>0.0009</w:t>
            </w:r>
          </w:p>
        </w:tc>
        <w:tc>
          <w:tcPr>
            <w:tcW w:w="1199" w:type="pct"/>
            <w:noWrap/>
            <w:vAlign w:val="center"/>
          </w:tcPr>
          <w:p>
            <w:pPr>
              <w:pStyle w:val="42"/>
            </w:pPr>
            <w:r>
              <w:t>无超标点</w:t>
            </w:r>
          </w:p>
        </w:tc>
      </w:tr>
    </w:tbl>
    <w:p>
      <w:pPr>
        <w:ind w:firstLine="480"/>
      </w:pPr>
      <w:r>
        <w:rPr>
          <w:rFonts w:hint="eastAsia"/>
        </w:rPr>
        <w:t>预测结果表明，正常工况下，拟建项目所有污染源各污染物短期浓度贡献值均小于相应的环境质量标准。因此，本次评价不需另行设置大气环境防护距离。</w:t>
      </w:r>
    </w:p>
    <w:p>
      <w:pPr>
        <w:pStyle w:val="5"/>
        <w:spacing w:before="163" w:after="163"/>
      </w:pPr>
      <w:r>
        <w:rPr>
          <w:rFonts w:hint="eastAsia"/>
        </w:rPr>
        <w:t>5.2.1.11恶臭影响分析</w:t>
      </w:r>
    </w:p>
    <w:p>
      <w:pPr>
        <w:ind w:firstLine="480"/>
      </w:pPr>
      <w:r>
        <w:rPr>
          <w:rFonts w:hint="eastAsia"/>
        </w:rPr>
        <w:t>恶臭污染物是指一切刺激嗅觉器官引起人们不愉快及损害生活环境的气体物质。由于恶臭污染物种类很多，而且大多数恶臭气体是多组分、低浓度的混合物，评价从原辅材料、中间产品及产品物理性质方面，进行逐一定性分析，分析气味的来源，最终分析恶臭污染物存在的可能性。</w:t>
      </w:r>
    </w:p>
    <w:p>
      <w:pPr>
        <w:ind w:firstLine="480"/>
      </w:pPr>
      <w:r>
        <w:rPr>
          <w:rFonts w:hint="eastAsia"/>
        </w:rPr>
        <w:t>（1）原料恶臭影响分析</w:t>
      </w:r>
    </w:p>
    <w:p>
      <w:pPr>
        <w:ind w:firstLine="480"/>
      </w:pPr>
      <w:r>
        <w:rPr>
          <w:rFonts w:hint="eastAsia"/>
        </w:rPr>
        <w:t>结合《环境保护实用数据手册》给出部分原辅材料阈值及性质。生产运行过程中涉及的主要恶臭物质特性见表5.2-25。</w:t>
      </w:r>
    </w:p>
    <w:p>
      <w:pPr>
        <w:pStyle w:val="41"/>
      </w:pPr>
      <w:r>
        <w:rPr>
          <w:rFonts w:hint="eastAsia"/>
        </w:rPr>
        <w:t>表5.2-25 生产运行过程中涉及的物质特性表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25"/>
        <w:gridCol w:w="699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tblHeader/>
          <w:jc w:val="center"/>
        </w:trPr>
        <w:tc>
          <w:tcPr>
            <w:tcW w:w="895" w:type="pct"/>
            <w:vAlign w:val="center"/>
          </w:tcPr>
          <w:p>
            <w:pPr>
              <w:pStyle w:val="65"/>
              <w:ind w:firstLine="400"/>
            </w:pPr>
            <w:r>
              <w:t>名称</w:t>
            </w:r>
          </w:p>
        </w:tc>
        <w:tc>
          <w:tcPr>
            <w:tcW w:w="4105" w:type="pct"/>
            <w:vAlign w:val="center"/>
          </w:tcPr>
          <w:p>
            <w:pPr>
              <w:pStyle w:val="65"/>
              <w:ind w:firstLine="400"/>
            </w:pPr>
            <w:r>
              <w:t>物质特性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895" w:type="pct"/>
            <w:vAlign w:val="center"/>
          </w:tcPr>
          <w:p>
            <w:pPr>
              <w:pStyle w:val="65"/>
              <w:ind w:firstLine="400"/>
            </w:pPr>
            <w:r>
              <w:t>液氨</w:t>
            </w:r>
          </w:p>
        </w:tc>
        <w:tc>
          <w:tcPr>
            <w:tcW w:w="4105" w:type="pct"/>
            <w:vAlign w:val="center"/>
          </w:tcPr>
          <w:p>
            <w:pPr>
              <w:pStyle w:val="65"/>
              <w:ind w:firstLine="400"/>
            </w:pPr>
            <w:r>
              <w:t>无色液体，刺激性臭味，嗅觉阈值1.5ppm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895" w:type="pct"/>
            <w:vAlign w:val="center"/>
          </w:tcPr>
          <w:p>
            <w:pPr>
              <w:pStyle w:val="65"/>
              <w:ind w:firstLine="400"/>
            </w:pPr>
            <w:r>
              <w:rPr>
                <w:rFonts w:hint="eastAsia"/>
              </w:rPr>
              <w:t>硫化氢</w:t>
            </w:r>
          </w:p>
        </w:tc>
        <w:tc>
          <w:tcPr>
            <w:tcW w:w="4105" w:type="pct"/>
            <w:vAlign w:val="center"/>
          </w:tcPr>
          <w:p>
            <w:pPr>
              <w:pStyle w:val="65"/>
              <w:ind w:firstLine="400"/>
            </w:pPr>
            <w:r>
              <w:rPr>
                <w:rFonts w:hint="eastAsia"/>
              </w:rPr>
              <w:t>无色、酸性气体，有一种特殊的臭鸡蛋味，</w:t>
            </w:r>
            <w:r>
              <w:t>嗅觉阈值</w:t>
            </w:r>
            <w:r>
              <w:rPr>
                <w:rFonts w:hint="eastAsia"/>
              </w:rPr>
              <w:t>0.00041</w:t>
            </w:r>
            <w:r>
              <w:t>ppm</w:t>
            </w:r>
          </w:p>
        </w:tc>
      </w:tr>
    </w:tbl>
    <w:p>
      <w:pPr>
        <w:ind w:firstLine="480"/>
      </w:pPr>
      <w:r>
        <w:rPr>
          <w:rFonts w:hint="eastAsia"/>
        </w:rPr>
        <w:t>由上表可知，拟建项目产品液氨和污水处理站硫化氢等存在一定气味，其中硫化氢等物质嗅觉阈值极低，极易产生恶臭，由于装置存在跑、冒、滴、漏以及无组织排放，各种气味的混合易产生新的混合气味，对周边环境产生一定影响。</w:t>
      </w:r>
    </w:p>
    <w:p>
      <w:pPr>
        <w:ind w:firstLine="480"/>
      </w:pPr>
      <w:r>
        <w:rPr>
          <w:rFonts w:hint="eastAsia"/>
        </w:rPr>
        <w:t>拟建项目生产装置区通过优化生产工艺，从源头削减恶臭物质的使用量，同时通过加强管理，减少装置的跑、冒、滴、漏，减少恶臭污染物的无组织排放，液氨等挥发性物料通过无泄漏泵密闭管道投料，减少无组织排放。</w:t>
      </w:r>
    </w:p>
    <w:p>
      <w:pPr>
        <w:ind w:firstLine="480"/>
      </w:pPr>
      <w:r>
        <w:rPr>
          <w:rFonts w:hint="eastAsia"/>
        </w:rPr>
        <w:t>同时生产装置开停车、检修等严格按操作规程进行，产生的吹扫废气、装置余气等均进入废气处理设施。</w:t>
      </w:r>
    </w:p>
    <w:p>
      <w:pPr>
        <w:ind w:firstLine="480"/>
      </w:pPr>
      <w:r>
        <w:rPr>
          <w:rFonts w:hint="eastAsia"/>
        </w:rPr>
        <w:t>（2）生产装置区、污水处理站、危险废物暂存间恶臭影响分析</w:t>
      </w:r>
    </w:p>
    <w:p>
      <w:pPr>
        <w:ind w:firstLine="480"/>
      </w:pPr>
      <w:r>
        <w:rPr>
          <w:rFonts w:hint="eastAsia"/>
        </w:rPr>
        <w:t>为控制生产装置区无组织废气的排放量，拟建项目生产过程采用全密闭设备，且安装先进的自动控制系统和安全报警装置，系统可根据压力、阀位检测、温度、流量等参数自动对工艺或设备故障进行自动诊断，并设有可燃、有毒气体检测报警仪，一旦发生气体泄漏，系统将自动报警，并立即采取措施，所以拟建项目生产装置区的无组织排放量控制在较低水平；拟建项目液氨闪蒸槽废气经管道收集接入氨洗塔，水洗处理后排入一段转化炉作为燃料回收利用；二氧化碳储罐区呼吸废气管道集中收集，作为纯化干燥工序再生气回用。</w:t>
      </w:r>
    </w:p>
    <w:p>
      <w:pPr>
        <w:ind w:firstLine="480"/>
      </w:pPr>
      <w:r>
        <w:rPr>
          <w:rFonts w:hint="eastAsia"/>
        </w:rPr>
        <w:t>拟建项目污水处理站调节池、SBR生化池、污泥浓缩池等产臭构筑物加盖密闭，臭气管道集中收集；危废暂存间设置抽排风系统，废气集中收集，与废水处理站臭气一并经采用“活性炭吸附”处理达标后，经15高排气筒排放。</w:t>
      </w:r>
    </w:p>
    <w:p>
      <w:pPr>
        <w:ind w:firstLine="480"/>
      </w:pPr>
      <w:r>
        <w:rPr>
          <w:rFonts w:hint="eastAsia"/>
        </w:rPr>
        <w:t>同时，通过加强设备选型和设备维护和管理，保持储罐、设备的严密性、不断改进生产操作管理，减少恶臭气体散发量，可最大限度的减轻废气无组织排放对周围环境造成的影响。</w:t>
      </w:r>
    </w:p>
    <w:p>
      <w:pPr>
        <w:ind w:firstLine="480"/>
      </w:pPr>
      <w:r>
        <w:rPr>
          <w:rFonts w:hint="eastAsia"/>
        </w:rPr>
        <w:t>评价认为经过一系列恶臭污染控制措施后，可有效的降低全厂恶臭污染源强，将对环境的恶臭影响降至最低。</w:t>
      </w:r>
    </w:p>
    <w:p>
      <w:pPr>
        <w:ind w:firstLine="480"/>
      </w:pPr>
      <w:r>
        <w:rPr>
          <w:rFonts w:hint="eastAsia"/>
        </w:rPr>
        <w:t>总体而言，拟建项目从原辅料理化性质以及生产过程中产生的“三废”分析，恶臭污染物通过集中收集后再经过活性炭吸附处理后，能有效降低臭气浓度。在采取有效的恶臭污染防治措施后，产生的臭气能得到有效治理，对周边环境影响较小。</w:t>
      </w:r>
    </w:p>
    <w:p>
      <w:pPr>
        <w:pStyle w:val="5"/>
        <w:spacing w:before="163" w:after="163"/>
      </w:pPr>
      <w:r>
        <w:rPr>
          <w:rFonts w:hint="eastAsia"/>
        </w:rPr>
        <w:t>5.2.1.12 污染物排放量核算</w:t>
      </w:r>
    </w:p>
    <w:p>
      <w:pPr>
        <w:ind w:firstLine="480"/>
      </w:pPr>
      <w:r>
        <w:rPr>
          <w:rFonts w:hint="eastAsia"/>
        </w:rPr>
        <w:t>拟建项目大气污染物有组织排放量核算见表5.2-26，项目大气污染物无组织排放量核算见表5.2-27，项目大气污染物年排放量核算见表5.2-28，大气环境影响评价自查表见表5.2-29。</w:t>
      </w:r>
    </w:p>
    <w:p>
      <w:pPr>
        <w:pStyle w:val="41"/>
      </w:pPr>
      <w:r>
        <w:rPr>
          <w:rFonts w:hint="eastAsia"/>
        </w:rPr>
        <w:t>表5.2-26  拟建项目大气污染物有组织排放量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28" w:type="dxa"/>
          <w:bottom w:w="40" w:type="dxa"/>
          <w:right w:w="28" w:type="dxa"/>
        </w:tblCellMar>
      </w:tblPr>
      <w:tblGrid>
        <w:gridCol w:w="736"/>
        <w:gridCol w:w="1988"/>
        <w:gridCol w:w="1378"/>
        <w:gridCol w:w="1482"/>
        <w:gridCol w:w="1388"/>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624" w:hRule="atLeast"/>
        </w:trPr>
        <w:tc>
          <w:tcPr>
            <w:tcW w:w="440" w:type="pct"/>
            <w:vMerge w:val="restart"/>
            <w:shd w:val="clear" w:color="auto" w:fill="auto"/>
            <w:vAlign w:val="center"/>
          </w:tcPr>
          <w:p>
            <w:pPr>
              <w:pStyle w:val="42"/>
            </w:pPr>
            <w:r>
              <w:t>序号</w:t>
            </w:r>
          </w:p>
        </w:tc>
        <w:tc>
          <w:tcPr>
            <w:tcW w:w="1189" w:type="pct"/>
            <w:vMerge w:val="restart"/>
            <w:shd w:val="clear" w:color="auto" w:fill="auto"/>
            <w:vAlign w:val="center"/>
          </w:tcPr>
          <w:p>
            <w:pPr>
              <w:pStyle w:val="42"/>
            </w:pPr>
            <w:r>
              <w:t>排放口编号</w:t>
            </w:r>
          </w:p>
        </w:tc>
        <w:tc>
          <w:tcPr>
            <w:tcW w:w="824" w:type="pct"/>
            <w:vMerge w:val="restart"/>
            <w:shd w:val="clear" w:color="auto" w:fill="auto"/>
            <w:vAlign w:val="center"/>
          </w:tcPr>
          <w:p>
            <w:pPr>
              <w:pStyle w:val="42"/>
            </w:pPr>
            <w:r>
              <w:t>污染物</w:t>
            </w:r>
          </w:p>
        </w:tc>
        <w:tc>
          <w:tcPr>
            <w:tcW w:w="886" w:type="pct"/>
            <w:vMerge w:val="restart"/>
            <w:shd w:val="clear" w:color="auto" w:fill="auto"/>
            <w:vAlign w:val="center"/>
          </w:tcPr>
          <w:p>
            <w:pPr>
              <w:pStyle w:val="42"/>
            </w:pPr>
            <w:r>
              <w:t>核算排放浓度限值/（mg/m</w:t>
            </w:r>
            <w:r>
              <w:rPr>
                <w:vertAlign w:val="superscript"/>
              </w:rPr>
              <w:t>3</w:t>
            </w:r>
            <w:r>
              <w:t>）</w:t>
            </w:r>
          </w:p>
        </w:tc>
        <w:tc>
          <w:tcPr>
            <w:tcW w:w="830" w:type="pct"/>
            <w:vMerge w:val="restart"/>
            <w:shd w:val="clear" w:color="auto" w:fill="auto"/>
            <w:vAlign w:val="center"/>
          </w:tcPr>
          <w:p>
            <w:pPr>
              <w:pStyle w:val="42"/>
            </w:pPr>
            <w:r>
              <w:t>核算排放速率限值/（kg/h）</w:t>
            </w:r>
          </w:p>
        </w:tc>
        <w:tc>
          <w:tcPr>
            <w:tcW w:w="831" w:type="pct"/>
            <w:vMerge w:val="restart"/>
            <w:shd w:val="clear" w:color="auto" w:fill="auto"/>
            <w:vAlign w:val="center"/>
          </w:tcPr>
          <w:p>
            <w:pPr>
              <w:pStyle w:val="42"/>
            </w:pPr>
            <w: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360" w:hRule="atLeast"/>
        </w:trPr>
        <w:tc>
          <w:tcPr>
            <w:tcW w:w="440" w:type="pct"/>
            <w:vMerge w:val="continue"/>
            <w:vAlign w:val="center"/>
          </w:tcPr>
          <w:p>
            <w:pPr>
              <w:pStyle w:val="42"/>
            </w:pPr>
          </w:p>
        </w:tc>
        <w:tc>
          <w:tcPr>
            <w:tcW w:w="1189" w:type="pct"/>
            <w:vMerge w:val="continue"/>
            <w:vAlign w:val="center"/>
          </w:tcPr>
          <w:p>
            <w:pPr>
              <w:pStyle w:val="42"/>
            </w:pPr>
          </w:p>
        </w:tc>
        <w:tc>
          <w:tcPr>
            <w:tcW w:w="824" w:type="pct"/>
            <w:vMerge w:val="continue"/>
            <w:vAlign w:val="center"/>
          </w:tcPr>
          <w:p>
            <w:pPr>
              <w:pStyle w:val="42"/>
            </w:pPr>
          </w:p>
        </w:tc>
        <w:tc>
          <w:tcPr>
            <w:tcW w:w="886" w:type="pct"/>
            <w:vMerge w:val="continue"/>
            <w:vAlign w:val="center"/>
          </w:tcPr>
          <w:p>
            <w:pPr>
              <w:pStyle w:val="42"/>
            </w:pPr>
          </w:p>
        </w:tc>
        <w:tc>
          <w:tcPr>
            <w:tcW w:w="830" w:type="pct"/>
            <w:vMerge w:val="continue"/>
            <w:vAlign w:val="center"/>
          </w:tcPr>
          <w:p>
            <w:pPr>
              <w:pStyle w:val="42"/>
            </w:pPr>
          </w:p>
        </w:tc>
        <w:tc>
          <w:tcPr>
            <w:tcW w:w="831" w:type="pct"/>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5000" w:type="pct"/>
            <w:gridSpan w:val="6"/>
            <w:shd w:val="clear" w:color="auto" w:fill="auto"/>
            <w:vAlign w:val="center"/>
          </w:tcPr>
          <w:p>
            <w:pPr>
              <w:pStyle w:val="42"/>
            </w:pPr>
            <w: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440" w:type="pct"/>
            <w:vMerge w:val="restart"/>
            <w:shd w:val="clear" w:color="auto" w:fill="auto"/>
            <w:vAlign w:val="center"/>
          </w:tcPr>
          <w:p>
            <w:pPr>
              <w:pStyle w:val="42"/>
            </w:pPr>
            <w:r>
              <w:t>1</w:t>
            </w:r>
          </w:p>
        </w:tc>
        <w:tc>
          <w:tcPr>
            <w:tcW w:w="1189" w:type="pct"/>
            <w:vMerge w:val="restart"/>
            <w:shd w:val="clear" w:color="auto" w:fill="auto"/>
            <w:vAlign w:val="center"/>
          </w:tcPr>
          <w:p>
            <w:pPr>
              <w:pStyle w:val="42"/>
            </w:pPr>
            <w:r>
              <w:rPr>
                <w:rFonts w:hint="eastAsia"/>
              </w:rPr>
              <w:t>一段转化炉</w:t>
            </w:r>
          </w:p>
          <w:p>
            <w:pPr>
              <w:pStyle w:val="42"/>
            </w:pPr>
            <w:r>
              <w:rPr>
                <w:rFonts w:hint="eastAsia"/>
              </w:rPr>
              <w:t>1#</w:t>
            </w:r>
            <w:r>
              <w:t>排气筒</w:t>
            </w:r>
          </w:p>
        </w:tc>
        <w:tc>
          <w:tcPr>
            <w:tcW w:w="824" w:type="pct"/>
            <w:shd w:val="clear" w:color="auto" w:fill="auto"/>
            <w:vAlign w:val="center"/>
          </w:tcPr>
          <w:p>
            <w:pPr>
              <w:pStyle w:val="42"/>
            </w:pPr>
            <w:r>
              <w:rPr>
                <w:rFonts w:hint="eastAsia"/>
              </w:rPr>
              <w:t>颗粒物</w:t>
            </w:r>
          </w:p>
        </w:tc>
        <w:tc>
          <w:tcPr>
            <w:tcW w:w="886" w:type="pct"/>
            <w:shd w:val="clear" w:color="auto" w:fill="auto"/>
            <w:vAlign w:val="center"/>
          </w:tcPr>
          <w:p>
            <w:pPr>
              <w:pStyle w:val="42"/>
            </w:pPr>
            <w:r>
              <w:rPr>
                <w:rFonts w:hint="eastAsia"/>
              </w:rPr>
              <w:t>20</w:t>
            </w:r>
          </w:p>
        </w:tc>
        <w:tc>
          <w:tcPr>
            <w:tcW w:w="830" w:type="pct"/>
            <w:shd w:val="clear" w:color="auto" w:fill="auto"/>
            <w:vAlign w:val="center"/>
          </w:tcPr>
          <w:p>
            <w:pPr>
              <w:pStyle w:val="42"/>
            </w:pPr>
            <w:r>
              <w:rPr>
                <w:rFonts w:hint="eastAsia"/>
              </w:rPr>
              <w:t>1.726</w:t>
            </w:r>
          </w:p>
        </w:tc>
        <w:tc>
          <w:tcPr>
            <w:tcW w:w="831" w:type="pct"/>
            <w:shd w:val="clear" w:color="auto" w:fill="auto"/>
            <w:vAlign w:val="center"/>
          </w:tcPr>
          <w:p>
            <w:pPr>
              <w:pStyle w:val="42"/>
            </w:pPr>
            <w:r>
              <w:rPr>
                <w:rFonts w:hint="eastAsia"/>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440" w:type="pct"/>
            <w:vMerge w:val="continue"/>
            <w:shd w:val="clear" w:color="auto" w:fill="auto"/>
            <w:vAlign w:val="center"/>
          </w:tcPr>
          <w:p>
            <w:pPr>
              <w:pStyle w:val="42"/>
            </w:pPr>
          </w:p>
        </w:tc>
        <w:tc>
          <w:tcPr>
            <w:tcW w:w="1189" w:type="pct"/>
            <w:vMerge w:val="continue"/>
            <w:shd w:val="clear" w:color="auto" w:fill="auto"/>
            <w:vAlign w:val="center"/>
          </w:tcPr>
          <w:p>
            <w:pPr>
              <w:pStyle w:val="42"/>
            </w:pPr>
          </w:p>
        </w:tc>
        <w:tc>
          <w:tcPr>
            <w:tcW w:w="824" w:type="pct"/>
            <w:shd w:val="clear" w:color="auto" w:fill="auto"/>
            <w:vAlign w:val="center"/>
          </w:tcPr>
          <w:p>
            <w:pPr>
              <w:pStyle w:val="42"/>
            </w:pPr>
            <w:r>
              <w:rPr>
                <w:rFonts w:hint="eastAsia"/>
              </w:rPr>
              <w:t>NO</w:t>
            </w:r>
            <w:r>
              <w:rPr>
                <w:rFonts w:hint="eastAsia"/>
                <w:vertAlign w:val="subscript"/>
              </w:rPr>
              <w:t>x</w:t>
            </w:r>
          </w:p>
        </w:tc>
        <w:tc>
          <w:tcPr>
            <w:tcW w:w="886" w:type="pct"/>
            <w:shd w:val="clear" w:color="auto" w:fill="auto"/>
            <w:vAlign w:val="center"/>
          </w:tcPr>
          <w:p>
            <w:pPr>
              <w:pStyle w:val="42"/>
            </w:pPr>
            <w:r>
              <w:rPr>
                <w:rFonts w:hint="eastAsia"/>
              </w:rPr>
              <w:t>150</w:t>
            </w:r>
          </w:p>
        </w:tc>
        <w:tc>
          <w:tcPr>
            <w:tcW w:w="830" w:type="pct"/>
            <w:shd w:val="clear" w:color="auto" w:fill="auto"/>
            <w:vAlign w:val="center"/>
          </w:tcPr>
          <w:p>
            <w:pPr>
              <w:pStyle w:val="42"/>
            </w:pPr>
            <w:r>
              <w:rPr>
                <w:rFonts w:hint="eastAsia"/>
              </w:rPr>
              <w:t>12.95</w:t>
            </w:r>
          </w:p>
        </w:tc>
        <w:tc>
          <w:tcPr>
            <w:tcW w:w="831" w:type="pct"/>
            <w:shd w:val="clear" w:color="auto" w:fill="auto"/>
            <w:vAlign w:val="center"/>
          </w:tcPr>
          <w:p>
            <w:pPr>
              <w:pStyle w:val="42"/>
            </w:pPr>
            <w:r>
              <w:rPr>
                <w:rFonts w:hint="eastAsia"/>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440" w:type="pct"/>
            <w:vMerge w:val="continue"/>
            <w:shd w:val="clear" w:color="auto" w:fill="auto"/>
            <w:vAlign w:val="center"/>
          </w:tcPr>
          <w:p>
            <w:pPr>
              <w:pStyle w:val="42"/>
            </w:pPr>
          </w:p>
        </w:tc>
        <w:tc>
          <w:tcPr>
            <w:tcW w:w="1189" w:type="pct"/>
            <w:vMerge w:val="continue"/>
            <w:shd w:val="clear" w:color="auto" w:fill="auto"/>
            <w:vAlign w:val="center"/>
          </w:tcPr>
          <w:p>
            <w:pPr>
              <w:pStyle w:val="42"/>
            </w:pPr>
          </w:p>
        </w:tc>
        <w:tc>
          <w:tcPr>
            <w:tcW w:w="824" w:type="pct"/>
            <w:shd w:val="clear" w:color="auto" w:fill="auto"/>
            <w:vAlign w:val="center"/>
          </w:tcPr>
          <w:p>
            <w:pPr>
              <w:pStyle w:val="42"/>
            </w:pPr>
            <w:r>
              <w:rPr>
                <w:rFonts w:hint="eastAsia"/>
              </w:rPr>
              <w:t>SO</w:t>
            </w:r>
            <w:r>
              <w:rPr>
                <w:rFonts w:hint="eastAsia"/>
                <w:vertAlign w:val="subscript"/>
              </w:rPr>
              <w:t>2</w:t>
            </w:r>
          </w:p>
        </w:tc>
        <w:tc>
          <w:tcPr>
            <w:tcW w:w="886" w:type="pct"/>
            <w:shd w:val="clear" w:color="auto" w:fill="auto"/>
            <w:vAlign w:val="center"/>
          </w:tcPr>
          <w:p>
            <w:pPr>
              <w:pStyle w:val="42"/>
            </w:pPr>
            <w:r>
              <w:rPr>
                <w:rFonts w:hint="eastAsia"/>
              </w:rPr>
              <w:t>10</w:t>
            </w:r>
          </w:p>
        </w:tc>
        <w:tc>
          <w:tcPr>
            <w:tcW w:w="830" w:type="pct"/>
            <w:shd w:val="clear" w:color="auto" w:fill="auto"/>
            <w:vAlign w:val="center"/>
          </w:tcPr>
          <w:p>
            <w:pPr>
              <w:pStyle w:val="42"/>
            </w:pPr>
            <w:r>
              <w:rPr>
                <w:rFonts w:hint="eastAsia"/>
              </w:rPr>
              <w:t>0.86</w:t>
            </w:r>
          </w:p>
        </w:tc>
        <w:tc>
          <w:tcPr>
            <w:tcW w:w="831" w:type="pct"/>
            <w:shd w:val="clear" w:color="auto" w:fill="auto"/>
            <w:vAlign w:val="center"/>
          </w:tcPr>
          <w:p>
            <w:pPr>
              <w:pStyle w:val="42"/>
            </w:pPr>
            <w:r>
              <w:rPr>
                <w:rFonts w:hint="eastAsia"/>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440" w:type="pct"/>
            <w:vMerge w:val="continue"/>
            <w:shd w:val="clear" w:color="auto" w:fill="auto"/>
            <w:vAlign w:val="center"/>
          </w:tcPr>
          <w:p>
            <w:pPr>
              <w:pStyle w:val="42"/>
            </w:pPr>
          </w:p>
        </w:tc>
        <w:tc>
          <w:tcPr>
            <w:tcW w:w="1189" w:type="pct"/>
            <w:vMerge w:val="continue"/>
            <w:shd w:val="clear" w:color="auto" w:fill="auto"/>
            <w:vAlign w:val="center"/>
          </w:tcPr>
          <w:p>
            <w:pPr>
              <w:pStyle w:val="42"/>
            </w:pPr>
          </w:p>
        </w:tc>
        <w:tc>
          <w:tcPr>
            <w:tcW w:w="824" w:type="pct"/>
            <w:shd w:val="clear" w:color="auto" w:fill="auto"/>
            <w:vAlign w:val="center"/>
          </w:tcPr>
          <w:p>
            <w:pPr>
              <w:pStyle w:val="42"/>
            </w:pPr>
            <w:r>
              <w:rPr>
                <w:rFonts w:hint="eastAsia"/>
              </w:rPr>
              <w:t>NH</w:t>
            </w:r>
            <w:r>
              <w:rPr>
                <w:rFonts w:hint="eastAsia"/>
                <w:vertAlign w:val="subscript"/>
              </w:rPr>
              <w:t>3</w:t>
            </w:r>
          </w:p>
        </w:tc>
        <w:tc>
          <w:tcPr>
            <w:tcW w:w="886" w:type="pct"/>
            <w:shd w:val="clear" w:color="auto" w:fill="auto"/>
            <w:vAlign w:val="center"/>
          </w:tcPr>
          <w:p>
            <w:pPr>
              <w:pStyle w:val="42"/>
            </w:pPr>
            <w:r>
              <w:rPr>
                <w:rFonts w:hint="eastAsia"/>
              </w:rPr>
              <w:t>0.58</w:t>
            </w:r>
          </w:p>
        </w:tc>
        <w:tc>
          <w:tcPr>
            <w:tcW w:w="830" w:type="pct"/>
            <w:shd w:val="clear" w:color="auto" w:fill="auto"/>
            <w:vAlign w:val="center"/>
          </w:tcPr>
          <w:p>
            <w:pPr>
              <w:pStyle w:val="42"/>
            </w:pPr>
            <w:r>
              <w:rPr>
                <w:rFonts w:hint="eastAsia"/>
              </w:rPr>
              <w:t>0.05</w:t>
            </w:r>
          </w:p>
        </w:tc>
        <w:tc>
          <w:tcPr>
            <w:tcW w:w="831" w:type="pct"/>
            <w:shd w:val="clear" w:color="auto" w:fill="auto"/>
            <w:vAlign w:val="center"/>
          </w:tcPr>
          <w:p>
            <w:pPr>
              <w:pStyle w:val="42"/>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5000" w:type="pct"/>
            <w:gridSpan w:val="6"/>
            <w:shd w:val="clear" w:color="auto" w:fill="auto"/>
            <w:vAlign w:val="center"/>
          </w:tcPr>
          <w:p>
            <w:pPr>
              <w:pStyle w:val="42"/>
            </w:pPr>
            <w:r>
              <w:rPr>
                <w:rFonts w:hint="eastAsia"/>
              </w:rPr>
              <w:t>拟建</w:t>
            </w:r>
            <w:r>
              <w:t>项目有组织排放总计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1629" w:type="pct"/>
            <w:gridSpan w:val="2"/>
            <w:vMerge w:val="restart"/>
            <w:vAlign w:val="center"/>
          </w:tcPr>
          <w:p>
            <w:pPr>
              <w:pStyle w:val="42"/>
            </w:pPr>
            <w:r>
              <w:rPr>
                <w:rFonts w:hint="eastAsia"/>
              </w:rPr>
              <w:t>拟建</w:t>
            </w:r>
            <w:r>
              <w:t>项目</w:t>
            </w:r>
          </w:p>
          <w:p>
            <w:pPr>
              <w:pStyle w:val="42"/>
            </w:pPr>
            <w:r>
              <w:t>有组织排放</w:t>
            </w:r>
          </w:p>
          <w:p>
            <w:pPr>
              <w:pStyle w:val="42"/>
            </w:pPr>
            <w:r>
              <w:t>总计</w:t>
            </w:r>
          </w:p>
        </w:tc>
        <w:tc>
          <w:tcPr>
            <w:tcW w:w="2540" w:type="pct"/>
            <w:gridSpan w:val="3"/>
            <w:shd w:val="clear" w:color="auto" w:fill="auto"/>
            <w:vAlign w:val="center"/>
          </w:tcPr>
          <w:p>
            <w:pPr>
              <w:pStyle w:val="42"/>
            </w:pPr>
            <w:r>
              <w:rPr>
                <w:rFonts w:hint="eastAsia"/>
              </w:rPr>
              <w:t>颗粒物</w:t>
            </w:r>
          </w:p>
        </w:tc>
        <w:tc>
          <w:tcPr>
            <w:tcW w:w="831" w:type="pct"/>
            <w:shd w:val="clear" w:color="auto" w:fill="auto"/>
            <w:vAlign w:val="center"/>
          </w:tcPr>
          <w:p>
            <w:pPr>
              <w:pStyle w:val="42"/>
            </w:pPr>
            <w:r>
              <w:rPr>
                <w:rFonts w:hint="eastAsia"/>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1629" w:type="pct"/>
            <w:gridSpan w:val="2"/>
            <w:vMerge w:val="continue"/>
            <w:vAlign w:val="center"/>
          </w:tcPr>
          <w:p>
            <w:pPr>
              <w:pStyle w:val="42"/>
            </w:pPr>
          </w:p>
        </w:tc>
        <w:tc>
          <w:tcPr>
            <w:tcW w:w="2540" w:type="pct"/>
            <w:gridSpan w:val="3"/>
            <w:shd w:val="clear" w:color="auto" w:fill="auto"/>
            <w:vAlign w:val="center"/>
          </w:tcPr>
          <w:p>
            <w:pPr>
              <w:pStyle w:val="42"/>
            </w:pPr>
            <w:r>
              <w:rPr>
                <w:rFonts w:hint="eastAsia"/>
              </w:rPr>
              <w:t>NO</w:t>
            </w:r>
            <w:r>
              <w:rPr>
                <w:rFonts w:hint="eastAsia"/>
                <w:vertAlign w:val="subscript"/>
              </w:rPr>
              <w:t>x</w:t>
            </w:r>
          </w:p>
        </w:tc>
        <w:tc>
          <w:tcPr>
            <w:tcW w:w="831" w:type="pct"/>
            <w:shd w:val="clear" w:color="auto" w:fill="auto"/>
            <w:vAlign w:val="center"/>
          </w:tcPr>
          <w:p>
            <w:pPr>
              <w:pStyle w:val="42"/>
            </w:pPr>
            <w:r>
              <w:rPr>
                <w:rFonts w:hint="eastAsia"/>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1629" w:type="pct"/>
            <w:gridSpan w:val="2"/>
            <w:vMerge w:val="continue"/>
            <w:vAlign w:val="center"/>
          </w:tcPr>
          <w:p>
            <w:pPr>
              <w:pStyle w:val="42"/>
            </w:pPr>
          </w:p>
        </w:tc>
        <w:tc>
          <w:tcPr>
            <w:tcW w:w="2540" w:type="pct"/>
            <w:gridSpan w:val="3"/>
            <w:shd w:val="clear" w:color="auto" w:fill="auto"/>
            <w:vAlign w:val="center"/>
          </w:tcPr>
          <w:p>
            <w:pPr>
              <w:pStyle w:val="42"/>
            </w:pPr>
            <w:r>
              <w:rPr>
                <w:rFonts w:hint="eastAsia"/>
              </w:rPr>
              <w:t>SO</w:t>
            </w:r>
            <w:r>
              <w:rPr>
                <w:rFonts w:hint="eastAsia"/>
                <w:vertAlign w:val="subscript"/>
              </w:rPr>
              <w:t>2</w:t>
            </w:r>
          </w:p>
        </w:tc>
        <w:tc>
          <w:tcPr>
            <w:tcW w:w="831" w:type="pct"/>
            <w:shd w:val="clear" w:color="auto" w:fill="auto"/>
            <w:vAlign w:val="center"/>
          </w:tcPr>
          <w:p>
            <w:pPr>
              <w:pStyle w:val="42"/>
            </w:pPr>
            <w:r>
              <w:rPr>
                <w:rFonts w:hint="eastAsia"/>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28" w:type="dxa"/>
            <w:bottom w:w="40" w:type="dxa"/>
            <w:right w:w="28" w:type="dxa"/>
          </w:tblCellMar>
        </w:tblPrEx>
        <w:trPr>
          <w:trHeight w:val="20" w:hRule="atLeast"/>
        </w:trPr>
        <w:tc>
          <w:tcPr>
            <w:tcW w:w="1629" w:type="pct"/>
            <w:gridSpan w:val="2"/>
            <w:vMerge w:val="continue"/>
            <w:vAlign w:val="center"/>
          </w:tcPr>
          <w:p>
            <w:pPr>
              <w:pStyle w:val="42"/>
            </w:pPr>
          </w:p>
        </w:tc>
        <w:tc>
          <w:tcPr>
            <w:tcW w:w="2540" w:type="pct"/>
            <w:gridSpan w:val="3"/>
            <w:shd w:val="clear" w:color="auto" w:fill="auto"/>
            <w:vAlign w:val="center"/>
          </w:tcPr>
          <w:p>
            <w:pPr>
              <w:pStyle w:val="42"/>
            </w:pPr>
            <w:r>
              <w:rPr>
                <w:rFonts w:hint="eastAsia"/>
              </w:rPr>
              <w:t>NH</w:t>
            </w:r>
            <w:r>
              <w:rPr>
                <w:rFonts w:hint="eastAsia"/>
                <w:vertAlign w:val="subscript"/>
              </w:rPr>
              <w:t>3</w:t>
            </w:r>
          </w:p>
        </w:tc>
        <w:tc>
          <w:tcPr>
            <w:tcW w:w="831" w:type="pct"/>
            <w:shd w:val="clear" w:color="auto" w:fill="auto"/>
            <w:vAlign w:val="center"/>
          </w:tcPr>
          <w:p>
            <w:pPr>
              <w:pStyle w:val="42"/>
            </w:pPr>
            <w:r>
              <w:rPr>
                <w:rFonts w:hint="eastAsia"/>
              </w:rPr>
              <w:t>0.50</w:t>
            </w:r>
          </w:p>
        </w:tc>
      </w:tr>
    </w:tbl>
    <w:p>
      <w:pPr>
        <w:pStyle w:val="41"/>
      </w:pPr>
      <w:r>
        <w:t>表</w:t>
      </w:r>
      <w:r>
        <w:rPr>
          <w:rFonts w:hint="eastAsia"/>
        </w:rPr>
        <w:t>5.2</w:t>
      </w:r>
      <w:r>
        <w:t>-2</w:t>
      </w:r>
      <w:r>
        <w:rPr>
          <w:rFonts w:hint="eastAsia"/>
        </w:rPr>
        <w:t>7</w:t>
      </w:r>
      <w:r>
        <w:t xml:space="preserve"> </w:t>
      </w:r>
      <w:r>
        <w:rPr>
          <w:rFonts w:hint="eastAsia"/>
        </w:rPr>
        <w:t xml:space="preserve"> 拟建</w:t>
      </w:r>
      <w:r>
        <w:t>项目大气污染物无组织排放量核算表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6"/>
        <w:gridCol w:w="646"/>
        <w:gridCol w:w="700"/>
        <w:gridCol w:w="930"/>
        <w:gridCol w:w="1850"/>
        <w:gridCol w:w="1841"/>
        <w:gridCol w:w="103"/>
        <w:gridCol w:w="977"/>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46" w:type="dxa"/>
            <w:vMerge w:val="restart"/>
            <w:shd w:val="clear" w:color="auto" w:fill="auto"/>
            <w:vAlign w:val="center"/>
          </w:tcPr>
          <w:p>
            <w:pPr>
              <w:pStyle w:val="42"/>
            </w:pPr>
            <w:r>
              <w:t>序号</w:t>
            </w:r>
          </w:p>
        </w:tc>
        <w:tc>
          <w:tcPr>
            <w:tcW w:w="646" w:type="dxa"/>
            <w:vMerge w:val="restart"/>
            <w:shd w:val="clear" w:color="auto" w:fill="auto"/>
            <w:vAlign w:val="center"/>
          </w:tcPr>
          <w:p>
            <w:pPr>
              <w:pStyle w:val="42"/>
            </w:pPr>
            <w:r>
              <w:t>排放口编号</w:t>
            </w:r>
          </w:p>
        </w:tc>
        <w:tc>
          <w:tcPr>
            <w:tcW w:w="700" w:type="dxa"/>
            <w:vMerge w:val="restart"/>
            <w:shd w:val="clear" w:color="auto" w:fill="auto"/>
            <w:vAlign w:val="center"/>
          </w:tcPr>
          <w:p>
            <w:pPr>
              <w:pStyle w:val="42"/>
            </w:pPr>
            <w:r>
              <w:t>产污</w:t>
            </w:r>
          </w:p>
          <w:p>
            <w:pPr>
              <w:pStyle w:val="42"/>
            </w:pPr>
            <w:r>
              <w:t>环节</w:t>
            </w:r>
          </w:p>
        </w:tc>
        <w:tc>
          <w:tcPr>
            <w:tcW w:w="930" w:type="dxa"/>
            <w:vMerge w:val="restart"/>
            <w:shd w:val="clear" w:color="auto" w:fill="auto"/>
            <w:vAlign w:val="center"/>
          </w:tcPr>
          <w:p>
            <w:pPr>
              <w:pStyle w:val="42"/>
            </w:pPr>
            <w:r>
              <w:t>污染物</w:t>
            </w:r>
          </w:p>
          <w:p>
            <w:pPr>
              <w:pStyle w:val="42"/>
            </w:pPr>
            <w:r>
              <w:t>种类</w:t>
            </w:r>
          </w:p>
        </w:tc>
        <w:tc>
          <w:tcPr>
            <w:tcW w:w="1850" w:type="dxa"/>
            <w:vMerge w:val="restart"/>
            <w:shd w:val="clear" w:color="auto" w:fill="auto"/>
            <w:vAlign w:val="center"/>
          </w:tcPr>
          <w:p>
            <w:pPr>
              <w:pStyle w:val="42"/>
            </w:pPr>
            <w:r>
              <w:t>主要污染防治措施</w:t>
            </w:r>
          </w:p>
        </w:tc>
        <w:tc>
          <w:tcPr>
            <w:tcW w:w="2921" w:type="dxa"/>
            <w:gridSpan w:val="3"/>
            <w:shd w:val="clear" w:color="auto" w:fill="auto"/>
            <w:vAlign w:val="center"/>
          </w:tcPr>
          <w:p>
            <w:pPr>
              <w:pStyle w:val="42"/>
            </w:pPr>
            <w:r>
              <w:t>国家或地方污染物排放标准</w:t>
            </w:r>
          </w:p>
        </w:tc>
        <w:tc>
          <w:tcPr>
            <w:tcW w:w="769" w:type="dxa"/>
            <w:vMerge w:val="restart"/>
            <w:shd w:val="clear" w:color="auto" w:fill="auto"/>
            <w:vAlign w:val="center"/>
          </w:tcPr>
          <w:p>
            <w:pPr>
              <w:pStyle w:val="42"/>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0" w:hRule="atLeast"/>
          <w:jc w:val="center"/>
        </w:trPr>
        <w:tc>
          <w:tcPr>
            <w:tcW w:w="546" w:type="dxa"/>
            <w:vMerge w:val="continue"/>
            <w:vAlign w:val="center"/>
          </w:tcPr>
          <w:p>
            <w:pPr>
              <w:pStyle w:val="42"/>
            </w:pPr>
          </w:p>
        </w:tc>
        <w:tc>
          <w:tcPr>
            <w:tcW w:w="646" w:type="dxa"/>
            <w:vMerge w:val="continue"/>
            <w:vAlign w:val="center"/>
          </w:tcPr>
          <w:p>
            <w:pPr>
              <w:pStyle w:val="42"/>
            </w:pPr>
          </w:p>
        </w:tc>
        <w:tc>
          <w:tcPr>
            <w:tcW w:w="700" w:type="dxa"/>
            <w:vMerge w:val="continue"/>
            <w:vAlign w:val="center"/>
          </w:tcPr>
          <w:p>
            <w:pPr>
              <w:pStyle w:val="42"/>
            </w:pPr>
          </w:p>
        </w:tc>
        <w:tc>
          <w:tcPr>
            <w:tcW w:w="930" w:type="dxa"/>
            <w:vMerge w:val="continue"/>
            <w:vAlign w:val="center"/>
          </w:tcPr>
          <w:p>
            <w:pPr>
              <w:pStyle w:val="42"/>
            </w:pPr>
          </w:p>
        </w:tc>
        <w:tc>
          <w:tcPr>
            <w:tcW w:w="1850" w:type="dxa"/>
            <w:vMerge w:val="continue"/>
            <w:vAlign w:val="center"/>
          </w:tcPr>
          <w:p>
            <w:pPr>
              <w:pStyle w:val="42"/>
            </w:pPr>
          </w:p>
        </w:tc>
        <w:tc>
          <w:tcPr>
            <w:tcW w:w="1841" w:type="dxa"/>
            <w:vMerge w:val="restart"/>
            <w:shd w:val="clear" w:color="auto" w:fill="auto"/>
            <w:vAlign w:val="center"/>
          </w:tcPr>
          <w:p>
            <w:pPr>
              <w:pStyle w:val="42"/>
            </w:pPr>
            <w:r>
              <w:t>标准名称</w:t>
            </w:r>
          </w:p>
        </w:tc>
        <w:tc>
          <w:tcPr>
            <w:tcW w:w="1080" w:type="dxa"/>
            <w:gridSpan w:val="2"/>
            <w:vMerge w:val="restart"/>
            <w:shd w:val="clear" w:color="auto" w:fill="auto"/>
            <w:vAlign w:val="center"/>
          </w:tcPr>
          <w:p>
            <w:pPr>
              <w:pStyle w:val="42"/>
            </w:pPr>
            <w:r>
              <w:t>浓度限值（mg/m</w:t>
            </w:r>
            <w:r>
              <w:rPr>
                <w:vertAlign w:val="superscript"/>
              </w:rPr>
              <w:t>3</w:t>
            </w:r>
            <w:r>
              <w:t>）</w:t>
            </w:r>
          </w:p>
        </w:tc>
        <w:tc>
          <w:tcPr>
            <w:tcW w:w="769"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546" w:type="dxa"/>
            <w:vMerge w:val="continue"/>
            <w:vAlign w:val="center"/>
          </w:tcPr>
          <w:p>
            <w:pPr>
              <w:pStyle w:val="42"/>
            </w:pPr>
          </w:p>
        </w:tc>
        <w:tc>
          <w:tcPr>
            <w:tcW w:w="646" w:type="dxa"/>
            <w:vMerge w:val="continue"/>
            <w:vAlign w:val="center"/>
          </w:tcPr>
          <w:p>
            <w:pPr>
              <w:pStyle w:val="42"/>
            </w:pPr>
          </w:p>
        </w:tc>
        <w:tc>
          <w:tcPr>
            <w:tcW w:w="700" w:type="dxa"/>
            <w:vMerge w:val="continue"/>
            <w:vAlign w:val="center"/>
          </w:tcPr>
          <w:p>
            <w:pPr>
              <w:pStyle w:val="42"/>
            </w:pPr>
          </w:p>
        </w:tc>
        <w:tc>
          <w:tcPr>
            <w:tcW w:w="930" w:type="dxa"/>
            <w:vMerge w:val="continue"/>
            <w:vAlign w:val="center"/>
          </w:tcPr>
          <w:p>
            <w:pPr>
              <w:pStyle w:val="42"/>
            </w:pPr>
          </w:p>
        </w:tc>
        <w:tc>
          <w:tcPr>
            <w:tcW w:w="1850" w:type="dxa"/>
            <w:vMerge w:val="continue"/>
            <w:vAlign w:val="center"/>
          </w:tcPr>
          <w:p>
            <w:pPr>
              <w:pStyle w:val="42"/>
            </w:pPr>
          </w:p>
        </w:tc>
        <w:tc>
          <w:tcPr>
            <w:tcW w:w="1841" w:type="dxa"/>
            <w:vMerge w:val="continue"/>
            <w:vAlign w:val="center"/>
          </w:tcPr>
          <w:p>
            <w:pPr>
              <w:pStyle w:val="42"/>
            </w:pPr>
          </w:p>
        </w:tc>
        <w:tc>
          <w:tcPr>
            <w:tcW w:w="1080" w:type="dxa"/>
            <w:gridSpan w:val="2"/>
            <w:vMerge w:val="continue"/>
            <w:vAlign w:val="center"/>
          </w:tcPr>
          <w:p>
            <w:pPr>
              <w:pStyle w:val="42"/>
            </w:pPr>
          </w:p>
        </w:tc>
        <w:tc>
          <w:tcPr>
            <w:tcW w:w="769"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7" w:hRule="atLeast"/>
          <w:jc w:val="center"/>
        </w:trPr>
        <w:tc>
          <w:tcPr>
            <w:tcW w:w="546" w:type="dxa"/>
            <w:vMerge w:val="restart"/>
            <w:shd w:val="clear" w:color="auto" w:fill="auto"/>
            <w:noWrap/>
            <w:vAlign w:val="center"/>
          </w:tcPr>
          <w:p>
            <w:pPr>
              <w:pStyle w:val="42"/>
            </w:pPr>
            <w:r>
              <w:t>1</w:t>
            </w:r>
          </w:p>
        </w:tc>
        <w:tc>
          <w:tcPr>
            <w:tcW w:w="646" w:type="dxa"/>
            <w:vMerge w:val="restart"/>
            <w:shd w:val="clear" w:color="auto" w:fill="auto"/>
            <w:noWrap/>
            <w:vAlign w:val="center"/>
          </w:tcPr>
          <w:p>
            <w:pPr>
              <w:pStyle w:val="42"/>
            </w:pPr>
            <w:r>
              <w:t>厂区无组织</w:t>
            </w:r>
          </w:p>
        </w:tc>
        <w:tc>
          <w:tcPr>
            <w:tcW w:w="700" w:type="dxa"/>
            <w:vMerge w:val="restart"/>
            <w:shd w:val="clear" w:color="auto" w:fill="auto"/>
            <w:noWrap/>
            <w:vAlign w:val="center"/>
          </w:tcPr>
          <w:p>
            <w:pPr>
              <w:pStyle w:val="42"/>
            </w:pPr>
            <w:r>
              <w:rPr>
                <w:rFonts w:hint="eastAsia"/>
              </w:rPr>
              <w:t>生产装置区</w:t>
            </w:r>
          </w:p>
        </w:tc>
        <w:tc>
          <w:tcPr>
            <w:tcW w:w="930" w:type="dxa"/>
            <w:shd w:val="clear" w:color="auto" w:fill="auto"/>
            <w:noWrap/>
            <w:vAlign w:val="center"/>
          </w:tcPr>
          <w:p>
            <w:pPr>
              <w:pStyle w:val="42"/>
            </w:pPr>
            <w:r>
              <w:rPr>
                <w:rFonts w:hint="eastAsia"/>
              </w:rPr>
              <w:t>非甲烷总烃</w:t>
            </w:r>
          </w:p>
        </w:tc>
        <w:tc>
          <w:tcPr>
            <w:tcW w:w="1850" w:type="dxa"/>
            <w:vMerge w:val="restart"/>
            <w:shd w:val="clear" w:color="auto" w:fill="auto"/>
            <w:noWrap/>
            <w:vAlign w:val="center"/>
          </w:tcPr>
          <w:p>
            <w:pPr>
              <w:pStyle w:val="42"/>
            </w:pPr>
            <w:r>
              <w:t>生产过程中密闭操作</w:t>
            </w:r>
            <w:r>
              <w:rPr>
                <w:rFonts w:hint="eastAsia"/>
              </w:rPr>
              <w:t>,物料管道输送等</w:t>
            </w:r>
            <w:r>
              <w:t>，严格控制无组织排放</w:t>
            </w:r>
          </w:p>
        </w:tc>
        <w:tc>
          <w:tcPr>
            <w:tcW w:w="1841" w:type="dxa"/>
            <w:shd w:val="clear" w:color="auto" w:fill="auto"/>
            <w:vAlign w:val="center"/>
          </w:tcPr>
          <w:p>
            <w:pPr>
              <w:pStyle w:val="42"/>
            </w:pPr>
            <w:r>
              <w:rPr>
                <w:rFonts w:hint="eastAsia"/>
              </w:rPr>
              <w:t>《大气污染物综合排放标准》（GB16297-1996）</w:t>
            </w:r>
          </w:p>
        </w:tc>
        <w:tc>
          <w:tcPr>
            <w:tcW w:w="1080" w:type="dxa"/>
            <w:gridSpan w:val="2"/>
            <w:shd w:val="clear" w:color="auto" w:fill="auto"/>
            <w:noWrap/>
            <w:vAlign w:val="center"/>
          </w:tcPr>
          <w:p>
            <w:pPr>
              <w:pStyle w:val="42"/>
            </w:pPr>
            <w:r>
              <w:rPr>
                <w:rFonts w:hint="eastAsia"/>
              </w:rPr>
              <w:t>4.0</w:t>
            </w:r>
          </w:p>
        </w:tc>
        <w:tc>
          <w:tcPr>
            <w:tcW w:w="769" w:type="dxa"/>
            <w:shd w:val="clear" w:color="auto" w:fill="auto"/>
            <w:vAlign w:val="center"/>
          </w:tcPr>
          <w:p>
            <w:pPr>
              <w:pStyle w:val="42"/>
            </w:pPr>
            <w:r>
              <w:rPr>
                <w:rFonts w:hint="eastAsia"/>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7" w:hRule="atLeast"/>
          <w:jc w:val="center"/>
        </w:trPr>
        <w:tc>
          <w:tcPr>
            <w:tcW w:w="546" w:type="dxa"/>
            <w:vMerge w:val="continue"/>
            <w:shd w:val="clear" w:color="auto" w:fill="auto"/>
            <w:noWrap/>
            <w:vAlign w:val="center"/>
          </w:tcPr>
          <w:p>
            <w:pPr>
              <w:pStyle w:val="42"/>
            </w:pPr>
          </w:p>
        </w:tc>
        <w:tc>
          <w:tcPr>
            <w:tcW w:w="646" w:type="dxa"/>
            <w:vMerge w:val="continue"/>
            <w:shd w:val="clear" w:color="auto" w:fill="auto"/>
            <w:noWrap/>
            <w:vAlign w:val="center"/>
          </w:tcPr>
          <w:p>
            <w:pPr>
              <w:pStyle w:val="42"/>
            </w:pPr>
          </w:p>
        </w:tc>
        <w:tc>
          <w:tcPr>
            <w:tcW w:w="700" w:type="dxa"/>
            <w:vMerge w:val="continue"/>
            <w:shd w:val="clear" w:color="auto" w:fill="auto"/>
            <w:noWrap/>
            <w:vAlign w:val="center"/>
          </w:tcPr>
          <w:p>
            <w:pPr>
              <w:pStyle w:val="42"/>
            </w:pPr>
          </w:p>
        </w:tc>
        <w:tc>
          <w:tcPr>
            <w:tcW w:w="930" w:type="dxa"/>
            <w:shd w:val="clear" w:color="auto" w:fill="auto"/>
            <w:noWrap/>
            <w:vAlign w:val="center"/>
          </w:tcPr>
          <w:p>
            <w:pPr>
              <w:pStyle w:val="42"/>
            </w:pPr>
            <w:r>
              <w:rPr>
                <w:rFonts w:hint="eastAsia"/>
              </w:rPr>
              <w:t>NH</w:t>
            </w:r>
            <w:r>
              <w:rPr>
                <w:rFonts w:hint="eastAsia"/>
                <w:vertAlign w:val="subscript"/>
              </w:rPr>
              <w:t>3</w:t>
            </w:r>
          </w:p>
        </w:tc>
        <w:tc>
          <w:tcPr>
            <w:tcW w:w="1850" w:type="dxa"/>
            <w:vMerge w:val="continue"/>
            <w:shd w:val="clear" w:color="auto" w:fill="auto"/>
            <w:noWrap/>
            <w:vAlign w:val="center"/>
          </w:tcPr>
          <w:p>
            <w:pPr>
              <w:pStyle w:val="42"/>
            </w:pPr>
          </w:p>
        </w:tc>
        <w:tc>
          <w:tcPr>
            <w:tcW w:w="1841" w:type="dxa"/>
            <w:shd w:val="clear" w:color="auto" w:fill="auto"/>
            <w:vAlign w:val="center"/>
          </w:tcPr>
          <w:p>
            <w:pPr>
              <w:pStyle w:val="42"/>
            </w:pPr>
            <w:r>
              <w:rPr>
                <w:rFonts w:hint="eastAsia"/>
              </w:rPr>
              <w:t>《无机化学工业污染物排放标准》（GB31573-2015）</w:t>
            </w:r>
          </w:p>
        </w:tc>
        <w:tc>
          <w:tcPr>
            <w:tcW w:w="1080" w:type="dxa"/>
            <w:gridSpan w:val="2"/>
            <w:shd w:val="clear" w:color="auto" w:fill="auto"/>
            <w:noWrap/>
            <w:vAlign w:val="center"/>
          </w:tcPr>
          <w:p>
            <w:pPr>
              <w:pStyle w:val="42"/>
            </w:pPr>
            <w:r>
              <w:rPr>
                <w:rFonts w:hint="eastAsia"/>
              </w:rPr>
              <w:t>0.3</w:t>
            </w:r>
          </w:p>
        </w:tc>
        <w:tc>
          <w:tcPr>
            <w:tcW w:w="769" w:type="dxa"/>
            <w:shd w:val="clear" w:color="auto" w:fill="auto"/>
            <w:vAlign w:val="center"/>
          </w:tcPr>
          <w:p>
            <w:pPr>
              <w:pStyle w:val="42"/>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362" w:type="dxa"/>
            <w:gridSpan w:val="9"/>
            <w:shd w:val="clear" w:color="auto" w:fill="auto"/>
            <w:noWrap/>
            <w:vAlign w:val="center"/>
          </w:tcPr>
          <w:p>
            <w:pPr>
              <w:pStyle w:val="42"/>
            </w:pPr>
            <w:r>
              <w:rPr>
                <w:rFonts w:hint="eastAsia"/>
              </w:rPr>
              <w:t>拟建</w:t>
            </w:r>
            <w:r>
              <w:t>项目无组织排放总计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22" w:type="dxa"/>
            <w:gridSpan w:val="4"/>
            <w:vMerge w:val="restart"/>
            <w:shd w:val="clear" w:color="auto" w:fill="auto"/>
            <w:noWrap/>
            <w:vAlign w:val="center"/>
          </w:tcPr>
          <w:p>
            <w:pPr>
              <w:pStyle w:val="42"/>
            </w:pPr>
            <w:r>
              <w:rPr>
                <w:rFonts w:hint="eastAsia"/>
              </w:rPr>
              <w:t>拟建</w:t>
            </w:r>
            <w:r>
              <w:t>项目无组织排放总计</w:t>
            </w:r>
          </w:p>
        </w:tc>
        <w:tc>
          <w:tcPr>
            <w:tcW w:w="3794" w:type="dxa"/>
            <w:gridSpan w:val="3"/>
            <w:shd w:val="clear" w:color="auto" w:fill="auto"/>
            <w:noWrap/>
            <w:vAlign w:val="center"/>
          </w:tcPr>
          <w:p>
            <w:pPr>
              <w:pStyle w:val="42"/>
            </w:pPr>
            <w:r>
              <w:rPr>
                <w:rFonts w:hint="eastAsia"/>
              </w:rPr>
              <w:t>非甲烷总烃</w:t>
            </w:r>
          </w:p>
        </w:tc>
        <w:tc>
          <w:tcPr>
            <w:tcW w:w="1746" w:type="dxa"/>
            <w:gridSpan w:val="2"/>
            <w:shd w:val="clear" w:color="auto" w:fill="auto"/>
            <w:noWrap/>
            <w:vAlign w:val="center"/>
          </w:tcPr>
          <w:p>
            <w:pPr>
              <w:pStyle w:val="42"/>
            </w:pPr>
            <w:r>
              <w:rPr>
                <w:rFonts w:hint="eastAsia"/>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822" w:type="dxa"/>
            <w:gridSpan w:val="4"/>
            <w:vMerge w:val="continue"/>
            <w:shd w:val="clear" w:color="auto" w:fill="auto"/>
            <w:noWrap/>
            <w:vAlign w:val="center"/>
          </w:tcPr>
          <w:p>
            <w:pPr>
              <w:pStyle w:val="42"/>
            </w:pPr>
          </w:p>
        </w:tc>
        <w:tc>
          <w:tcPr>
            <w:tcW w:w="3794" w:type="dxa"/>
            <w:gridSpan w:val="3"/>
            <w:shd w:val="clear" w:color="auto" w:fill="auto"/>
            <w:noWrap/>
            <w:vAlign w:val="center"/>
          </w:tcPr>
          <w:p>
            <w:pPr>
              <w:pStyle w:val="42"/>
            </w:pPr>
            <w:r>
              <w:rPr>
                <w:rFonts w:hint="eastAsia"/>
              </w:rPr>
              <w:t>NH</w:t>
            </w:r>
            <w:r>
              <w:rPr>
                <w:rFonts w:hint="eastAsia"/>
                <w:vertAlign w:val="subscript"/>
              </w:rPr>
              <w:t>3</w:t>
            </w:r>
          </w:p>
        </w:tc>
        <w:tc>
          <w:tcPr>
            <w:tcW w:w="1746" w:type="dxa"/>
            <w:gridSpan w:val="2"/>
            <w:shd w:val="clear" w:color="auto" w:fill="auto"/>
            <w:noWrap/>
            <w:vAlign w:val="center"/>
          </w:tcPr>
          <w:p>
            <w:pPr>
              <w:pStyle w:val="42"/>
            </w:pPr>
            <w:r>
              <w:rPr>
                <w:rFonts w:hint="eastAsia"/>
              </w:rPr>
              <w:t>2.0</w:t>
            </w:r>
          </w:p>
        </w:tc>
      </w:tr>
    </w:tbl>
    <w:p>
      <w:pPr>
        <w:pStyle w:val="41"/>
      </w:pPr>
      <w:r>
        <w:t>表</w:t>
      </w:r>
      <w:r>
        <w:rPr>
          <w:rFonts w:hint="eastAsia"/>
        </w:rPr>
        <w:t>5.2</w:t>
      </w:r>
      <w:r>
        <w:t>-</w:t>
      </w:r>
      <w:r>
        <w:rPr>
          <w:rFonts w:hint="eastAsia"/>
        </w:rPr>
        <w:t>28</w:t>
      </w:r>
      <w:r>
        <w:t xml:space="preserve">  大气污染物年排放量核算表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t>序号</w:t>
            </w:r>
          </w:p>
        </w:tc>
        <w:tc>
          <w:tcPr>
            <w:tcW w:w="1667" w:type="pct"/>
            <w:shd w:val="clear" w:color="auto" w:fill="auto"/>
            <w:noWrap/>
            <w:vAlign w:val="center"/>
          </w:tcPr>
          <w:p>
            <w:pPr>
              <w:pStyle w:val="42"/>
            </w:pPr>
            <w:r>
              <w:t>污染物</w:t>
            </w:r>
          </w:p>
        </w:tc>
        <w:tc>
          <w:tcPr>
            <w:tcW w:w="1666" w:type="pct"/>
            <w:shd w:val="clear" w:color="auto" w:fill="auto"/>
            <w:noWrap/>
            <w:vAlign w:val="center"/>
          </w:tcPr>
          <w:p>
            <w:pPr>
              <w:pStyle w:val="42"/>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t>1</w:t>
            </w:r>
          </w:p>
        </w:tc>
        <w:tc>
          <w:tcPr>
            <w:tcW w:w="1667" w:type="pct"/>
            <w:shd w:val="clear" w:color="auto" w:fill="auto"/>
            <w:vAlign w:val="center"/>
          </w:tcPr>
          <w:p>
            <w:pPr>
              <w:pStyle w:val="42"/>
            </w:pPr>
            <w:r>
              <w:rPr>
                <w:rFonts w:hint="eastAsia"/>
              </w:rPr>
              <w:t>颗粒物</w:t>
            </w:r>
          </w:p>
        </w:tc>
        <w:tc>
          <w:tcPr>
            <w:tcW w:w="1666" w:type="pct"/>
            <w:shd w:val="clear" w:color="auto" w:fill="auto"/>
            <w:noWrap/>
            <w:vAlign w:val="center"/>
          </w:tcPr>
          <w:p>
            <w:pPr>
              <w:pStyle w:val="42"/>
            </w:pPr>
            <w:r>
              <w:rPr>
                <w:rFonts w:hint="eastAsia"/>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t>2</w:t>
            </w:r>
          </w:p>
        </w:tc>
        <w:tc>
          <w:tcPr>
            <w:tcW w:w="1667" w:type="pct"/>
            <w:shd w:val="clear" w:color="auto" w:fill="auto"/>
            <w:vAlign w:val="center"/>
          </w:tcPr>
          <w:p>
            <w:pPr>
              <w:pStyle w:val="42"/>
            </w:pPr>
            <w:r>
              <w:rPr>
                <w:rFonts w:hint="eastAsia"/>
              </w:rPr>
              <w:t>NO</w:t>
            </w:r>
            <w:r>
              <w:rPr>
                <w:rFonts w:hint="eastAsia"/>
                <w:vertAlign w:val="subscript"/>
              </w:rPr>
              <w:t>x</w:t>
            </w:r>
          </w:p>
        </w:tc>
        <w:tc>
          <w:tcPr>
            <w:tcW w:w="1666" w:type="pct"/>
            <w:shd w:val="clear" w:color="auto" w:fill="auto"/>
            <w:noWrap/>
            <w:vAlign w:val="center"/>
          </w:tcPr>
          <w:p>
            <w:pPr>
              <w:pStyle w:val="42"/>
            </w:pPr>
            <w:r>
              <w:rPr>
                <w:rFonts w:hint="eastAsia"/>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rPr>
                <w:rFonts w:hint="eastAsia"/>
              </w:rPr>
              <w:t>3</w:t>
            </w:r>
          </w:p>
        </w:tc>
        <w:tc>
          <w:tcPr>
            <w:tcW w:w="1667" w:type="pct"/>
            <w:shd w:val="clear" w:color="auto" w:fill="auto"/>
            <w:vAlign w:val="center"/>
          </w:tcPr>
          <w:p>
            <w:pPr>
              <w:pStyle w:val="42"/>
            </w:pPr>
            <w:r>
              <w:rPr>
                <w:rFonts w:hint="eastAsia"/>
              </w:rPr>
              <w:t>SO</w:t>
            </w:r>
            <w:r>
              <w:rPr>
                <w:rFonts w:hint="eastAsia"/>
                <w:vertAlign w:val="subscript"/>
              </w:rPr>
              <w:t>2</w:t>
            </w:r>
          </w:p>
        </w:tc>
        <w:tc>
          <w:tcPr>
            <w:tcW w:w="1666" w:type="pct"/>
            <w:shd w:val="clear" w:color="auto" w:fill="auto"/>
            <w:noWrap/>
            <w:vAlign w:val="center"/>
          </w:tcPr>
          <w:p>
            <w:pPr>
              <w:pStyle w:val="42"/>
            </w:pPr>
            <w:r>
              <w:rPr>
                <w:rFonts w:hint="eastAsia"/>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rPr>
                <w:rFonts w:hint="eastAsia"/>
              </w:rPr>
              <w:t>4</w:t>
            </w:r>
          </w:p>
        </w:tc>
        <w:tc>
          <w:tcPr>
            <w:tcW w:w="1667" w:type="pct"/>
            <w:shd w:val="clear" w:color="auto" w:fill="auto"/>
            <w:vAlign w:val="center"/>
          </w:tcPr>
          <w:p>
            <w:pPr>
              <w:pStyle w:val="42"/>
            </w:pPr>
            <w:r>
              <w:rPr>
                <w:rFonts w:hint="eastAsia"/>
              </w:rPr>
              <w:t>NH</w:t>
            </w:r>
            <w:r>
              <w:rPr>
                <w:rFonts w:hint="eastAsia"/>
                <w:vertAlign w:val="subscript"/>
              </w:rPr>
              <w:t>3</w:t>
            </w:r>
          </w:p>
        </w:tc>
        <w:tc>
          <w:tcPr>
            <w:tcW w:w="1666" w:type="pct"/>
            <w:shd w:val="clear" w:color="auto" w:fill="auto"/>
            <w:noWrap/>
            <w:vAlign w:val="center"/>
          </w:tcPr>
          <w:p>
            <w:pPr>
              <w:pStyle w:val="42"/>
            </w:pPr>
            <w:r>
              <w:rPr>
                <w:rFonts w:hint="eastAsi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7" w:type="pct"/>
            <w:shd w:val="clear" w:color="auto" w:fill="auto"/>
            <w:noWrap/>
            <w:vAlign w:val="center"/>
          </w:tcPr>
          <w:p>
            <w:pPr>
              <w:pStyle w:val="42"/>
            </w:pPr>
            <w:r>
              <w:rPr>
                <w:rFonts w:hint="eastAsia"/>
              </w:rPr>
              <w:t>5</w:t>
            </w:r>
          </w:p>
        </w:tc>
        <w:tc>
          <w:tcPr>
            <w:tcW w:w="1667" w:type="pct"/>
            <w:shd w:val="clear" w:color="auto" w:fill="auto"/>
            <w:vAlign w:val="center"/>
          </w:tcPr>
          <w:p>
            <w:pPr>
              <w:pStyle w:val="42"/>
            </w:pPr>
            <w:r>
              <w:rPr>
                <w:rFonts w:hint="eastAsia"/>
              </w:rPr>
              <w:t>非甲烷总烃</w:t>
            </w:r>
          </w:p>
        </w:tc>
        <w:tc>
          <w:tcPr>
            <w:tcW w:w="1666" w:type="pct"/>
            <w:shd w:val="clear" w:color="auto" w:fill="auto"/>
            <w:noWrap/>
            <w:vAlign w:val="center"/>
          </w:tcPr>
          <w:p>
            <w:pPr>
              <w:pStyle w:val="42"/>
              <w:rPr>
                <w:rFonts w:ascii="宋体" w:hAnsi="宋体" w:cs="宋体"/>
                <w:sz w:val="22"/>
                <w:szCs w:val="22"/>
              </w:rPr>
            </w:pPr>
            <w:r>
              <w:rPr>
                <w:rFonts w:hint="eastAsia"/>
                <w:sz w:val="22"/>
                <w:szCs w:val="22"/>
              </w:rPr>
              <w:t>0.0048</w:t>
            </w:r>
          </w:p>
        </w:tc>
      </w:tr>
    </w:tbl>
    <w:p>
      <w:pPr>
        <w:pStyle w:val="41"/>
      </w:pPr>
      <w:r>
        <w:t>表</w:t>
      </w:r>
      <w:r>
        <w:rPr>
          <w:rFonts w:hint="eastAsia"/>
        </w:rPr>
        <w:t>5.2</w:t>
      </w:r>
      <w:r>
        <w:t>-</w:t>
      </w:r>
      <w:r>
        <w:rPr>
          <w:rFonts w:hint="eastAsia"/>
        </w:rPr>
        <w:t>29</w:t>
      </w:r>
      <w:r>
        <w:t xml:space="preserve"> 大气环境影响评价自查表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40"/>
        <w:gridCol w:w="878"/>
        <w:gridCol w:w="262"/>
        <w:gridCol w:w="133"/>
        <w:gridCol w:w="424"/>
        <w:gridCol w:w="433"/>
        <w:gridCol w:w="136"/>
        <w:gridCol w:w="283"/>
        <w:gridCol w:w="668"/>
        <w:gridCol w:w="189"/>
        <w:gridCol w:w="281"/>
        <w:gridCol w:w="135"/>
        <w:gridCol w:w="1007"/>
        <w:gridCol w:w="130"/>
        <w:gridCol w:w="721"/>
        <w:gridCol w:w="280"/>
        <w:gridCol w:w="329"/>
        <w:gridCol w:w="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pct"/>
            <w:gridSpan w:val="2"/>
            <w:shd w:val="clear" w:color="auto" w:fill="auto"/>
            <w:vAlign w:val="center"/>
          </w:tcPr>
          <w:p>
            <w:pPr>
              <w:pStyle w:val="42"/>
              <w:spacing w:line="300" w:lineRule="exact"/>
              <w:rPr>
                <w:sz w:val="15"/>
                <w:szCs w:val="15"/>
              </w:rPr>
            </w:pPr>
            <w:r>
              <w:rPr>
                <w:sz w:val="15"/>
                <w:szCs w:val="15"/>
              </w:rPr>
              <w:t>工作内容</w:t>
            </w:r>
          </w:p>
        </w:tc>
        <w:tc>
          <w:tcPr>
            <w:tcW w:w="3936" w:type="pct"/>
            <w:gridSpan w:val="17"/>
            <w:shd w:val="clear" w:color="auto" w:fill="auto"/>
            <w:vAlign w:val="center"/>
          </w:tcPr>
          <w:p>
            <w:pPr>
              <w:pStyle w:val="42"/>
              <w:spacing w:line="300" w:lineRule="exact"/>
              <w:rPr>
                <w:sz w:val="15"/>
                <w:szCs w:val="15"/>
              </w:rPr>
            </w:pPr>
            <w:r>
              <w:rPr>
                <w:sz w:val="15"/>
                <w:szCs w:val="15"/>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评价等级与范围</w:t>
            </w:r>
          </w:p>
        </w:tc>
        <w:tc>
          <w:tcPr>
            <w:tcW w:w="669" w:type="pct"/>
            <w:shd w:val="clear" w:color="auto" w:fill="auto"/>
            <w:vAlign w:val="center"/>
          </w:tcPr>
          <w:p>
            <w:pPr>
              <w:pStyle w:val="42"/>
              <w:spacing w:line="300" w:lineRule="exact"/>
              <w:rPr>
                <w:sz w:val="15"/>
                <w:szCs w:val="15"/>
              </w:rPr>
            </w:pPr>
            <w:r>
              <w:rPr>
                <w:sz w:val="15"/>
                <w:szCs w:val="15"/>
              </w:rPr>
              <w:t>评价等级</w:t>
            </w:r>
          </w:p>
        </w:tc>
        <w:tc>
          <w:tcPr>
            <w:tcW w:w="1330" w:type="pct"/>
            <w:gridSpan w:val="6"/>
            <w:shd w:val="clear" w:color="auto" w:fill="auto"/>
            <w:vAlign w:val="center"/>
          </w:tcPr>
          <w:p>
            <w:pPr>
              <w:pStyle w:val="42"/>
              <w:spacing w:line="300" w:lineRule="exact"/>
              <w:rPr>
                <w:sz w:val="15"/>
                <w:szCs w:val="15"/>
              </w:rPr>
            </w:pPr>
            <w:r>
              <w:rPr>
                <w:sz w:val="15"/>
                <w:szCs w:val="15"/>
              </w:rPr>
              <w:t>一级</w:t>
            </w:r>
            <w:r>
              <w:rPr>
                <w:rFonts w:hint="eastAsia" w:ascii="MS Mincho" w:hAnsi="MS Mincho" w:eastAsia="MS Mincho" w:cs="MS Mincho"/>
                <w:sz w:val="15"/>
                <w:szCs w:val="15"/>
              </w:rPr>
              <w:t>☑</w:t>
            </w:r>
          </w:p>
        </w:tc>
        <w:tc>
          <w:tcPr>
            <w:tcW w:w="1504" w:type="pct"/>
            <w:gridSpan w:val="6"/>
            <w:shd w:val="clear" w:color="auto" w:fill="auto"/>
            <w:vAlign w:val="center"/>
          </w:tcPr>
          <w:p>
            <w:pPr>
              <w:pStyle w:val="42"/>
              <w:spacing w:line="300" w:lineRule="exact"/>
              <w:rPr>
                <w:sz w:val="15"/>
                <w:szCs w:val="15"/>
              </w:rPr>
            </w:pPr>
            <w:r>
              <w:rPr>
                <w:sz w:val="15"/>
                <w:szCs w:val="15"/>
              </w:rPr>
              <w:t>二级□</w:t>
            </w:r>
          </w:p>
        </w:tc>
        <w:tc>
          <w:tcPr>
            <w:tcW w:w="1102" w:type="pct"/>
            <w:gridSpan w:val="5"/>
            <w:shd w:val="clear" w:color="auto" w:fill="auto"/>
            <w:vAlign w:val="center"/>
          </w:tcPr>
          <w:p>
            <w:pPr>
              <w:pStyle w:val="42"/>
              <w:spacing w:line="300" w:lineRule="exact"/>
              <w:rPr>
                <w:sz w:val="15"/>
                <w:szCs w:val="15"/>
              </w:rPr>
            </w:pPr>
            <w:r>
              <w:rPr>
                <w:sz w:val="15"/>
                <w:szCs w:val="15"/>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评价范围</w:t>
            </w:r>
          </w:p>
        </w:tc>
        <w:tc>
          <w:tcPr>
            <w:tcW w:w="1330" w:type="pct"/>
            <w:gridSpan w:val="6"/>
            <w:shd w:val="clear" w:color="auto" w:fill="auto"/>
            <w:vAlign w:val="center"/>
          </w:tcPr>
          <w:p>
            <w:pPr>
              <w:pStyle w:val="42"/>
              <w:spacing w:line="300" w:lineRule="exact"/>
              <w:rPr>
                <w:sz w:val="15"/>
                <w:szCs w:val="15"/>
              </w:rPr>
            </w:pPr>
            <w:r>
              <w:rPr>
                <w:sz w:val="15"/>
                <w:szCs w:val="15"/>
              </w:rPr>
              <w:t>边长=50km□</w:t>
            </w:r>
          </w:p>
        </w:tc>
        <w:tc>
          <w:tcPr>
            <w:tcW w:w="1504" w:type="pct"/>
            <w:gridSpan w:val="6"/>
            <w:shd w:val="clear" w:color="auto" w:fill="auto"/>
            <w:vAlign w:val="center"/>
          </w:tcPr>
          <w:p>
            <w:pPr>
              <w:pStyle w:val="42"/>
              <w:spacing w:line="300" w:lineRule="exact"/>
              <w:rPr>
                <w:sz w:val="15"/>
                <w:szCs w:val="15"/>
              </w:rPr>
            </w:pPr>
            <w:r>
              <w:rPr>
                <w:sz w:val="15"/>
                <w:szCs w:val="15"/>
              </w:rPr>
              <w:t>边长=5~50km□</w:t>
            </w:r>
          </w:p>
        </w:tc>
        <w:tc>
          <w:tcPr>
            <w:tcW w:w="1102" w:type="pct"/>
            <w:gridSpan w:val="5"/>
            <w:shd w:val="clear" w:color="auto" w:fill="auto"/>
            <w:vAlign w:val="center"/>
          </w:tcPr>
          <w:p>
            <w:pPr>
              <w:pStyle w:val="42"/>
              <w:spacing w:line="300" w:lineRule="exact"/>
              <w:rPr>
                <w:sz w:val="15"/>
                <w:szCs w:val="15"/>
              </w:rPr>
            </w:pPr>
            <w:r>
              <w:rPr>
                <w:sz w:val="15"/>
                <w:szCs w:val="15"/>
              </w:rPr>
              <w:t>边长=5km</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评价因子</w:t>
            </w:r>
          </w:p>
        </w:tc>
        <w:tc>
          <w:tcPr>
            <w:tcW w:w="669" w:type="pct"/>
            <w:shd w:val="clear" w:color="auto" w:fill="auto"/>
            <w:vAlign w:val="center"/>
          </w:tcPr>
          <w:p>
            <w:pPr>
              <w:pStyle w:val="42"/>
              <w:spacing w:line="300" w:lineRule="exact"/>
              <w:rPr>
                <w:sz w:val="15"/>
                <w:szCs w:val="15"/>
              </w:rPr>
            </w:pPr>
            <w:r>
              <w:rPr>
                <w:sz w:val="15"/>
                <w:szCs w:val="15"/>
              </w:rPr>
              <w:t>SO</w:t>
            </w:r>
            <w:r>
              <w:rPr>
                <w:sz w:val="15"/>
                <w:szCs w:val="15"/>
                <w:vertAlign w:val="subscript"/>
              </w:rPr>
              <w:t>2</w:t>
            </w:r>
            <w:r>
              <w:rPr>
                <w:sz w:val="15"/>
                <w:szCs w:val="15"/>
              </w:rPr>
              <w:t>+ NOx排放量</w:t>
            </w:r>
          </w:p>
        </w:tc>
        <w:tc>
          <w:tcPr>
            <w:tcW w:w="1330" w:type="pct"/>
            <w:gridSpan w:val="6"/>
            <w:shd w:val="clear" w:color="auto" w:fill="auto"/>
            <w:vAlign w:val="center"/>
          </w:tcPr>
          <w:p>
            <w:pPr>
              <w:pStyle w:val="42"/>
              <w:spacing w:line="300" w:lineRule="exact"/>
              <w:rPr>
                <w:sz w:val="15"/>
                <w:szCs w:val="15"/>
              </w:rPr>
            </w:pPr>
            <w:r>
              <w:rPr>
                <w:sz w:val="15"/>
                <w:szCs w:val="15"/>
              </w:rPr>
              <w:t>≥2000t/a□</w:t>
            </w:r>
          </w:p>
        </w:tc>
        <w:tc>
          <w:tcPr>
            <w:tcW w:w="1504" w:type="pct"/>
            <w:gridSpan w:val="6"/>
            <w:shd w:val="clear" w:color="auto" w:fill="auto"/>
            <w:vAlign w:val="center"/>
          </w:tcPr>
          <w:p>
            <w:pPr>
              <w:pStyle w:val="42"/>
              <w:spacing w:line="300" w:lineRule="exact"/>
              <w:rPr>
                <w:sz w:val="15"/>
                <w:szCs w:val="15"/>
              </w:rPr>
            </w:pPr>
            <w:r>
              <w:rPr>
                <w:sz w:val="15"/>
                <w:szCs w:val="15"/>
              </w:rPr>
              <w:t>500~2000t/a□</w:t>
            </w:r>
          </w:p>
        </w:tc>
        <w:tc>
          <w:tcPr>
            <w:tcW w:w="1102" w:type="pct"/>
            <w:gridSpan w:val="5"/>
            <w:shd w:val="clear" w:color="auto" w:fill="auto"/>
            <w:vAlign w:val="center"/>
          </w:tcPr>
          <w:p>
            <w:pPr>
              <w:pStyle w:val="42"/>
              <w:spacing w:line="300" w:lineRule="exact"/>
              <w:rPr>
                <w:sz w:val="15"/>
                <w:szCs w:val="15"/>
              </w:rPr>
            </w:pPr>
            <w:r>
              <w:rPr>
                <w:sz w:val="15"/>
                <w:szCs w:val="15"/>
              </w:rPr>
              <w:t>＜500t/a</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评价因子</w:t>
            </w:r>
          </w:p>
        </w:tc>
        <w:tc>
          <w:tcPr>
            <w:tcW w:w="1330" w:type="pct"/>
            <w:gridSpan w:val="6"/>
            <w:shd w:val="clear" w:color="auto" w:fill="auto"/>
            <w:vAlign w:val="center"/>
          </w:tcPr>
          <w:p>
            <w:pPr>
              <w:pStyle w:val="42"/>
              <w:spacing w:line="300" w:lineRule="exact"/>
              <w:rPr>
                <w:sz w:val="15"/>
                <w:szCs w:val="15"/>
              </w:rPr>
            </w:pPr>
            <w:r>
              <w:rPr>
                <w:sz w:val="15"/>
                <w:szCs w:val="15"/>
              </w:rPr>
              <w:t>国家标准</w:t>
            </w:r>
            <w:r>
              <w:rPr>
                <w:rFonts w:hint="eastAsia" w:ascii="MS Mincho" w:hAnsi="MS Mincho" w:eastAsia="MS Mincho" w:cs="MS Mincho"/>
                <w:sz w:val="15"/>
                <w:szCs w:val="15"/>
              </w:rPr>
              <w:t>☑</w:t>
            </w:r>
          </w:p>
        </w:tc>
        <w:tc>
          <w:tcPr>
            <w:tcW w:w="834" w:type="pct"/>
            <w:gridSpan w:val="4"/>
            <w:shd w:val="clear" w:color="auto" w:fill="auto"/>
            <w:vAlign w:val="center"/>
          </w:tcPr>
          <w:p>
            <w:pPr>
              <w:pStyle w:val="42"/>
              <w:spacing w:line="300" w:lineRule="exact"/>
              <w:rPr>
                <w:sz w:val="15"/>
                <w:szCs w:val="15"/>
              </w:rPr>
            </w:pPr>
            <w:r>
              <w:rPr>
                <w:sz w:val="15"/>
                <w:szCs w:val="15"/>
              </w:rPr>
              <w:t>地方标准</w:t>
            </w:r>
            <w:r>
              <w:rPr>
                <w:rFonts w:hint="eastAsia" w:ascii="MS Mincho" w:hAnsi="MS Mincho" w:eastAsia="MS Mincho" w:cs="MS Mincho"/>
                <w:sz w:val="15"/>
                <w:szCs w:val="15"/>
              </w:rPr>
              <w:t>☑</w:t>
            </w:r>
          </w:p>
        </w:tc>
        <w:tc>
          <w:tcPr>
            <w:tcW w:w="670" w:type="pct"/>
            <w:gridSpan w:val="2"/>
            <w:shd w:val="clear" w:color="auto" w:fill="auto"/>
            <w:vAlign w:val="center"/>
          </w:tcPr>
          <w:p>
            <w:pPr>
              <w:pStyle w:val="42"/>
              <w:spacing w:line="300" w:lineRule="exact"/>
              <w:rPr>
                <w:sz w:val="15"/>
                <w:szCs w:val="15"/>
              </w:rPr>
            </w:pPr>
            <w:r>
              <w:rPr>
                <w:sz w:val="15"/>
                <w:szCs w:val="15"/>
              </w:rPr>
              <w:t>附录D</w:t>
            </w:r>
            <w:r>
              <w:rPr>
                <w:rFonts w:hint="eastAsia" w:ascii="MS Mincho" w:hAnsi="MS Mincho" w:eastAsia="MS Mincho" w:cs="MS Mincho"/>
                <w:sz w:val="15"/>
                <w:szCs w:val="15"/>
              </w:rPr>
              <w:t>☑</w:t>
            </w:r>
          </w:p>
        </w:tc>
        <w:tc>
          <w:tcPr>
            <w:tcW w:w="1102" w:type="pct"/>
            <w:gridSpan w:val="5"/>
            <w:shd w:val="clear" w:color="auto" w:fill="auto"/>
            <w:vAlign w:val="center"/>
          </w:tcPr>
          <w:p>
            <w:pPr>
              <w:pStyle w:val="42"/>
              <w:spacing w:line="300" w:lineRule="exact"/>
              <w:rPr>
                <w:sz w:val="15"/>
                <w:szCs w:val="15"/>
              </w:rPr>
            </w:pPr>
            <w:r>
              <w:rPr>
                <w:sz w:val="15"/>
                <w:szCs w:val="15"/>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现状评价</w:t>
            </w:r>
          </w:p>
        </w:tc>
        <w:tc>
          <w:tcPr>
            <w:tcW w:w="669" w:type="pct"/>
            <w:shd w:val="clear" w:color="auto" w:fill="auto"/>
            <w:vAlign w:val="center"/>
          </w:tcPr>
          <w:p>
            <w:pPr>
              <w:pStyle w:val="42"/>
              <w:spacing w:line="300" w:lineRule="exact"/>
              <w:rPr>
                <w:sz w:val="15"/>
                <w:szCs w:val="15"/>
              </w:rPr>
            </w:pPr>
            <w:r>
              <w:rPr>
                <w:sz w:val="15"/>
                <w:szCs w:val="15"/>
              </w:rPr>
              <w:t>环境</w:t>
            </w:r>
          </w:p>
          <w:p>
            <w:pPr>
              <w:pStyle w:val="42"/>
              <w:spacing w:line="300" w:lineRule="exact"/>
              <w:rPr>
                <w:sz w:val="15"/>
                <w:szCs w:val="15"/>
              </w:rPr>
            </w:pPr>
            <w:r>
              <w:rPr>
                <w:sz w:val="15"/>
                <w:szCs w:val="15"/>
              </w:rPr>
              <w:t>功能区</w:t>
            </w:r>
          </w:p>
        </w:tc>
        <w:tc>
          <w:tcPr>
            <w:tcW w:w="1330" w:type="pct"/>
            <w:gridSpan w:val="6"/>
            <w:shd w:val="clear" w:color="auto" w:fill="auto"/>
            <w:vAlign w:val="center"/>
          </w:tcPr>
          <w:p>
            <w:pPr>
              <w:pStyle w:val="42"/>
              <w:spacing w:line="300" w:lineRule="exact"/>
              <w:rPr>
                <w:sz w:val="15"/>
                <w:szCs w:val="15"/>
              </w:rPr>
            </w:pPr>
            <w:r>
              <w:rPr>
                <w:sz w:val="15"/>
                <w:szCs w:val="15"/>
              </w:rPr>
              <w:t>一类区□</w:t>
            </w:r>
          </w:p>
        </w:tc>
        <w:tc>
          <w:tcPr>
            <w:tcW w:w="1504" w:type="pct"/>
            <w:gridSpan w:val="6"/>
            <w:shd w:val="clear" w:color="auto" w:fill="auto"/>
            <w:vAlign w:val="center"/>
          </w:tcPr>
          <w:p>
            <w:pPr>
              <w:pStyle w:val="42"/>
              <w:spacing w:line="300" w:lineRule="exact"/>
              <w:rPr>
                <w:sz w:val="15"/>
                <w:szCs w:val="15"/>
              </w:rPr>
            </w:pPr>
            <w:r>
              <w:rPr>
                <w:sz w:val="15"/>
                <w:szCs w:val="15"/>
              </w:rPr>
              <w:t>二类区</w:t>
            </w:r>
            <w:r>
              <w:rPr>
                <w:rFonts w:hint="eastAsia" w:ascii="MS Mincho" w:hAnsi="MS Mincho" w:eastAsia="MS Mincho" w:cs="MS Mincho"/>
                <w:sz w:val="15"/>
                <w:szCs w:val="15"/>
              </w:rPr>
              <w:t>☑</w:t>
            </w:r>
          </w:p>
        </w:tc>
        <w:tc>
          <w:tcPr>
            <w:tcW w:w="1102" w:type="pct"/>
            <w:gridSpan w:val="5"/>
            <w:shd w:val="clear" w:color="auto" w:fill="auto"/>
            <w:vAlign w:val="center"/>
          </w:tcPr>
          <w:p>
            <w:pPr>
              <w:pStyle w:val="42"/>
              <w:spacing w:line="300" w:lineRule="exact"/>
              <w:rPr>
                <w:sz w:val="15"/>
                <w:szCs w:val="15"/>
              </w:rPr>
            </w:pPr>
            <w:r>
              <w:rPr>
                <w:sz w:val="15"/>
                <w:szCs w:val="15"/>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评价</w:t>
            </w:r>
          </w:p>
          <w:p>
            <w:pPr>
              <w:pStyle w:val="42"/>
              <w:spacing w:line="300" w:lineRule="exact"/>
              <w:rPr>
                <w:sz w:val="15"/>
                <w:szCs w:val="15"/>
              </w:rPr>
            </w:pPr>
            <w:r>
              <w:rPr>
                <w:sz w:val="15"/>
                <w:szCs w:val="15"/>
              </w:rPr>
              <w:t>基准年</w:t>
            </w:r>
          </w:p>
        </w:tc>
        <w:tc>
          <w:tcPr>
            <w:tcW w:w="3936" w:type="pct"/>
            <w:gridSpan w:val="17"/>
            <w:shd w:val="clear" w:color="auto" w:fill="auto"/>
            <w:vAlign w:val="center"/>
          </w:tcPr>
          <w:p>
            <w:pPr>
              <w:pStyle w:val="42"/>
              <w:spacing w:line="300" w:lineRule="exact"/>
              <w:rPr>
                <w:sz w:val="15"/>
                <w:szCs w:val="15"/>
              </w:rPr>
            </w:pPr>
            <w:r>
              <w:rPr>
                <w:sz w:val="15"/>
                <w:szCs w:val="15"/>
              </w:rPr>
              <w:t>（201</w:t>
            </w:r>
            <w:r>
              <w:rPr>
                <w:rFonts w:hint="eastAsia"/>
                <w:sz w:val="15"/>
                <w:szCs w:val="15"/>
              </w:rPr>
              <w:t>9</w:t>
            </w:r>
            <w:r>
              <w:rPr>
                <w:sz w:val="15"/>
                <w:szCs w:val="15"/>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环境空气质量现状调查数据来源</w:t>
            </w:r>
          </w:p>
        </w:tc>
        <w:tc>
          <w:tcPr>
            <w:tcW w:w="1250" w:type="pct"/>
            <w:gridSpan w:val="5"/>
            <w:shd w:val="clear" w:color="auto" w:fill="auto"/>
            <w:vAlign w:val="center"/>
          </w:tcPr>
          <w:p>
            <w:pPr>
              <w:pStyle w:val="42"/>
              <w:spacing w:line="300" w:lineRule="exact"/>
              <w:rPr>
                <w:sz w:val="15"/>
                <w:szCs w:val="15"/>
              </w:rPr>
            </w:pPr>
            <w:r>
              <w:rPr>
                <w:sz w:val="15"/>
                <w:szCs w:val="15"/>
              </w:rPr>
              <w:t>长期例行监测数据□</w:t>
            </w:r>
          </w:p>
        </w:tc>
        <w:tc>
          <w:tcPr>
            <w:tcW w:w="1584" w:type="pct"/>
            <w:gridSpan w:val="7"/>
            <w:shd w:val="clear" w:color="auto" w:fill="auto"/>
            <w:vAlign w:val="center"/>
          </w:tcPr>
          <w:p>
            <w:pPr>
              <w:pStyle w:val="42"/>
              <w:spacing w:line="300" w:lineRule="exact"/>
              <w:rPr>
                <w:sz w:val="15"/>
                <w:szCs w:val="15"/>
              </w:rPr>
            </w:pPr>
            <w:r>
              <w:rPr>
                <w:sz w:val="15"/>
                <w:szCs w:val="15"/>
              </w:rPr>
              <w:t>主管部门发布的数据</w:t>
            </w:r>
            <w:r>
              <w:rPr>
                <w:rFonts w:hint="eastAsia" w:ascii="MS Mincho" w:hAnsi="MS Mincho" w:eastAsia="MS Mincho" w:cs="MS Mincho"/>
                <w:sz w:val="15"/>
                <w:szCs w:val="15"/>
              </w:rPr>
              <w:t>☑</w:t>
            </w:r>
          </w:p>
        </w:tc>
        <w:tc>
          <w:tcPr>
            <w:tcW w:w="1102" w:type="pct"/>
            <w:gridSpan w:val="5"/>
            <w:shd w:val="clear" w:color="auto" w:fill="auto"/>
            <w:vAlign w:val="center"/>
          </w:tcPr>
          <w:p>
            <w:pPr>
              <w:pStyle w:val="42"/>
              <w:spacing w:line="300" w:lineRule="exact"/>
              <w:rPr>
                <w:sz w:val="15"/>
                <w:szCs w:val="15"/>
              </w:rPr>
            </w:pPr>
            <w:r>
              <w:rPr>
                <w:sz w:val="15"/>
                <w:szCs w:val="15"/>
              </w:rPr>
              <w:t>现状补充监测</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现状评价</w:t>
            </w:r>
          </w:p>
        </w:tc>
        <w:tc>
          <w:tcPr>
            <w:tcW w:w="1250" w:type="pct"/>
            <w:gridSpan w:val="5"/>
            <w:shd w:val="clear" w:color="auto" w:fill="auto"/>
            <w:vAlign w:val="center"/>
          </w:tcPr>
          <w:p>
            <w:pPr>
              <w:pStyle w:val="42"/>
              <w:spacing w:line="300" w:lineRule="exact"/>
              <w:rPr>
                <w:sz w:val="15"/>
                <w:szCs w:val="15"/>
              </w:rPr>
            </w:pPr>
            <w:r>
              <w:rPr>
                <w:sz w:val="15"/>
                <w:szCs w:val="15"/>
              </w:rPr>
              <w:t>达标区□</w:t>
            </w:r>
          </w:p>
        </w:tc>
        <w:tc>
          <w:tcPr>
            <w:tcW w:w="2686" w:type="pct"/>
            <w:gridSpan w:val="12"/>
            <w:shd w:val="clear" w:color="auto" w:fill="auto"/>
            <w:vAlign w:val="center"/>
          </w:tcPr>
          <w:p>
            <w:pPr>
              <w:pStyle w:val="42"/>
              <w:spacing w:line="300" w:lineRule="exact"/>
              <w:rPr>
                <w:sz w:val="15"/>
                <w:szCs w:val="15"/>
              </w:rPr>
            </w:pPr>
            <w:r>
              <w:rPr>
                <w:sz w:val="15"/>
                <w:szCs w:val="15"/>
              </w:rPr>
              <w:t>不达标区</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shd w:val="clear" w:color="auto" w:fill="auto"/>
            <w:vAlign w:val="center"/>
          </w:tcPr>
          <w:p>
            <w:pPr>
              <w:pStyle w:val="42"/>
              <w:spacing w:line="300" w:lineRule="exact"/>
              <w:rPr>
                <w:sz w:val="15"/>
                <w:szCs w:val="15"/>
              </w:rPr>
            </w:pPr>
            <w:r>
              <w:rPr>
                <w:sz w:val="15"/>
                <w:szCs w:val="15"/>
              </w:rPr>
              <w:t>污染源调查</w:t>
            </w:r>
          </w:p>
        </w:tc>
        <w:tc>
          <w:tcPr>
            <w:tcW w:w="669" w:type="pct"/>
            <w:shd w:val="clear" w:color="auto" w:fill="auto"/>
            <w:vAlign w:val="center"/>
          </w:tcPr>
          <w:p>
            <w:pPr>
              <w:pStyle w:val="42"/>
              <w:spacing w:line="300" w:lineRule="exact"/>
              <w:rPr>
                <w:sz w:val="15"/>
                <w:szCs w:val="15"/>
              </w:rPr>
            </w:pPr>
            <w:r>
              <w:rPr>
                <w:sz w:val="15"/>
                <w:szCs w:val="15"/>
              </w:rPr>
              <w:t>调查内容</w:t>
            </w:r>
          </w:p>
        </w:tc>
        <w:tc>
          <w:tcPr>
            <w:tcW w:w="1250" w:type="pct"/>
            <w:gridSpan w:val="5"/>
            <w:shd w:val="clear" w:color="auto" w:fill="auto"/>
            <w:vAlign w:val="center"/>
          </w:tcPr>
          <w:p>
            <w:pPr>
              <w:pStyle w:val="42"/>
              <w:spacing w:line="300" w:lineRule="exact"/>
              <w:rPr>
                <w:sz w:val="15"/>
                <w:szCs w:val="15"/>
              </w:rPr>
            </w:pPr>
            <w:r>
              <w:rPr>
                <w:sz w:val="15"/>
                <w:szCs w:val="15"/>
              </w:rPr>
              <w:t>本项目正常排放源</w:t>
            </w:r>
            <w:r>
              <w:rPr>
                <w:rFonts w:hint="eastAsia" w:ascii="MS Mincho" w:hAnsi="MS Mincho" w:eastAsia="MS Mincho" w:cs="MS Mincho"/>
                <w:sz w:val="15"/>
                <w:szCs w:val="15"/>
              </w:rPr>
              <w:t>☑</w:t>
            </w:r>
          </w:p>
          <w:p>
            <w:pPr>
              <w:pStyle w:val="42"/>
              <w:spacing w:line="300" w:lineRule="exact"/>
              <w:rPr>
                <w:sz w:val="15"/>
                <w:szCs w:val="15"/>
              </w:rPr>
            </w:pPr>
            <w:r>
              <w:rPr>
                <w:sz w:val="15"/>
                <w:szCs w:val="15"/>
              </w:rPr>
              <w:t>本项目非正常排放源</w:t>
            </w:r>
            <w:r>
              <w:rPr>
                <w:rFonts w:hint="eastAsia" w:ascii="MS Mincho" w:hAnsi="MS Mincho" w:eastAsia="MS Mincho" w:cs="MS Mincho"/>
                <w:sz w:val="15"/>
                <w:szCs w:val="15"/>
              </w:rPr>
              <w:t>☑</w:t>
            </w:r>
            <w:r>
              <w:rPr>
                <w:sz w:val="15"/>
                <w:szCs w:val="15"/>
              </w:rPr>
              <w:t>现有污染源□</w:t>
            </w:r>
          </w:p>
        </w:tc>
        <w:tc>
          <w:tcPr>
            <w:tcW w:w="638" w:type="pct"/>
            <w:gridSpan w:val="3"/>
            <w:shd w:val="clear" w:color="auto" w:fill="auto"/>
            <w:vAlign w:val="center"/>
          </w:tcPr>
          <w:p>
            <w:pPr>
              <w:pStyle w:val="42"/>
              <w:spacing w:line="300" w:lineRule="exact"/>
              <w:rPr>
                <w:sz w:val="15"/>
                <w:szCs w:val="15"/>
              </w:rPr>
            </w:pPr>
            <w:r>
              <w:rPr>
                <w:sz w:val="15"/>
                <w:szCs w:val="15"/>
              </w:rPr>
              <w:t>拟替代的污染源</w:t>
            </w:r>
            <w:r>
              <w:rPr>
                <w:rFonts w:hint="eastAsia" w:ascii="MS Mincho" w:hAnsi="MS Mincho" w:eastAsia="MS Mincho" w:cs="MS Mincho"/>
                <w:sz w:val="15"/>
                <w:szCs w:val="15"/>
              </w:rPr>
              <w:t>☑</w:t>
            </w:r>
          </w:p>
        </w:tc>
        <w:tc>
          <w:tcPr>
            <w:tcW w:w="946" w:type="pct"/>
            <w:gridSpan w:val="4"/>
            <w:shd w:val="clear" w:color="auto" w:fill="auto"/>
            <w:vAlign w:val="center"/>
          </w:tcPr>
          <w:p>
            <w:pPr>
              <w:pStyle w:val="42"/>
              <w:spacing w:line="300" w:lineRule="exact"/>
              <w:rPr>
                <w:sz w:val="15"/>
                <w:szCs w:val="15"/>
              </w:rPr>
            </w:pPr>
            <w:r>
              <w:rPr>
                <w:sz w:val="15"/>
                <w:szCs w:val="15"/>
              </w:rPr>
              <w:t>其他在建、技改项目污染源</w:t>
            </w:r>
            <w:r>
              <w:rPr>
                <w:rFonts w:hint="eastAsia" w:ascii="MS Mincho" w:hAnsi="MS Mincho" w:eastAsia="MS Mincho" w:cs="MS Mincho"/>
                <w:sz w:val="15"/>
                <w:szCs w:val="15"/>
              </w:rPr>
              <w:t>☑</w:t>
            </w:r>
          </w:p>
        </w:tc>
        <w:tc>
          <w:tcPr>
            <w:tcW w:w="1102" w:type="pct"/>
            <w:gridSpan w:val="5"/>
            <w:shd w:val="clear" w:color="auto" w:fill="auto"/>
            <w:vAlign w:val="center"/>
          </w:tcPr>
          <w:p>
            <w:pPr>
              <w:pStyle w:val="42"/>
              <w:spacing w:line="300" w:lineRule="exact"/>
              <w:rPr>
                <w:sz w:val="15"/>
                <w:szCs w:val="15"/>
              </w:rPr>
            </w:pPr>
            <w:r>
              <w:rPr>
                <w:sz w:val="15"/>
                <w:szCs w:val="15"/>
              </w:rPr>
              <w:t>区域污染源</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大气环境影响预测与评价</w:t>
            </w:r>
          </w:p>
        </w:tc>
        <w:tc>
          <w:tcPr>
            <w:tcW w:w="669" w:type="pct"/>
            <w:shd w:val="clear" w:color="auto" w:fill="auto"/>
            <w:vAlign w:val="center"/>
          </w:tcPr>
          <w:p>
            <w:pPr>
              <w:pStyle w:val="42"/>
              <w:spacing w:line="300" w:lineRule="exact"/>
              <w:rPr>
                <w:sz w:val="15"/>
                <w:szCs w:val="15"/>
              </w:rPr>
            </w:pPr>
            <w:r>
              <w:rPr>
                <w:sz w:val="15"/>
                <w:szCs w:val="15"/>
              </w:rPr>
              <w:t>预测模型</w:t>
            </w:r>
          </w:p>
        </w:tc>
        <w:tc>
          <w:tcPr>
            <w:tcW w:w="669" w:type="pct"/>
            <w:gridSpan w:val="2"/>
            <w:shd w:val="clear" w:color="auto" w:fill="auto"/>
            <w:vAlign w:val="center"/>
          </w:tcPr>
          <w:p>
            <w:pPr>
              <w:pStyle w:val="42"/>
              <w:spacing w:line="300" w:lineRule="exact"/>
              <w:rPr>
                <w:sz w:val="15"/>
                <w:szCs w:val="15"/>
              </w:rPr>
            </w:pPr>
            <w:r>
              <w:rPr>
                <w:sz w:val="15"/>
                <w:szCs w:val="15"/>
              </w:rPr>
              <w:t>AERMOD</w:t>
            </w:r>
            <w:r>
              <w:rPr>
                <w:rFonts w:hint="eastAsia" w:ascii="MS Mincho" w:hAnsi="MS Mincho" w:eastAsia="MS Mincho" w:cs="MS Mincho"/>
                <w:sz w:val="15"/>
                <w:szCs w:val="15"/>
              </w:rPr>
              <w:t>☑</w:t>
            </w:r>
          </w:p>
        </w:tc>
        <w:tc>
          <w:tcPr>
            <w:tcW w:w="581" w:type="pct"/>
            <w:gridSpan w:val="3"/>
            <w:shd w:val="clear" w:color="auto" w:fill="auto"/>
            <w:vAlign w:val="center"/>
          </w:tcPr>
          <w:p>
            <w:pPr>
              <w:pStyle w:val="42"/>
              <w:spacing w:line="300" w:lineRule="exact"/>
              <w:rPr>
                <w:sz w:val="15"/>
                <w:szCs w:val="15"/>
              </w:rPr>
            </w:pPr>
            <w:r>
              <w:rPr>
                <w:sz w:val="15"/>
                <w:szCs w:val="15"/>
              </w:rPr>
              <w:t>ADMS□</w:t>
            </w:r>
          </w:p>
        </w:tc>
        <w:tc>
          <w:tcPr>
            <w:tcW w:w="638" w:type="pct"/>
            <w:gridSpan w:val="3"/>
            <w:shd w:val="clear" w:color="auto" w:fill="auto"/>
            <w:vAlign w:val="center"/>
          </w:tcPr>
          <w:p>
            <w:pPr>
              <w:pStyle w:val="42"/>
              <w:spacing w:line="300" w:lineRule="exact"/>
              <w:rPr>
                <w:sz w:val="15"/>
                <w:szCs w:val="15"/>
              </w:rPr>
            </w:pPr>
            <w:r>
              <w:rPr>
                <w:sz w:val="15"/>
                <w:szCs w:val="15"/>
              </w:rPr>
              <w:t>AUSTAL2000□</w:t>
            </w:r>
          </w:p>
        </w:tc>
        <w:tc>
          <w:tcPr>
            <w:tcW w:w="946" w:type="pct"/>
            <w:gridSpan w:val="4"/>
            <w:shd w:val="clear" w:color="auto" w:fill="auto"/>
            <w:vAlign w:val="center"/>
          </w:tcPr>
          <w:p>
            <w:pPr>
              <w:pStyle w:val="42"/>
              <w:spacing w:line="300" w:lineRule="exact"/>
              <w:rPr>
                <w:sz w:val="15"/>
                <w:szCs w:val="15"/>
              </w:rPr>
            </w:pPr>
            <w:r>
              <w:rPr>
                <w:sz w:val="15"/>
                <w:szCs w:val="15"/>
              </w:rPr>
              <w:t>EDMS/AEDT□</w:t>
            </w:r>
          </w:p>
        </w:tc>
        <w:tc>
          <w:tcPr>
            <w:tcW w:w="499" w:type="pct"/>
            <w:gridSpan w:val="2"/>
            <w:shd w:val="clear" w:color="auto" w:fill="auto"/>
            <w:vAlign w:val="center"/>
          </w:tcPr>
          <w:p>
            <w:pPr>
              <w:pStyle w:val="42"/>
              <w:spacing w:line="300" w:lineRule="exact"/>
              <w:rPr>
                <w:sz w:val="15"/>
                <w:szCs w:val="15"/>
              </w:rPr>
            </w:pPr>
            <w:r>
              <w:rPr>
                <w:sz w:val="15"/>
                <w:szCs w:val="15"/>
              </w:rPr>
              <w:t>CALPUFF□</w:t>
            </w:r>
          </w:p>
        </w:tc>
        <w:tc>
          <w:tcPr>
            <w:tcW w:w="357" w:type="pct"/>
            <w:gridSpan w:val="2"/>
            <w:shd w:val="clear" w:color="auto" w:fill="auto"/>
            <w:vAlign w:val="center"/>
          </w:tcPr>
          <w:p>
            <w:pPr>
              <w:pStyle w:val="42"/>
              <w:spacing w:line="300" w:lineRule="exact"/>
              <w:rPr>
                <w:sz w:val="15"/>
                <w:szCs w:val="15"/>
              </w:rPr>
            </w:pPr>
            <w:r>
              <w:rPr>
                <w:sz w:val="15"/>
                <w:szCs w:val="15"/>
              </w:rPr>
              <w:t>网络模型□</w:t>
            </w:r>
          </w:p>
        </w:tc>
        <w:tc>
          <w:tcPr>
            <w:tcW w:w="246" w:type="pct"/>
            <w:shd w:val="clear" w:color="auto" w:fill="auto"/>
            <w:vAlign w:val="center"/>
          </w:tcPr>
          <w:p>
            <w:pPr>
              <w:pStyle w:val="42"/>
              <w:spacing w:line="300" w:lineRule="exact"/>
              <w:rPr>
                <w:sz w:val="15"/>
                <w:szCs w:val="15"/>
              </w:rPr>
            </w:pPr>
            <w:r>
              <w:rPr>
                <w:sz w:val="15"/>
                <w:szCs w:val="15"/>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预测范围</w:t>
            </w:r>
          </w:p>
        </w:tc>
        <w:tc>
          <w:tcPr>
            <w:tcW w:w="1250" w:type="pct"/>
            <w:gridSpan w:val="5"/>
            <w:shd w:val="clear" w:color="auto" w:fill="auto"/>
            <w:vAlign w:val="center"/>
          </w:tcPr>
          <w:p>
            <w:pPr>
              <w:pStyle w:val="42"/>
              <w:spacing w:line="300" w:lineRule="exact"/>
              <w:rPr>
                <w:sz w:val="15"/>
                <w:szCs w:val="15"/>
              </w:rPr>
            </w:pPr>
            <w:r>
              <w:rPr>
                <w:sz w:val="15"/>
                <w:szCs w:val="15"/>
              </w:rPr>
              <w:t>边长≥50km□</w:t>
            </w:r>
          </w:p>
        </w:tc>
        <w:tc>
          <w:tcPr>
            <w:tcW w:w="1584" w:type="pct"/>
            <w:gridSpan w:val="7"/>
            <w:shd w:val="clear" w:color="auto" w:fill="auto"/>
            <w:vAlign w:val="center"/>
          </w:tcPr>
          <w:p>
            <w:pPr>
              <w:pStyle w:val="42"/>
              <w:spacing w:line="300" w:lineRule="exact"/>
              <w:rPr>
                <w:sz w:val="15"/>
                <w:szCs w:val="15"/>
              </w:rPr>
            </w:pPr>
            <w:r>
              <w:rPr>
                <w:sz w:val="15"/>
                <w:szCs w:val="15"/>
              </w:rPr>
              <w:t>边长5~50km□</w:t>
            </w:r>
          </w:p>
        </w:tc>
        <w:tc>
          <w:tcPr>
            <w:tcW w:w="1102" w:type="pct"/>
            <w:gridSpan w:val="5"/>
            <w:shd w:val="clear" w:color="auto" w:fill="auto"/>
            <w:vAlign w:val="center"/>
          </w:tcPr>
          <w:p>
            <w:pPr>
              <w:pStyle w:val="42"/>
              <w:spacing w:line="300" w:lineRule="exact"/>
              <w:rPr>
                <w:sz w:val="15"/>
                <w:szCs w:val="15"/>
              </w:rPr>
            </w:pPr>
            <w:r>
              <w:rPr>
                <w:sz w:val="15"/>
                <w:szCs w:val="15"/>
              </w:rPr>
              <w:t>边长=5km</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预测因子</w:t>
            </w:r>
          </w:p>
        </w:tc>
        <w:tc>
          <w:tcPr>
            <w:tcW w:w="1998" w:type="pct"/>
            <w:gridSpan w:val="9"/>
            <w:shd w:val="clear" w:color="auto" w:fill="auto"/>
            <w:vAlign w:val="center"/>
          </w:tcPr>
          <w:p>
            <w:pPr>
              <w:pStyle w:val="42"/>
              <w:spacing w:line="300" w:lineRule="exact"/>
              <w:rPr>
                <w:sz w:val="15"/>
                <w:szCs w:val="15"/>
              </w:rPr>
            </w:pPr>
            <w:r>
              <w:rPr>
                <w:sz w:val="15"/>
                <w:szCs w:val="15"/>
              </w:rPr>
              <w:t>预测因子（</w:t>
            </w:r>
            <w:r>
              <w:rPr>
                <w:rFonts w:hint="eastAsia"/>
                <w:sz w:val="15"/>
                <w:szCs w:val="15"/>
              </w:rPr>
              <w:t>SO</w:t>
            </w:r>
            <w:r>
              <w:rPr>
                <w:rFonts w:hint="eastAsia"/>
                <w:sz w:val="15"/>
                <w:szCs w:val="15"/>
                <w:vertAlign w:val="subscript"/>
              </w:rPr>
              <w:t>2</w:t>
            </w:r>
            <w:r>
              <w:rPr>
                <w:rFonts w:hint="eastAsia"/>
                <w:sz w:val="15"/>
                <w:szCs w:val="15"/>
              </w:rPr>
              <w:t>、NO</w:t>
            </w:r>
            <w:r>
              <w:rPr>
                <w:rFonts w:hint="eastAsia"/>
                <w:sz w:val="15"/>
                <w:szCs w:val="15"/>
                <w:vertAlign w:val="subscript"/>
              </w:rPr>
              <w:t>2</w:t>
            </w:r>
            <w:r>
              <w:rPr>
                <w:rFonts w:hint="eastAsia"/>
                <w:sz w:val="15"/>
                <w:szCs w:val="15"/>
              </w:rPr>
              <w:t>、PM</w:t>
            </w:r>
            <w:r>
              <w:rPr>
                <w:rFonts w:hint="eastAsia"/>
                <w:sz w:val="15"/>
                <w:szCs w:val="15"/>
                <w:vertAlign w:val="subscript"/>
              </w:rPr>
              <w:t>10</w:t>
            </w:r>
            <w:r>
              <w:rPr>
                <w:rFonts w:hint="eastAsia"/>
                <w:sz w:val="15"/>
                <w:szCs w:val="15"/>
              </w:rPr>
              <w:t>、PM</w:t>
            </w:r>
            <w:r>
              <w:rPr>
                <w:rFonts w:hint="eastAsia"/>
                <w:sz w:val="15"/>
                <w:szCs w:val="15"/>
                <w:vertAlign w:val="subscript"/>
              </w:rPr>
              <w:t>2.5</w:t>
            </w:r>
            <w:r>
              <w:rPr>
                <w:rFonts w:hint="eastAsia"/>
                <w:sz w:val="15"/>
                <w:szCs w:val="15"/>
              </w:rPr>
              <w:t>、NH</w:t>
            </w:r>
            <w:r>
              <w:rPr>
                <w:rFonts w:hint="eastAsia"/>
                <w:sz w:val="15"/>
                <w:szCs w:val="15"/>
                <w:vertAlign w:val="subscript"/>
              </w:rPr>
              <w:t>3</w:t>
            </w:r>
            <w:r>
              <w:rPr>
                <w:rFonts w:hint="eastAsia"/>
                <w:sz w:val="15"/>
                <w:szCs w:val="15"/>
              </w:rPr>
              <w:t>和非甲烷总烃</w:t>
            </w:r>
            <w:r>
              <w:rPr>
                <w:sz w:val="15"/>
                <w:szCs w:val="15"/>
              </w:rPr>
              <w:t>）</w:t>
            </w:r>
          </w:p>
        </w:tc>
        <w:tc>
          <w:tcPr>
            <w:tcW w:w="1937" w:type="pct"/>
            <w:gridSpan w:val="8"/>
            <w:shd w:val="clear" w:color="auto" w:fill="auto"/>
            <w:vAlign w:val="center"/>
          </w:tcPr>
          <w:p>
            <w:pPr>
              <w:pStyle w:val="42"/>
              <w:spacing w:line="300" w:lineRule="exact"/>
              <w:rPr>
                <w:sz w:val="15"/>
                <w:szCs w:val="15"/>
              </w:rPr>
            </w:pPr>
            <w:r>
              <w:rPr>
                <w:sz w:val="15"/>
                <w:szCs w:val="15"/>
              </w:rPr>
              <w:t>包括二次PM</w:t>
            </w:r>
            <w:r>
              <w:rPr>
                <w:sz w:val="15"/>
                <w:szCs w:val="15"/>
                <w:vertAlign w:val="subscript"/>
              </w:rPr>
              <w:t>2.5</w:t>
            </w:r>
            <w:r>
              <w:rPr>
                <w:sz w:val="15"/>
                <w:szCs w:val="15"/>
              </w:rPr>
              <w:t>□</w:t>
            </w:r>
          </w:p>
          <w:p>
            <w:pPr>
              <w:pStyle w:val="42"/>
              <w:spacing w:line="300" w:lineRule="exact"/>
              <w:rPr>
                <w:sz w:val="15"/>
                <w:szCs w:val="15"/>
              </w:rPr>
            </w:pPr>
            <w:r>
              <w:rPr>
                <w:sz w:val="15"/>
                <w:szCs w:val="15"/>
              </w:rPr>
              <w:t>不包括二次PM</w:t>
            </w:r>
            <w:r>
              <w:rPr>
                <w:sz w:val="15"/>
                <w:szCs w:val="15"/>
                <w:vertAlign w:val="subscript"/>
              </w:rPr>
              <w:t>2.5</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正常排放短期浓度贡献值</w:t>
            </w:r>
          </w:p>
        </w:tc>
        <w:tc>
          <w:tcPr>
            <w:tcW w:w="1998" w:type="pct"/>
            <w:gridSpan w:val="9"/>
            <w:shd w:val="clear" w:color="auto" w:fill="auto"/>
            <w:vAlign w:val="center"/>
          </w:tcPr>
          <w:p>
            <w:pPr>
              <w:pStyle w:val="42"/>
              <w:spacing w:line="300" w:lineRule="exact"/>
              <w:rPr>
                <w:sz w:val="15"/>
                <w:szCs w:val="15"/>
              </w:rPr>
            </w:pPr>
            <w:r>
              <w:rPr>
                <w:sz w:val="15"/>
                <w:szCs w:val="15"/>
              </w:rPr>
              <w:t>C本项目最大占标率≤100%</w:t>
            </w:r>
            <w:r>
              <w:rPr>
                <w:rFonts w:hint="eastAsia" w:ascii="MS Mincho" w:hAnsi="MS Mincho" w:eastAsia="MS Mincho" w:cs="MS Mincho"/>
                <w:sz w:val="15"/>
                <w:szCs w:val="15"/>
              </w:rPr>
              <w:t>☑</w:t>
            </w:r>
          </w:p>
        </w:tc>
        <w:tc>
          <w:tcPr>
            <w:tcW w:w="1937" w:type="pct"/>
            <w:gridSpan w:val="8"/>
            <w:shd w:val="clear" w:color="auto" w:fill="auto"/>
            <w:vAlign w:val="center"/>
          </w:tcPr>
          <w:p>
            <w:pPr>
              <w:pStyle w:val="42"/>
              <w:spacing w:line="300" w:lineRule="exact"/>
              <w:rPr>
                <w:sz w:val="15"/>
                <w:szCs w:val="15"/>
              </w:rPr>
            </w:pPr>
            <w:r>
              <w:rPr>
                <w:sz w:val="15"/>
                <w:szCs w:val="15"/>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vMerge w:val="restart"/>
            <w:shd w:val="clear" w:color="auto" w:fill="auto"/>
            <w:vAlign w:val="center"/>
          </w:tcPr>
          <w:p>
            <w:pPr>
              <w:pStyle w:val="42"/>
              <w:spacing w:line="300" w:lineRule="exact"/>
              <w:rPr>
                <w:sz w:val="15"/>
                <w:szCs w:val="15"/>
              </w:rPr>
            </w:pPr>
            <w:r>
              <w:rPr>
                <w:sz w:val="15"/>
                <w:szCs w:val="15"/>
              </w:rPr>
              <w:t>正常排放年均浓度贡献值</w:t>
            </w:r>
          </w:p>
        </w:tc>
        <w:tc>
          <w:tcPr>
            <w:tcW w:w="515" w:type="pct"/>
            <w:shd w:val="clear" w:color="auto" w:fill="auto"/>
            <w:vAlign w:val="center"/>
          </w:tcPr>
          <w:p>
            <w:pPr>
              <w:pStyle w:val="42"/>
              <w:spacing w:line="300" w:lineRule="exact"/>
              <w:rPr>
                <w:sz w:val="15"/>
                <w:szCs w:val="15"/>
              </w:rPr>
            </w:pPr>
            <w:r>
              <w:rPr>
                <w:sz w:val="15"/>
                <w:szCs w:val="15"/>
              </w:rPr>
              <w:t>一类区</w:t>
            </w:r>
          </w:p>
        </w:tc>
        <w:tc>
          <w:tcPr>
            <w:tcW w:w="1483" w:type="pct"/>
            <w:gridSpan w:val="8"/>
            <w:shd w:val="clear" w:color="auto" w:fill="auto"/>
            <w:vAlign w:val="center"/>
          </w:tcPr>
          <w:p>
            <w:pPr>
              <w:pStyle w:val="42"/>
              <w:spacing w:line="300" w:lineRule="exact"/>
              <w:rPr>
                <w:sz w:val="15"/>
                <w:szCs w:val="15"/>
              </w:rPr>
            </w:pPr>
            <w:r>
              <w:rPr>
                <w:sz w:val="15"/>
                <w:szCs w:val="15"/>
              </w:rPr>
              <w:t>C本项目最大占标率≤10%□</w:t>
            </w:r>
          </w:p>
        </w:tc>
        <w:tc>
          <w:tcPr>
            <w:tcW w:w="1937" w:type="pct"/>
            <w:gridSpan w:val="8"/>
            <w:shd w:val="clear" w:color="auto" w:fill="auto"/>
            <w:vAlign w:val="center"/>
          </w:tcPr>
          <w:p>
            <w:pPr>
              <w:pStyle w:val="42"/>
              <w:spacing w:line="300" w:lineRule="exact"/>
              <w:rPr>
                <w:sz w:val="15"/>
                <w:szCs w:val="15"/>
              </w:rPr>
            </w:pPr>
            <w:r>
              <w:rPr>
                <w:sz w:val="15"/>
                <w:szCs w:val="15"/>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vMerge w:val="continue"/>
            <w:shd w:val="clear" w:color="auto" w:fill="auto"/>
            <w:vAlign w:val="center"/>
          </w:tcPr>
          <w:p>
            <w:pPr>
              <w:pStyle w:val="42"/>
              <w:spacing w:line="300" w:lineRule="exact"/>
              <w:rPr>
                <w:sz w:val="15"/>
                <w:szCs w:val="15"/>
              </w:rPr>
            </w:pPr>
          </w:p>
        </w:tc>
        <w:tc>
          <w:tcPr>
            <w:tcW w:w="515" w:type="pct"/>
            <w:shd w:val="clear" w:color="auto" w:fill="auto"/>
            <w:vAlign w:val="center"/>
          </w:tcPr>
          <w:p>
            <w:pPr>
              <w:pStyle w:val="42"/>
              <w:spacing w:line="300" w:lineRule="exact"/>
              <w:rPr>
                <w:sz w:val="15"/>
                <w:szCs w:val="15"/>
              </w:rPr>
            </w:pPr>
            <w:r>
              <w:rPr>
                <w:sz w:val="15"/>
                <w:szCs w:val="15"/>
              </w:rPr>
              <w:t>二类区</w:t>
            </w:r>
          </w:p>
        </w:tc>
        <w:tc>
          <w:tcPr>
            <w:tcW w:w="1483" w:type="pct"/>
            <w:gridSpan w:val="8"/>
            <w:shd w:val="clear" w:color="auto" w:fill="auto"/>
            <w:vAlign w:val="center"/>
          </w:tcPr>
          <w:p>
            <w:pPr>
              <w:pStyle w:val="42"/>
              <w:spacing w:line="300" w:lineRule="exact"/>
              <w:rPr>
                <w:sz w:val="15"/>
                <w:szCs w:val="15"/>
              </w:rPr>
            </w:pPr>
            <w:r>
              <w:rPr>
                <w:sz w:val="15"/>
                <w:szCs w:val="15"/>
              </w:rPr>
              <w:t>C本项目最大占标率≤30%</w:t>
            </w:r>
            <w:r>
              <w:rPr>
                <w:rFonts w:hint="eastAsia" w:ascii="MS Mincho" w:hAnsi="MS Mincho" w:eastAsia="MS Mincho" w:cs="MS Mincho"/>
                <w:sz w:val="15"/>
                <w:szCs w:val="15"/>
              </w:rPr>
              <w:t>☑</w:t>
            </w:r>
          </w:p>
        </w:tc>
        <w:tc>
          <w:tcPr>
            <w:tcW w:w="1937" w:type="pct"/>
            <w:gridSpan w:val="8"/>
            <w:shd w:val="clear" w:color="auto" w:fill="auto"/>
            <w:vAlign w:val="center"/>
          </w:tcPr>
          <w:p>
            <w:pPr>
              <w:pStyle w:val="42"/>
              <w:spacing w:line="300" w:lineRule="exact"/>
              <w:rPr>
                <w:sz w:val="15"/>
                <w:szCs w:val="15"/>
              </w:rPr>
            </w:pPr>
            <w:r>
              <w:rPr>
                <w:sz w:val="15"/>
                <w:szCs w:val="15"/>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非正常排放1h浓度贡献值</w:t>
            </w:r>
          </w:p>
        </w:tc>
        <w:tc>
          <w:tcPr>
            <w:tcW w:w="996" w:type="pct"/>
            <w:gridSpan w:val="4"/>
            <w:shd w:val="clear" w:color="auto" w:fill="auto"/>
            <w:vAlign w:val="center"/>
          </w:tcPr>
          <w:p>
            <w:pPr>
              <w:pStyle w:val="42"/>
              <w:spacing w:line="300" w:lineRule="exact"/>
              <w:rPr>
                <w:sz w:val="15"/>
                <w:szCs w:val="15"/>
              </w:rPr>
            </w:pPr>
            <w:r>
              <w:rPr>
                <w:sz w:val="15"/>
                <w:szCs w:val="15"/>
              </w:rPr>
              <w:t>非正常持续时长（0.5）h</w:t>
            </w:r>
          </w:p>
        </w:tc>
        <w:tc>
          <w:tcPr>
            <w:tcW w:w="1003" w:type="pct"/>
            <w:gridSpan w:val="5"/>
            <w:shd w:val="clear" w:color="auto" w:fill="auto"/>
            <w:vAlign w:val="center"/>
          </w:tcPr>
          <w:p>
            <w:pPr>
              <w:pStyle w:val="42"/>
              <w:spacing w:line="300" w:lineRule="exact"/>
              <w:rPr>
                <w:sz w:val="15"/>
                <w:szCs w:val="15"/>
              </w:rPr>
            </w:pPr>
            <w:r>
              <w:rPr>
                <w:sz w:val="15"/>
                <w:szCs w:val="15"/>
              </w:rPr>
              <w:t>C非正常占标率≤100%□</w:t>
            </w:r>
          </w:p>
        </w:tc>
        <w:tc>
          <w:tcPr>
            <w:tcW w:w="1937" w:type="pct"/>
            <w:gridSpan w:val="8"/>
            <w:shd w:val="clear" w:color="auto" w:fill="auto"/>
            <w:vAlign w:val="center"/>
          </w:tcPr>
          <w:p>
            <w:pPr>
              <w:pStyle w:val="42"/>
              <w:spacing w:line="300" w:lineRule="exact"/>
              <w:rPr>
                <w:sz w:val="15"/>
                <w:szCs w:val="15"/>
              </w:rPr>
            </w:pPr>
            <w:r>
              <w:rPr>
                <w:sz w:val="15"/>
                <w:szCs w:val="15"/>
              </w:rPr>
              <w:t>C非正常占标率＞100%</w:t>
            </w:r>
            <w:r>
              <w:rPr>
                <w:rFonts w:hint="eastAsia" w:ascii="MS Mincho" w:hAnsi="MS Mincho" w:eastAsia="MS Mincho" w:cs="MS Mincho"/>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保证率日平均浓度和年平均浓度叠加值</w:t>
            </w:r>
          </w:p>
        </w:tc>
        <w:tc>
          <w:tcPr>
            <w:tcW w:w="1998" w:type="pct"/>
            <w:gridSpan w:val="9"/>
            <w:shd w:val="clear" w:color="auto" w:fill="auto"/>
            <w:vAlign w:val="center"/>
          </w:tcPr>
          <w:p>
            <w:pPr>
              <w:pStyle w:val="42"/>
              <w:spacing w:line="300" w:lineRule="exact"/>
              <w:rPr>
                <w:sz w:val="15"/>
                <w:szCs w:val="15"/>
              </w:rPr>
            </w:pPr>
            <w:r>
              <w:rPr>
                <w:sz w:val="15"/>
                <w:szCs w:val="15"/>
              </w:rPr>
              <w:t>C叠加达标</w:t>
            </w:r>
            <w:r>
              <w:rPr>
                <w:rFonts w:hint="eastAsia" w:ascii="MS Mincho" w:hAnsi="MS Mincho" w:eastAsia="MS Mincho" w:cs="MS Mincho"/>
                <w:sz w:val="15"/>
                <w:szCs w:val="15"/>
              </w:rPr>
              <w:t>☑</w:t>
            </w:r>
          </w:p>
        </w:tc>
        <w:tc>
          <w:tcPr>
            <w:tcW w:w="1937" w:type="pct"/>
            <w:gridSpan w:val="8"/>
            <w:shd w:val="clear" w:color="auto" w:fill="auto"/>
            <w:vAlign w:val="center"/>
          </w:tcPr>
          <w:p>
            <w:pPr>
              <w:pStyle w:val="42"/>
              <w:spacing w:line="300" w:lineRule="exact"/>
              <w:rPr>
                <w:sz w:val="15"/>
                <w:szCs w:val="15"/>
              </w:rPr>
            </w:pPr>
            <w:r>
              <w:rPr>
                <w:sz w:val="15"/>
                <w:szCs w:val="15"/>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区域环境质量的整体变化情况</w:t>
            </w:r>
          </w:p>
        </w:tc>
        <w:tc>
          <w:tcPr>
            <w:tcW w:w="1998" w:type="pct"/>
            <w:gridSpan w:val="9"/>
            <w:shd w:val="clear" w:color="auto" w:fill="auto"/>
            <w:vAlign w:val="center"/>
          </w:tcPr>
          <w:p>
            <w:pPr>
              <w:pStyle w:val="42"/>
              <w:spacing w:line="300" w:lineRule="exact"/>
              <w:rPr>
                <w:sz w:val="15"/>
                <w:szCs w:val="15"/>
              </w:rPr>
            </w:pPr>
            <w:r>
              <w:rPr>
                <w:sz w:val="15"/>
                <w:szCs w:val="15"/>
              </w:rPr>
              <w:t>K≤-20%</w:t>
            </w:r>
            <w:r>
              <w:rPr>
                <w:rFonts w:hint="eastAsia" w:ascii="MS Mincho" w:hAnsi="MS Mincho" w:eastAsia="MS Mincho" w:cs="MS Mincho"/>
                <w:sz w:val="15"/>
                <w:szCs w:val="15"/>
              </w:rPr>
              <w:t>☑</w:t>
            </w:r>
          </w:p>
        </w:tc>
        <w:tc>
          <w:tcPr>
            <w:tcW w:w="1937" w:type="pct"/>
            <w:gridSpan w:val="8"/>
            <w:shd w:val="clear" w:color="auto" w:fill="auto"/>
            <w:vAlign w:val="center"/>
          </w:tcPr>
          <w:p>
            <w:pPr>
              <w:pStyle w:val="42"/>
              <w:spacing w:line="300" w:lineRule="exact"/>
              <w:rPr>
                <w:sz w:val="15"/>
                <w:szCs w:val="15"/>
              </w:rPr>
            </w:pPr>
            <w:r>
              <w:rPr>
                <w:sz w:val="15"/>
                <w:szCs w:val="15"/>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环境监测计划</w:t>
            </w:r>
          </w:p>
        </w:tc>
        <w:tc>
          <w:tcPr>
            <w:tcW w:w="669" w:type="pct"/>
            <w:shd w:val="clear" w:color="auto" w:fill="auto"/>
            <w:vAlign w:val="center"/>
          </w:tcPr>
          <w:p>
            <w:pPr>
              <w:pStyle w:val="42"/>
              <w:spacing w:line="300" w:lineRule="exact"/>
              <w:rPr>
                <w:sz w:val="15"/>
                <w:szCs w:val="15"/>
              </w:rPr>
            </w:pPr>
            <w:r>
              <w:rPr>
                <w:sz w:val="15"/>
                <w:szCs w:val="15"/>
              </w:rPr>
              <w:t>污染源</w:t>
            </w:r>
          </w:p>
          <w:p>
            <w:pPr>
              <w:pStyle w:val="42"/>
              <w:spacing w:line="300" w:lineRule="exact"/>
              <w:rPr>
                <w:sz w:val="15"/>
                <w:szCs w:val="15"/>
              </w:rPr>
            </w:pPr>
            <w:r>
              <w:rPr>
                <w:sz w:val="15"/>
                <w:szCs w:val="15"/>
              </w:rPr>
              <w:t>监测</w:t>
            </w:r>
          </w:p>
        </w:tc>
        <w:tc>
          <w:tcPr>
            <w:tcW w:w="1998" w:type="pct"/>
            <w:gridSpan w:val="9"/>
            <w:shd w:val="clear" w:color="auto" w:fill="auto"/>
            <w:vAlign w:val="center"/>
          </w:tcPr>
          <w:p>
            <w:pPr>
              <w:pStyle w:val="42"/>
              <w:spacing w:line="300" w:lineRule="exact"/>
              <w:rPr>
                <w:sz w:val="15"/>
                <w:szCs w:val="15"/>
              </w:rPr>
            </w:pPr>
            <w:r>
              <w:rPr>
                <w:sz w:val="15"/>
                <w:szCs w:val="15"/>
              </w:rPr>
              <w:t>监测因子：（</w:t>
            </w:r>
            <w:r>
              <w:rPr>
                <w:rFonts w:hint="eastAsia"/>
                <w:sz w:val="15"/>
                <w:szCs w:val="15"/>
              </w:rPr>
              <w:t>SO</w:t>
            </w:r>
            <w:r>
              <w:rPr>
                <w:rFonts w:hint="eastAsia"/>
                <w:sz w:val="15"/>
                <w:szCs w:val="15"/>
                <w:vertAlign w:val="subscript"/>
              </w:rPr>
              <w:t>2</w:t>
            </w:r>
            <w:r>
              <w:rPr>
                <w:rFonts w:hint="eastAsia"/>
                <w:sz w:val="15"/>
                <w:szCs w:val="15"/>
              </w:rPr>
              <w:t>、NO</w:t>
            </w:r>
            <w:r>
              <w:rPr>
                <w:rFonts w:hint="eastAsia"/>
                <w:sz w:val="15"/>
                <w:szCs w:val="15"/>
                <w:vertAlign w:val="subscript"/>
              </w:rPr>
              <w:t>x</w:t>
            </w:r>
            <w:r>
              <w:rPr>
                <w:rFonts w:hint="eastAsia"/>
                <w:sz w:val="15"/>
                <w:szCs w:val="15"/>
              </w:rPr>
              <w:t>、PM</w:t>
            </w:r>
            <w:r>
              <w:rPr>
                <w:rFonts w:hint="eastAsia"/>
                <w:sz w:val="15"/>
                <w:szCs w:val="15"/>
                <w:vertAlign w:val="subscript"/>
              </w:rPr>
              <w:t>10</w:t>
            </w:r>
            <w:r>
              <w:rPr>
                <w:rFonts w:hint="eastAsia"/>
                <w:sz w:val="15"/>
                <w:szCs w:val="15"/>
              </w:rPr>
              <w:t>、PM</w:t>
            </w:r>
            <w:r>
              <w:rPr>
                <w:rFonts w:hint="eastAsia"/>
                <w:sz w:val="15"/>
                <w:szCs w:val="15"/>
                <w:vertAlign w:val="subscript"/>
              </w:rPr>
              <w:t>2.5</w:t>
            </w:r>
            <w:r>
              <w:rPr>
                <w:rFonts w:hint="eastAsia"/>
                <w:sz w:val="15"/>
                <w:szCs w:val="15"/>
              </w:rPr>
              <w:t>、NH</w:t>
            </w:r>
            <w:r>
              <w:rPr>
                <w:rFonts w:hint="eastAsia"/>
                <w:sz w:val="15"/>
                <w:szCs w:val="15"/>
                <w:vertAlign w:val="subscript"/>
              </w:rPr>
              <w:t>3</w:t>
            </w:r>
            <w:r>
              <w:rPr>
                <w:rFonts w:hint="eastAsia"/>
                <w:sz w:val="15"/>
                <w:szCs w:val="15"/>
              </w:rPr>
              <w:t>、非甲烷总烃和臭气浓度</w:t>
            </w:r>
            <w:r>
              <w:rPr>
                <w:sz w:val="15"/>
                <w:szCs w:val="15"/>
              </w:rPr>
              <w:t>）</w:t>
            </w:r>
          </w:p>
        </w:tc>
        <w:tc>
          <w:tcPr>
            <w:tcW w:w="1498" w:type="pct"/>
            <w:gridSpan w:val="6"/>
            <w:shd w:val="clear" w:color="auto" w:fill="auto"/>
            <w:vAlign w:val="center"/>
          </w:tcPr>
          <w:p>
            <w:pPr>
              <w:pStyle w:val="42"/>
              <w:spacing w:line="300" w:lineRule="exact"/>
              <w:rPr>
                <w:sz w:val="15"/>
                <w:szCs w:val="15"/>
              </w:rPr>
            </w:pPr>
            <w:r>
              <w:rPr>
                <w:sz w:val="15"/>
                <w:szCs w:val="15"/>
              </w:rPr>
              <w:t>有组织废气监测</w:t>
            </w:r>
            <w:r>
              <w:rPr>
                <w:rFonts w:hint="eastAsia" w:ascii="MS Mincho" w:hAnsi="MS Mincho" w:eastAsia="MS Mincho" w:cs="MS Mincho"/>
                <w:sz w:val="15"/>
                <w:szCs w:val="15"/>
              </w:rPr>
              <w:t>☑</w:t>
            </w:r>
          </w:p>
          <w:p>
            <w:pPr>
              <w:pStyle w:val="42"/>
              <w:spacing w:line="300" w:lineRule="exact"/>
              <w:rPr>
                <w:sz w:val="15"/>
                <w:szCs w:val="15"/>
              </w:rPr>
            </w:pPr>
            <w:r>
              <w:rPr>
                <w:sz w:val="15"/>
                <w:szCs w:val="15"/>
              </w:rPr>
              <w:t>无组织废气监测</w:t>
            </w:r>
            <w:r>
              <w:rPr>
                <w:rFonts w:hint="eastAsia" w:ascii="MS Mincho" w:hAnsi="MS Mincho" w:eastAsia="MS Mincho" w:cs="MS Mincho"/>
                <w:sz w:val="15"/>
                <w:szCs w:val="15"/>
              </w:rPr>
              <w:t>☑</w:t>
            </w:r>
          </w:p>
        </w:tc>
        <w:tc>
          <w:tcPr>
            <w:tcW w:w="439" w:type="pct"/>
            <w:gridSpan w:val="2"/>
            <w:shd w:val="clear" w:color="auto" w:fill="auto"/>
            <w:vAlign w:val="center"/>
          </w:tcPr>
          <w:p>
            <w:pPr>
              <w:pStyle w:val="42"/>
              <w:spacing w:line="300" w:lineRule="exact"/>
              <w:rPr>
                <w:sz w:val="15"/>
                <w:szCs w:val="15"/>
              </w:rPr>
            </w:pPr>
            <w:r>
              <w:rPr>
                <w:sz w:val="15"/>
                <w:szCs w:val="15"/>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环境质量</w:t>
            </w:r>
          </w:p>
          <w:p>
            <w:pPr>
              <w:pStyle w:val="42"/>
              <w:spacing w:line="300" w:lineRule="exact"/>
              <w:rPr>
                <w:sz w:val="15"/>
                <w:szCs w:val="15"/>
              </w:rPr>
            </w:pPr>
            <w:r>
              <w:rPr>
                <w:sz w:val="15"/>
                <w:szCs w:val="15"/>
              </w:rPr>
              <w:t>监测</w:t>
            </w:r>
          </w:p>
        </w:tc>
        <w:tc>
          <w:tcPr>
            <w:tcW w:w="1998" w:type="pct"/>
            <w:gridSpan w:val="9"/>
            <w:shd w:val="clear" w:color="auto" w:fill="auto"/>
            <w:vAlign w:val="center"/>
          </w:tcPr>
          <w:p>
            <w:pPr>
              <w:pStyle w:val="42"/>
              <w:spacing w:line="300" w:lineRule="exact"/>
              <w:rPr>
                <w:sz w:val="15"/>
                <w:szCs w:val="15"/>
              </w:rPr>
            </w:pPr>
            <w:r>
              <w:rPr>
                <w:sz w:val="15"/>
                <w:szCs w:val="15"/>
              </w:rPr>
              <w:t>监测因子：（）</w:t>
            </w:r>
          </w:p>
        </w:tc>
        <w:tc>
          <w:tcPr>
            <w:tcW w:w="1498" w:type="pct"/>
            <w:gridSpan w:val="6"/>
            <w:shd w:val="clear" w:color="auto" w:fill="auto"/>
            <w:vAlign w:val="center"/>
          </w:tcPr>
          <w:p>
            <w:pPr>
              <w:pStyle w:val="42"/>
              <w:spacing w:line="300" w:lineRule="exact"/>
              <w:rPr>
                <w:sz w:val="15"/>
                <w:szCs w:val="15"/>
              </w:rPr>
            </w:pPr>
            <w:r>
              <w:rPr>
                <w:sz w:val="15"/>
                <w:szCs w:val="15"/>
              </w:rPr>
              <w:t>监测点位数（）</w:t>
            </w:r>
          </w:p>
        </w:tc>
        <w:tc>
          <w:tcPr>
            <w:tcW w:w="439" w:type="pct"/>
            <w:gridSpan w:val="2"/>
            <w:shd w:val="clear" w:color="auto" w:fill="auto"/>
            <w:vAlign w:val="center"/>
          </w:tcPr>
          <w:p>
            <w:pPr>
              <w:pStyle w:val="42"/>
              <w:spacing w:line="300" w:lineRule="exact"/>
              <w:rPr>
                <w:sz w:val="15"/>
                <w:szCs w:val="15"/>
              </w:rPr>
            </w:pPr>
            <w:r>
              <w:rPr>
                <w:sz w:val="15"/>
                <w:szCs w:val="15"/>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shd w:val="clear" w:color="auto" w:fill="auto"/>
            <w:vAlign w:val="center"/>
          </w:tcPr>
          <w:p>
            <w:pPr>
              <w:pStyle w:val="42"/>
              <w:spacing w:line="300" w:lineRule="exact"/>
              <w:rPr>
                <w:sz w:val="15"/>
                <w:szCs w:val="15"/>
              </w:rPr>
            </w:pPr>
            <w:r>
              <w:rPr>
                <w:sz w:val="15"/>
                <w:szCs w:val="15"/>
              </w:rPr>
              <w:t>评价结论</w:t>
            </w:r>
          </w:p>
        </w:tc>
        <w:tc>
          <w:tcPr>
            <w:tcW w:w="669" w:type="pct"/>
            <w:shd w:val="clear" w:color="auto" w:fill="auto"/>
            <w:vAlign w:val="center"/>
          </w:tcPr>
          <w:p>
            <w:pPr>
              <w:pStyle w:val="42"/>
              <w:spacing w:line="300" w:lineRule="exact"/>
              <w:rPr>
                <w:sz w:val="15"/>
                <w:szCs w:val="15"/>
              </w:rPr>
            </w:pPr>
            <w:r>
              <w:rPr>
                <w:sz w:val="15"/>
                <w:szCs w:val="15"/>
              </w:rPr>
              <w:t>环境影响</w:t>
            </w:r>
          </w:p>
        </w:tc>
        <w:tc>
          <w:tcPr>
            <w:tcW w:w="1998" w:type="pct"/>
            <w:gridSpan w:val="9"/>
            <w:shd w:val="clear" w:color="auto" w:fill="auto"/>
            <w:vAlign w:val="center"/>
          </w:tcPr>
          <w:p>
            <w:pPr>
              <w:pStyle w:val="42"/>
              <w:spacing w:line="300" w:lineRule="exact"/>
              <w:rPr>
                <w:sz w:val="15"/>
                <w:szCs w:val="15"/>
              </w:rPr>
            </w:pPr>
            <w:r>
              <w:rPr>
                <w:sz w:val="15"/>
                <w:szCs w:val="15"/>
              </w:rPr>
              <w:t>可以接受（√）</w:t>
            </w:r>
          </w:p>
        </w:tc>
        <w:tc>
          <w:tcPr>
            <w:tcW w:w="1937" w:type="pct"/>
            <w:gridSpan w:val="8"/>
            <w:shd w:val="clear" w:color="auto" w:fill="auto"/>
            <w:vAlign w:val="center"/>
          </w:tcPr>
          <w:p>
            <w:pPr>
              <w:pStyle w:val="42"/>
              <w:spacing w:line="300" w:lineRule="exact"/>
              <w:rPr>
                <w:sz w:val="15"/>
                <w:szCs w:val="15"/>
              </w:rPr>
            </w:pPr>
            <w:r>
              <w:rPr>
                <w:sz w:val="15"/>
                <w:szCs w:val="15"/>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大气环境</w:t>
            </w:r>
          </w:p>
          <w:p>
            <w:pPr>
              <w:pStyle w:val="42"/>
              <w:spacing w:line="300" w:lineRule="exact"/>
              <w:rPr>
                <w:sz w:val="15"/>
                <w:szCs w:val="15"/>
              </w:rPr>
            </w:pPr>
            <w:r>
              <w:rPr>
                <w:sz w:val="15"/>
                <w:szCs w:val="15"/>
              </w:rPr>
              <w:t>防护距离</w:t>
            </w:r>
          </w:p>
        </w:tc>
        <w:tc>
          <w:tcPr>
            <w:tcW w:w="3936" w:type="pct"/>
            <w:gridSpan w:val="17"/>
            <w:shd w:val="clear" w:color="auto" w:fill="auto"/>
            <w:vAlign w:val="center"/>
          </w:tcPr>
          <w:p>
            <w:pPr>
              <w:pStyle w:val="42"/>
              <w:spacing w:line="300" w:lineRule="exact"/>
              <w:rPr>
                <w:sz w:val="15"/>
                <w:szCs w:val="15"/>
              </w:rPr>
            </w:pPr>
            <w:r>
              <w:rPr>
                <w:sz w:val="15"/>
                <w:szCs w:val="15"/>
              </w:rPr>
              <w:t>距（）厂界最远（0）m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shd w:val="clear" w:color="auto" w:fill="auto"/>
            <w:vAlign w:val="center"/>
          </w:tcPr>
          <w:p>
            <w:pPr>
              <w:pStyle w:val="42"/>
              <w:spacing w:line="300" w:lineRule="exact"/>
              <w:rPr>
                <w:sz w:val="15"/>
                <w:szCs w:val="15"/>
              </w:rPr>
            </w:pPr>
          </w:p>
        </w:tc>
        <w:tc>
          <w:tcPr>
            <w:tcW w:w="669" w:type="pct"/>
            <w:shd w:val="clear" w:color="auto" w:fill="auto"/>
            <w:vAlign w:val="center"/>
          </w:tcPr>
          <w:p>
            <w:pPr>
              <w:pStyle w:val="42"/>
              <w:spacing w:line="300" w:lineRule="exact"/>
              <w:rPr>
                <w:sz w:val="15"/>
                <w:szCs w:val="15"/>
              </w:rPr>
            </w:pPr>
            <w:r>
              <w:rPr>
                <w:sz w:val="15"/>
                <w:szCs w:val="15"/>
              </w:rPr>
              <w:t>污染源</w:t>
            </w:r>
          </w:p>
          <w:p>
            <w:pPr>
              <w:pStyle w:val="42"/>
              <w:spacing w:line="300" w:lineRule="exact"/>
              <w:rPr>
                <w:sz w:val="15"/>
                <w:szCs w:val="15"/>
              </w:rPr>
            </w:pPr>
            <w:r>
              <w:rPr>
                <w:sz w:val="15"/>
                <w:szCs w:val="15"/>
              </w:rPr>
              <w:t>年排放量</w:t>
            </w:r>
          </w:p>
        </w:tc>
        <w:tc>
          <w:tcPr>
            <w:tcW w:w="747" w:type="pct"/>
            <w:gridSpan w:val="3"/>
            <w:shd w:val="clear" w:color="auto" w:fill="auto"/>
            <w:vAlign w:val="center"/>
          </w:tcPr>
          <w:p>
            <w:pPr>
              <w:pStyle w:val="42"/>
              <w:spacing w:line="300" w:lineRule="exact"/>
              <w:rPr>
                <w:sz w:val="15"/>
                <w:szCs w:val="15"/>
              </w:rPr>
            </w:pPr>
            <w:r>
              <w:rPr>
                <w:rFonts w:hint="eastAsia"/>
                <w:sz w:val="15"/>
                <w:szCs w:val="15"/>
              </w:rPr>
              <w:t>颗粒物</w:t>
            </w:r>
            <w:r>
              <w:rPr>
                <w:sz w:val="15"/>
                <w:szCs w:val="15"/>
              </w:rPr>
              <w:t>（</w:t>
            </w:r>
            <w:r>
              <w:rPr>
                <w:rFonts w:hint="eastAsia"/>
                <w:sz w:val="15"/>
                <w:szCs w:val="15"/>
              </w:rPr>
              <w:t>13.81</w:t>
            </w:r>
            <w:r>
              <w:rPr>
                <w:sz w:val="15"/>
                <w:szCs w:val="15"/>
              </w:rPr>
              <w:t>）t/a</w:t>
            </w:r>
          </w:p>
        </w:tc>
        <w:tc>
          <w:tcPr>
            <w:tcW w:w="749" w:type="pct"/>
            <w:gridSpan w:val="4"/>
            <w:shd w:val="clear" w:color="auto" w:fill="auto"/>
            <w:vAlign w:val="center"/>
          </w:tcPr>
          <w:p>
            <w:pPr>
              <w:pStyle w:val="42"/>
              <w:spacing w:line="300" w:lineRule="exact"/>
              <w:rPr>
                <w:sz w:val="15"/>
                <w:szCs w:val="15"/>
                <w:vertAlign w:val="subscript"/>
              </w:rPr>
            </w:pPr>
            <w:r>
              <w:rPr>
                <w:rFonts w:hint="eastAsia"/>
                <w:sz w:val="15"/>
                <w:szCs w:val="15"/>
              </w:rPr>
              <w:t>NO</w:t>
            </w:r>
            <w:r>
              <w:rPr>
                <w:rFonts w:hint="eastAsia"/>
                <w:sz w:val="15"/>
                <w:szCs w:val="15"/>
                <w:vertAlign w:val="subscript"/>
              </w:rPr>
              <w:t>x</w:t>
            </w:r>
          </w:p>
          <w:p>
            <w:pPr>
              <w:pStyle w:val="42"/>
              <w:spacing w:line="300" w:lineRule="exact"/>
              <w:rPr>
                <w:sz w:val="15"/>
                <w:szCs w:val="15"/>
              </w:rPr>
            </w:pPr>
            <w:r>
              <w:rPr>
                <w:sz w:val="15"/>
                <w:szCs w:val="15"/>
              </w:rPr>
              <w:t>（</w:t>
            </w:r>
            <w:r>
              <w:rPr>
                <w:rFonts w:hint="eastAsia"/>
                <w:sz w:val="15"/>
                <w:szCs w:val="15"/>
              </w:rPr>
              <w:t>103.6</w:t>
            </w:r>
            <w:r>
              <w:rPr>
                <w:sz w:val="15"/>
                <w:szCs w:val="15"/>
              </w:rPr>
              <w:t>）t/a</w:t>
            </w:r>
          </w:p>
        </w:tc>
        <w:tc>
          <w:tcPr>
            <w:tcW w:w="747" w:type="pct"/>
            <w:gridSpan w:val="4"/>
            <w:shd w:val="clear" w:color="auto" w:fill="auto"/>
            <w:vAlign w:val="center"/>
          </w:tcPr>
          <w:p>
            <w:pPr>
              <w:pStyle w:val="42"/>
              <w:spacing w:line="300" w:lineRule="exact"/>
              <w:rPr>
                <w:sz w:val="15"/>
                <w:szCs w:val="15"/>
                <w:vertAlign w:val="subscript"/>
              </w:rPr>
            </w:pPr>
            <w:r>
              <w:rPr>
                <w:rFonts w:hint="eastAsia"/>
                <w:sz w:val="15"/>
                <w:szCs w:val="15"/>
              </w:rPr>
              <w:t>SO</w:t>
            </w:r>
            <w:r>
              <w:rPr>
                <w:rFonts w:hint="eastAsia"/>
                <w:sz w:val="15"/>
                <w:szCs w:val="15"/>
                <w:vertAlign w:val="subscript"/>
              </w:rPr>
              <w:t>2</w:t>
            </w:r>
          </w:p>
          <w:p>
            <w:pPr>
              <w:pStyle w:val="42"/>
              <w:spacing w:line="300" w:lineRule="exact"/>
              <w:rPr>
                <w:sz w:val="15"/>
                <w:szCs w:val="15"/>
              </w:rPr>
            </w:pPr>
            <w:r>
              <w:rPr>
                <w:sz w:val="15"/>
                <w:szCs w:val="15"/>
              </w:rPr>
              <w:t>（</w:t>
            </w:r>
            <w:r>
              <w:rPr>
                <w:rFonts w:hint="eastAsia"/>
                <w:sz w:val="15"/>
                <w:szCs w:val="15"/>
              </w:rPr>
              <w:t>6.88）</w:t>
            </w:r>
            <w:r>
              <w:rPr>
                <w:sz w:val="15"/>
                <w:szCs w:val="15"/>
              </w:rPr>
              <w:t>t/a</w:t>
            </w:r>
          </w:p>
        </w:tc>
        <w:tc>
          <w:tcPr>
            <w:tcW w:w="667" w:type="pct"/>
            <w:gridSpan w:val="2"/>
            <w:shd w:val="clear" w:color="auto" w:fill="auto"/>
            <w:vAlign w:val="center"/>
          </w:tcPr>
          <w:p>
            <w:pPr>
              <w:pStyle w:val="42"/>
              <w:spacing w:line="300" w:lineRule="exact"/>
              <w:rPr>
                <w:sz w:val="15"/>
                <w:szCs w:val="15"/>
                <w:vertAlign w:val="subscript"/>
              </w:rPr>
            </w:pPr>
            <w:r>
              <w:rPr>
                <w:rFonts w:hint="eastAsia"/>
                <w:sz w:val="15"/>
                <w:szCs w:val="15"/>
              </w:rPr>
              <w:t>NH</w:t>
            </w:r>
            <w:r>
              <w:rPr>
                <w:rFonts w:hint="eastAsia"/>
                <w:sz w:val="15"/>
                <w:szCs w:val="15"/>
                <w:vertAlign w:val="subscript"/>
              </w:rPr>
              <w:t>3</w:t>
            </w:r>
          </w:p>
          <w:p>
            <w:pPr>
              <w:pStyle w:val="42"/>
              <w:spacing w:line="300" w:lineRule="exact"/>
              <w:rPr>
                <w:sz w:val="15"/>
                <w:szCs w:val="15"/>
              </w:rPr>
            </w:pPr>
            <w:r>
              <w:rPr>
                <w:rFonts w:hint="eastAsia"/>
                <w:sz w:val="15"/>
                <w:szCs w:val="15"/>
              </w:rPr>
              <w:t>（2.50）</w:t>
            </w:r>
            <w:r>
              <w:rPr>
                <w:sz w:val="15"/>
                <w:szCs w:val="15"/>
              </w:rPr>
              <w:t>t/a</w:t>
            </w:r>
          </w:p>
        </w:tc>
        <w:tc>
          <w:tcPr>
            <w:tcW w:w="1026" w:type="pct"/>
            <w:gridSpan w:val="4"/>
            <w:shd w:val="clear" w:color="auto" w:fill="auto"/>
            <w:vAlign w:val="center"/>
          </w:tcPr>
          <w:p>
            <w:pPr>
              <w:pStyle w:val="42"/>
              <w:spacing w:line="300" w:lineRule="exact"/>
              <w:rPr>
                <w:sz w:val="15"/>
                <w:szCs w:val="15"/>
              </w:rPr>
            </w:pPr>
            <w:r>
              <w:rPr>
                <w:rFonts w:hint="eastAsia"/>
                <w:sz w:val="15"/>
                <w:szCs w:val="15"/>
              </w:rPr>
              <w:t>非甲烷总烃</w:t>
            </w:r>
          </w:p>
          <w:p>
            <w:pPr>
              <w:pStyle w:val="42"/>
              <w:spacing w:line="300" w:lineRule="exact"/>
              <w:rPr>
                <w:sz w:val="15"/>
                <w:szCs w:val="15"/>
              </w:rPr>
            </w:pPr>
            <w:r>
              <w:rPr>
                <w:rFonts w:hint="eastAsia"/>
                <w:sz w:val="15"/>
                <w:szCs w:val="15"/>
              </w:rPr>
              <w:t>（0.0048）</w:t>
            </w:r>
            <w:r>
              <w:rPr>
                <w:sz w:val="15"/>
                <w:szCs w:val="15"/>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9"/>
            <w:shd w:val="clear" w:color="auto" w:fill="auto"/>
            <w:vAlign w:val="center"/>
          </w:tcPr>
          <w:p>
            <w:pPr>
              <w:pStyle w:val="42"/>
              <w:spacing w:line="300" w:lineRule="exact"/>
              <w:rPr>
                <w:sz w:val="15"/>
                <w:szCs w:val="15"/>
              </w:rPr>
            </w:pPr>
            <w:r>
              <w:rPr>
                <w:sz w:val="15"/>
                <w:szCs w:val="15"/>
              </w:rPr>
              <w:t>注：“□”为勾选项，填“√”；“（）”为内容填写项</w:t>
            </w:r>
          </w:p>
        </w:tc>
      </w:tr>
    </w:tbl>
    <w:p>
      <w:pPr>
        <w:pStyle w:val="5"/>
        <w:spacing w:before="163" w:after="163"/>
      </w:pPr>
      <w:r>
        <w:rPr>
          <w:rFonts w:hint="eastAsia"/>
        </w:rPr>
        <w:t>5.2.1.13大气环境影响评价结论</w:t>
      </w:r>
    </w:p>
    <w:p>
      <w:pPr>
        <w:ind w:firstLine="480"/>
        <w:rPr>
          <w:rFonts w:eastAsiaTheme="minorEastAsia"/>
        </w:rPr>
      </w:pPr>
      <w:r>
        <w:rPr>
          <w:rFonts w:hint="eastAsia" w:eastAsiaTheme="minorEastAsia"/>
        </w:rPr>
        <w:t>根据《环境影响评价技术导则－大气环境》（HJ2.2-2018）的规定，本次大气环境影响评价等级为一级，采用导则推荐的AERMOD模式进行进一步预测。根据工程分析确定的项目污染源以及相应的环境质量标准，确定拟建项目环境空气影响预测因子包括</w:t>
      </w:r>
      <w:r>
        <w:rPr>
          <w:rFonts w:hint="eastAsia"/>
        </w:rPr>
        <w:t>SO</w:t>
      </w:r>
      <w:r>
        <w:rPr>
          <w:rFonts w:hint="eastAsia"/>
          <w:vertAlign w:val="subscript"/>
        </w:rPr>
        <w:t>2</w:t>
      </w:r>
      <w:r>
        <w:rPr>
          <w:rFonts w:hint="eastAsia"/>
        </w:rPr>
        <w:t>、NO</w:t>
      </w:r>
      <w:r>
        <w:rPr>
          <w:rFonts w:hint="eastAsia"/>
          <w:vertAlign w:val="subscript"/>
        </w:rPr>
        <w:t>x</w:t>
      </w:r>
      <w:r>
        <w:rPr>
          <w:rFonts w:hint="eastAsia"/>
        </w:rPr>
        <w:t>、PM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r>
        <w:rPr>
          <w:rFonts w:hint="eastAsia" w:eastAsiaTheme="minorEastAsia"/>
        </w:rPr>
        <w:t>，预测及分析结果如下：</w:t>
      </w:r>
    </w:p>
    <w:p>
      <w:pPr>
        <w:ind w:firstLine="480"/>
        <w:rPr>
          <w:rFonts w:eastAsiaTheme="minorEastAsia"/>
        </w:rPr>
      </w:pPr>
      <w:r>
        <w:rPr>
          <w:rFonts w:hint="eastAsia" w:eastAsiaTheme="minorEastAsia"/>
        </w:rPr>
        <w:t>1、根据《2019年重庆市环境状况公报》，拟建项目所在区域为不达标区，细颗粒物（PM</w:t>
      </w:r>
      <w:r>
        <w:rPr>
          <w:rFonts w:hint="eastAsia" w:eastAsiaTheme="minorEastAsia"/>
          <w:vertAlign w:val="subscript"/>
        </w:rPr>
        <w:t>2.5</w:t>
      </w:r>
      <w:r>
        <w:rPr>
          <w:rFonts w:hint="eastAsia" w:eastAsiaTheme="minorEastAsia"/>
        </w:rPr>
        <w:t>）年均浓度超标；</w:t>
      </w:r>
    </w:p>
    <w:p>
      <w:pPr>
        <w:ind w:firstLine="480"/>
      </w:pPr>
      <w:r>
        <w:rPr>
          <w:rFonts w:hint="eastAsia" w:eastAsiaTheme="minorEastAsia"/>
        </w:rPr>
        <w:t>2、根据预测结果，拟建项目新增污染源正常排放下，</w:t>
      </w:r>
      <w:r>
        <w:rPr>
          <w:rFonts w:hint="eastAsia"/>
        </w:rPr>
        <w:t>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r>
        <w:rPr>
          <w:rFonts w:hint="eastAsia" w:eastAsiaTheme="minorEastAsia"/>
        </w:rPr>
        <w:t>等各因子短期（小时平均、日平均）浓度贡献值的最大浓度占标率均小于100%；各污染因子</w:t>
      </w:r>
      <w:r>
        <w:rPr>
          <w:rFonts w:hint="eastAsia"/>
        </w:rPr>
        <w:t>年均浓度贡献值的最大浓度占标率均</w:t>
      </w:r>
      <w:r>
        <w:rPr>
          <w:rFonts w:eastAsiaTheme="minorEastAsia"/>
        </w:rPr>
        <w:t>小于30%。</w:t>
      </w:r>
    </w:p>
    <w:p>
      <w:pPr>
        <w:ind w:firstLine="480"/>
        <w:rPr>
          <w:rFonts w:eastAsiaTheme="minorEastAsia"/>
        </w:rPr>
      </w:pPr>
      <w:r>
        <w:rPr>
          <w:rFonts w:hint="eastAsia" w:eastAsiaTheme="minorEastAsia"/>
        </w:rPr>
        <w:t>3、根据预测，拟建</w:t>
      </w:r>
      <w:r>
        <w:rPr>
          <w:rFonts w:eastAsiaTheme="minorEastAsia"/>
        </w:rPr>
        <w:t>项目建成后，</w:t>
      </w:r>
      <w:r>
        <w:rPr>
          <w:rFonts w:hint="eastAsia"/>
        </w:rPr>
        <w:t>各污染源排放SO</w:t>
      </w:r>
      <w:r>
        <w:rPr>
          <w:rFonts w:hint="eastAsia"/>
          <w:vertAlign w:val="subscript"/>
        </w:rPr>
        <w:t>2</w:t>
      </w:r>
      <w:r>
        <w:rPr>
          <w:rFonts w:hint="eastAsia"/>
        </w:rPr>
        <w:t>、NOx和PM</w:t>
      </w:r>
      <w:r>
        <w:rPr>
          <w:rFonts w:hint="eastAsia"/>
          <w:vertAlign w:val="subscript"/>
        </w:rPr>
        <w:t>10</w:t>
      </w:r>
      <w:r>
        <w:rPr>
          <w:rFonts w:hint="eastAsia"/>
        </w:rPr>
        <w:t>在评价范围内各环境空气保护目标和网格点最大年均浓度叠加背景浓度值、区域削减源和及在建污染源后，各污染物浓度均满足《环境空气质量标准》（GB3095-2012）二级标准要求；NH</w:t>
      </w:r>
      <w:r>
        <w:rPr>
          <w:rFonts w:hint="eastAsia"/>
          <w:vertAlign w:val="subscript"/>
        </w:rPr>
        <w:t>3</w:t>
      </w:r>
      <w:r>
        <w:rPr>
          <w:rFonts w:hint="eastAsia"/>
        </w:rPr>
        <w:t>和非甲烷总烃在评价范围内各环境空气保护目标和网格点最大小时浓度贡献值叠加补充监测现状数据、区域削减源及在建污染源后，各污染物浓度分别满足</w:t>
      </w:r>
      <w:r>
        <w:rPr>
          <w:rFonts w:eastAsiaTheme="minorEastAsia"/>
        </w:rPr>
        <w:t>《环境影响评价技术导则 大气环境》（H.J 2.2-2018）附录D中浓度按参考限值</w:t>
      </w:r>
      <w:r>
        <w:rPr>
          <w:rFonts w:hint="eastAsia" w:eastAsiaTheme="minorEastAsia"/>
        </w:rPr>
        <w:t>和参照执行的</w:t>
      </w:r>
      <w:r>
        <w:rPr>
          <w:rFonts w:eastAsiaTheme="minorEastAsia"/>
        </w:rPr>
        <w:t>《环境空气质量 非甲烷总烃限值》（DB13/1577-2012）二级标准浓度限值</w:t>
      </w:r>
      <w:r>
        <w:rPr>
          <w:rFonts w:hint="eastAsia" w:eastAsiaTheme="minorEastAsia"/>
        </w:rPr>
        <w:t>要求。</w:t>
      </w:r>
    </w:p>
    <w:p>
      <w:pPr>
        <w:ind w:firstLine="480"/>
        <w:rPr>
          <w:rFonts w:eastAsiaTheme="minorEastAsia"/>
        </w:rPr>
      </w:pPr>
      <w:r>
        <w:rPr>
          <w:rFonts w:hint="eastAsia"/>
          <w:kern w:val="24"/>
        </w:rPr>
        <w:t>同时，根据预测实施区域削减方案后，拟建项目PM</w:t>
      </w:r>
      <w:r>
        <w:rPr>
          <w:rFonts w:hint="eastAsia"/>
          <w:kern w:val="24"/>
          <w:vertAlign w:val="subscript"/>
        </w:rPr>
        <w:t>2.5</w:t>
      </w:r>
      <w:r>
        <w:rPr>
          <w:rFonts w:hint="eastAsia"/>
          <w:kern w:val="24"/>
        </w:rPr>
        <w:t>预测范围的年平均浓度变化率 k小于-20%。因此，及拟建项目实施区域削减方案后区域环境质量整体改善。</w:t>
      </w:r>
    </w:p>
    <w:p>
      <w:pPr>
        <w:ind w:firstLine="480"/>
      </w:pPr>
      <w:r>
        <w:rPr>
          <w:rFonts w:hint="eastAsia" w:eastAsiaTheme="minorEastAsia"/>
        </w:rPr>
        <w:t>因此，拟建项目正常工况排放的废气对区域大气环境影响程度可接受。</w:t>
      </w:r>
    </w:p>
    <w:p>
      <w:pPr>
        <w:ind w:firstLine="480"/>
      </w:pPr>
      <w:r>
        <w:rPr>
          <w:rFonts w:hint="eastAsia" w:eastAsiaTheme="minorEastAsia"/>
        </w:rPr>
        <w:t>4、根据</w:t>
      </w:r>
      <w:r>
        <w:rPr>
          <w:rFonts w:eastAsiaTheme="minorEastAsia"/>
          <w:lang w:bidi="en-US"/>
        </w:rPr>
        <w:t>预测结果，</w:t>
      </w:r>
      <w:r>
        <w:rPr>
          <w:rFonts w:hint="eastAsia"/>
        </w:rPr>
        <w:t>正常工况下，拟建项目所有污染源各污染物短期浓度贡献值均小于相应的环境质量标准。因此，本次评价不需另行设置大气环境防护距离。</w:t>
      </w:r>
    </w:p>
    <w:p>
      <w:pPr>
        <w:ind w:firstLine="480"/>
      </w:pPr>
      <w:r>
        <w:rPr>
          <w:rFonts w:hint="eastAsia" w:eastAsiaTheme="minorEastAsia"/>
        </w:rPr>
        <w:t>综上所述，拟建项目正常工况排放的废气对区域大气环境影响程度可接受。</w:t>
      </w:r>
    </w:p>
    <w:p>
      <w:pPr>
        <w:pStyle w:val="4"/>
        <w:spacing w:before="163" w:after="163"/>
      </w:pPr>
      <w:bookmarkStart w:id="120" w:name="_Toc84844291"/>
      <w:r>
        <w:rPr>
          <w:rFonts w:hint="eastAsia"/>
        </w:rPr>
        <w:t>5.2.2地表水环境影响分析</w:t>
      </w:r>
      <w:bookmarkEnd w:id="120"/>
    </w:p>
    <w:p>
      <w:pPr>
        <w:ind w:firstLine="480"/>
      </w:pPr>
      <w:r>
        <w:rPr>
          <w:rFonts w:hint="eastAsia"/>
        </w:rPr>
        <w:t>拟建项目废水经厂区污水处理站预处理达《合成氨工业水污染物排放标准》（GB13458-2013）表2新建企业水污染物排放浓度限制（间接排放）后排入园区污水处理厂进一步处理达标后排放，最终受纳水体为长江，属于间接排放。因此，地表水评价等级为三级B。</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eastAsiaTheme="minorEastAsia"/>
        </w:rPr>
        <w:t>化工园区污水处理厂</w:t>
      </w:r>
      <w:r>
        <w:t>设计规模8万m</w:t>
      </w:r>
      <w:r>
        <w:rPr>
          <w:vertAlign w:val="superscript"/>
        </w:rPr>
        <w:t>3</w:t>
      </w:r>
      <w:r>
        <w:t>/d，分两期建设，一期建设规模为4万m</w:t>
      </w:r>
      <w:r>
        <w:rPr>
          <w:vertAlign w:val="superscript"/>
        </w:rPr>
        <w:t>3</w:t>
      </w:r>
      <w:r>
        <w:t>/d，二期扩建后达到8万m</w:t>
      </w:r>
      <w:r>
        <w:rPr>
          <w:vertAlign w:val="superscript"/>
        </w:rPr>
        <w:t>3</w:t>
      </w:r>
      <w:r>
        <w:t>/d</w:t>
      </w:r>
      <w:r>
        <w:rPr>
          <w:rFonts w:hint="eastAsia"/>
        </w:rPr>
        <w:t>。</w:t>
      </w:r>
    </w:p>
    <w:p>
      <w:pPr>
        <w:ind w:firstLine="480"/>
      </w:pPr>
      <w:r>
        <w:rPr>
          <w:rFonts w:hint="eastAsia"/>
        </w:rPr>
        <w:t>一期工程</w:t>
      </w:r>
      <w:r>
        <w:rPr>
          <w:rFonts w:eastAsiaTheme="minorEastAsia"/>
        </w:rPr>
        <w:t>建设方案为2×2万m</w:t>
      </w:r>
      <w:r>
        <w:rPr>
          <w:rFonts w:eastAsiaTheme="minorEastAsia"/>
          <w:vertAlign w:val="superscript"/>
        </w:rPr>
        <w:t>3</w:t>
      </w:r>
      <w:r>
        <w:rPr>
          <w:rFonts w:eastAsiaTheme="minorEastAsia"/>
        </w:rPr>
        <w:t>/d，分两</w:t>
      </w:r>
      <w:r>
        <w:rPr>
          <w:rFonts w:hint="eastAsia" w:eastAsiaTheme="minorEastAsia"/>
        </w:rPr>
        <w:t>个阶段</w:t>
      </w:r>
      <w:r>
        <w:rPr>
          <w:rFonts w:eastAsiaTheme="minorEastAsia"/>
        </w:rPr>
        <w:t>建设，其中第一套2万m</w:t>
      </w:r>
      <w:r>
        <w:rPr>
          <w:rFonts w:eastAsiaTheme="minorEastAsia"/>
          <w:vertAlign w:val="superscript"/>
        </w:rPr>
        <w:t>3</w:t>
      </w:r>
      <w:r>
        <w:rPr>
          <w:rFonts w:eastAsiaTheme="minorEastAsia"/>
        </w:rPr>
        <w:t>/d的污水处理工程在2007年6月建成，2008年1月进入试运行阶段，第二套于2010年建成</w:t>
      </w:r>
      <w:r>
        <w:rPr>
          <w:rFonts w:hint="eastAsia" w:eastAsiaTheme="minorEastAsia"/>
        </w:rPr>
        <w:t>，均采用</w:t>
      </w:r>
      <w:r>
        <w:t>卡鲁塞尔改良氧化沟工艺</w:t>
      </w:r>
      <w:r>
        <w:rPr>
          <w:rFonts w:hint="eastAsia"/>
        </w:rPr>
        <w:t>，针对园区废水高氮、高磷、低B/C、生化毒性物质多的特点组织进行多次技改，实现了针对园区制药、化工企业废水的针对性处理。另外，根据园区企业废水水质波动大，园区废水处理站成立了24小时水质巡查组，建立CNAS认可实验室，对企业排水全天候监测，建立应急响应体系，对各种事故废水进行应急处理。</w:t>
      </w:r>
    </w:p>
    <w:p>
      <w:pPr>
        <w:ind w:firstLine="480"/>
      </w:pPr>
      <w:r>
        <w:rPr>
          <w:rFonts w:hint="eastAsia"/>
        </w:rPr>
        <w:t>根据实际运行情况：目前实际处理规模为1.6~1.8万m</w:t>
      </w:r>
      <w:r>
        <w:rPr>
          <w:rFonts w:hint="eastAsia"/>
          <w:vertAlign w:val="superscript"/>
        </w:rPr>
        <w:t>3</w:t>
      </w:r>
      <w:r>
        <w:rPr>
          <w:rFonts w:hint="eastAsia"/>
        </w:rPr>
        <w:t>/d，富裕规模能满足本工程废水处理要求；</w:t>
      </w:r>
      <w:r>
        <w:t>出水水质</w:t>
      </w:r>
      <w:r>
        <w:rPr>
          <w:rFonts w:hint="eastAsia"/>
        </w:rPr>
        <w:t>稳定</w:t>
      </w:r>
      <w:r>
        <w:t>达到《化工园区主要水污染物排放标准》（DB50/457-2012）表1规定限制（COD执行60mg/L）</w:t>
      </w:r>
      <w:r>
        <w:rPr>
          <w:rFonts w:hint="eastAsia"/>
        </w:rPr>
        <w:t>，且拟建项目所在区域有完善的污水收集管网，因此，本工程废水在厂区内处理达园区污水处理厂接管水质标准要求后，依托园区废水处理站合理可行。采取以上措施后，拟建项目废水处理达标后排放对地表水环境影响可接受。</w:t>
      </w:r>
    </w:p>
    <w:p>
      <w:pPr>
        <w:ind w:firstLine="480"/>
      </w:pPr>
      <w:r>
        <w:rPr>
          <w:rFonts w:hint="eastAsia"/>
        </w:rPr>
        <w:t>拟建项目废水污染物排放信息表、地表水环境影响评价自查表详见表5.2.2-1~表5.2.2-6。</w:t>
      </w:r>
    </w:p>
    <w:p>
      <w:pPr>
        <w:pStyle w:val="41"/>
      </w:pPr>
      <w:r>
        <w:rPr>
          <w:rFonts w:hint="eastAsia"/>
        </w:rPr>
        <w:t>表5.2.2-1  地表水环境影响评价自查表</w:t>
      </w:r>
    </w:p>
    <w:tbl>
      <w:tblPr>
        <w:tblStyle w:val="33"/>
        <w:tblW w:w="5000" w:type="pct"/>
        <w:jc w:val="center"/>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28" w:type="dxa"/>
          <w:bottom w:w="0" w:type="dxa"/>
          <w:right w:w="28" w:type="dxa"/>
        </w:tblCellMar>
      </w:tblPr>
      <w:tblGrid>
        <w:gridCol w:w="484"/>
        <w:gridCol w:w="1448"/>
        <w:gridCol w:w="932"/>
        <w:gridCol w:w="515"/>
        <w:gridCol w:w="308"/>
        <w:gridCol w:w="545"/>
        <w:gridCol w:w="69"/>
        <w:gridCol w:w="214"/>
        <w:gridCol w:w="727"/>
        <w:gridCol w:w="174"/>
        <w:gridCol w:w="69"/>
        <w:gridCol w:w="764"/>
        <w:gridCol w:w="722"/>
        <w:gridCol w:w="1391"/>
      </w:tblGrid>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1155" w:type="pct"/>
            <w:gridSpan w:val="2"/>
            <w:shd w:val="clear" w:color="auto" w:fill="auto"/>
            <w:vAlign w:val="center"/>
          </w:tcPr>
          <w:p>
            <w:pPr>
              <w:pStyle w:val="42"/>
              <w:rPr>
                <w:sz w:val="18"/>
                <w:szCs w:val="18"/>
              </w:rPr>
            </w:pPr>
            <w:r>
              <w:rPr>
                <w:sz w:val="18"/>
                <w:szCs w:val="18"/>
              </w:rPr>
              <w:t>工作内容</w:t>
            </w:r>
          </w:p>
        </w:tc>
        <w:tc>
          <w:tcPr>
            <w:tcW w:w="3845" w:type="pct"/>
            <w:gridSpan w:val="12"/>
            <w:shd w:val="clear" w:color="auto" w:fill="auto"/>
            <w:vAlign w:val="center"/>
          </w:tcPr>
          <w:p>
            <w:pPr>
              <w:pStyle w:val="42"/>
              <w:rPr>
                <w:sz w:val="18"/>
                <w:szCs w:val="18"/>
              </w:rPr>
            </w:pPr>
            <w:r>
              <w:rPr>
                <w:sz w:val="18"/>
                <w:szCs w:val="18"/>
              </w:rPr>
              <w:t>自查项目</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shd w:val="clear" w:color="auto" w:fill="auto"/>
            <w:vAlign w:val="center"/>
          </w:tcPr>
          <w:p>
            <w:pPr>
              <w:pStyle w:val="42"/>
              <w:rPr>
                <w:sz w:val="18"/>
                <w:szCs w:val="18"/>
              </w:rPr>
            </w:pPr>
            <w:r>
              <w:rPr>
                <w:sz w:val="18"/>
                <w:szCs w:val="18"/>
              </w:rPr>
              <w:t>影响识别</w:t>
            </w:r>
          </w:p>
        </w:tc>
        <w:tc>
          <w:tcPr>
            <w:tcW w:w="866" w:type="pct"/>
            <w:shd w:val="clear" w:color="auto" w:fill="auto"/>
            <w:vAlign w:val="center"/>
          </w:tcPr>
          <w:p>
            <w:pPr>
              <w:pStyle w:val="42"/>
              <w:rPr>
                <w:sz w:val="18"/>
                <w:szCs w:val="18"/>
              </w:rPr>
            </w:pPr>
            <w:r>
              <w:rPr>
                <w:sz w:val="18"/>
                <w:szCs w:val="18"/>
              </w:rPr>
              <w:t>影响类型</w:t>
            </w:r>
          </w:p>
        </w:tc>
        <w:tc>
          <w:tcPr>
            <w:tcW w:w="3845" w:type="pct"/>
            <w:gridSpan w:val="12"/>
            <w:shd w:val="clear" w:color="auto" w:fill="auto"/>
            <w:vAlign w:val="center"/>
          </w:tcPr>
          <w:p>
            <w:pPr>
              <w:pStyle w:val="42"/>
              <w:rPr>
                <w:sz w:val="18"/>
                <w:szCs w:val="18"/>
              </w:rPr>
            </w:pPr>
            <w:r>
              <w:rPr>
                <w:sz w:val="18"/>
                <w:szCs w:val="18"/>
              </w:rPr>
              <w:t>水污染影响型</w:t>
            </w:r>
            <w:r>
              <w:rPr>
                <w:rFonts w:hint="eastAsia" w:ascii="MS Mincho" w:hAnsi="MS Mincho" w:eastAsia="MS Mincho" w:cs="MS Mincho"/>
                <w:sz w:val="18"/>
                <w:szCs w:val="18"/>
              </w:rPr>
              <w:t>☑</w:t>
            </w:r>
            <w:r>
              <w:rPr>
                <w:sz w:val="18"/>
                <w:szCs w:val="18"/>
              </w:rPr>
              <w:t>； 水文要素影响型□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水环境</w:t>
            </w:r>
          </w:p>
          <w:p>
            <w:pPr>
              <w:pStyle w:val="42"/>
              <w:rPr>
                <w:sz w:val="18"/>
                <w:szCs w:val="18"/>
              </w:rPr>
            </w:pPr>
            <w:r>
              <w:rPr>
                <w:sz w:val="18"/>
                <w:szCs w:val="18"/>
              </w:rPr>
              <w:t>保护目标</w:t>
            </w:r>
          </w:p>
        </w:tc>
        <w:tc>
          <w:tcPr>
            <w:tcW w:w="3845" w:type="pct"/>
            <w:gridSpan w:val="12"/>
            <w:shd w:val="clear" w:color="auto" w:fill="auto"/>
            <w:vAlign w:val="center"/>
          </w:tcPr>
          <w:p>
            <w:pPr>
              <w:pStyle w:val="42"/>
              <w:rPr>
                <w:sz w:val="18"/>
                <w:szCs w:val="18"/>
              </w:rPr>
            </w:pPr>
            <w:r>
              <w:rPr>
                <w:sz w:val="18"/>
                <w:szCs w:val="18"/>
              </w:rPr>
              <w:t>饮用水水源保护区□；饮用水取水口□；涉水的自然保护区□；重要湿地 □；重点保护与珍稀水生生物的栖息地 □；重要水生生物的自然产卵场及索饵场、越冬场和洄游通道、天然渔场等渔业水体□；涉水的风景名胜区□；其他□</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影响途径</w:t>
            </w:r>
          </w:p>
        </w:tc>
        <w:tc>
          <w:tcPr>
            <w:tcW w:w="1979" w:type="pct"/>
            <w:gridSpan w:val="7"/>
            <w:shd w:val="clear" w:color="auto" w:fill="auto"/>
            <w:vAlign w:val="center"/>
          </w:tcPr>
          <w:p>
            <w:pPr>
              <w:pStyle w:val="42"/>
              <w:rPr>
                <w:sz w:val="18"/>
                <w:szCs w:val="18"/>
              </w:rPr>
            </w:pPr>
            <w:r>
              <w:rPr>
                <w:sz w:val="18"/>
                <w:szCs w:val="18"/>
              </w:rPr>
              <w:t>水污染影响型</w:t>
            </w:r>
          </w:p>
        </w:tc>
        <w:tc>
          <w:tcPr>
            <w:tcW w:w="1866" w:type="pct"/>
            <w:gridSpan w:val="5"/>
            <w:shd w:val="clear" w:color="auto" w:fill="auto"/>
            <w:vAlign w:val="center"/>
          </w:tcPr>
          <w:p>
            <w:pPr>
              <w:pStyle w:val="42"/>
              <w:rPr>
                <w:sz w:val="18"/>
                <w:szCs w:val="18"/>
              </w:rPr>
            </w:pPr>
            <w:r>
              <w:rPr>
                <w:sz w:val="18"/>
                <w:szCs w:val="18"/>
              </w:rPr>
              <w:t>水文要素影响型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979" w:type="pct"/>
            <w:gridSpan w:val="7"/>
            <w:shd w:val="clear" w:color="auto" w:fill="auto"/>
            <w:vAlign w:val="center"/>
          </w:tcPr>
          <w:p>
            <w:pPr>
              <w:pStyle w:val="42"/>
              <w:rPr>
                <w:sz w:val="18"/>
                <w:szCs w:val="18"/>
              </w:rPr>
            </w:pPr>
            <w:r>
              <w:rPr>
                <w:sz w:val="18"/>
                <w:szCs w:val="18"/>
              </w:rPr>
              <w:t>直接排放□；间接排放</w:t>
            </w:r>
            <w:r>
              <w:rPr>
                <w:rFonts w:hint="eastAsia" w:ascii="MS Mincho" w:hAnsi="MS Mincho" w:eastAsia="MS Mincho" w:cs="MS Mincho"/>
                <w:sz w:val="18"/>
                <w:szCs w:val="18"/>
              </w:rPr>
              <w:t>☑</w:t>
            </w:r>
            <w:r>
              <w:rPr>
                <w:sz w:val="18"/>
                <w:szCs w:val="18"/>
              </w:rPr>
              <w:t>；其他□</w:t>
            </w:r>
          </w:p>
        </w:tc>
        <w:tc>
          <w:tcPr>
            <w:tcW w:w="1866" w:type="pct"/>
            <w:gridSpan w:val="5"/>
            <w:shd w:val="clear" w:color="auto" w:fill="auto"/>
            <w:vAlign w:val="center"/>
          </w:tcPr>
          <w:p>
            <w:pPr>
              <w:pStyle w:val="42"/>
              <w:rPr>
                <w:sz w:val="18"/>
                <w:szCs w:val="18"/>
              </w:rPr>
            </w:pPr>
            <w:r>
              <w:rPr>
                <w:sz w:val="18"/>
                <w:szCs w:val="18"/>
              </w:rPr>
              <w:t>水温□；径流□；水域面积□</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影响因子</w:t>
            </w:r>
          </w:p>
        </w:tc>
        <w:tc>
          <w:tcPr>
            <w:tcW w:w="1979" w:type="pct"/>
            <w:gridSpan w:val="7"/>
            <w:shd w:val="clear" w:color="auto" w:fill="auto"/>
            <w:vAlign w:val="center"/>
          </w:tcPr>
          <w:p>
            <w:pPr>
              <w:pStyle w:val="42"/>
              <w:rPr>
                <w:sz w:val="18"/>
                <w:szCs w:val="18"/>
              </w:rPr>
            </w:pPr>
            <w:r>
              <w:rPr>
                <w:sz w:val="18"/>
                <w:szCs w:val="18"/>
              </w:rPr>
              <w:t>持久性污染物□；有毒有害污染物□；非持久性污染物</w:t>
            </w:r>
            <w:r>
              <w:rPr>
                <w:rFonts w:hint="eastAsia" w:ascii="MS Mincho" w:hAnsi="MS Mincho" w:eastAsia="MS Mincho" w:cs="MS Mincho"/>
                <w:sz w:val="18"/>
                <w:szCs w:val="18"/>
              </w:rPr>
              <w:t>☑</w:t>
            </w:r>
            <w:r>
              <w:rPr>
                <w:sz w:val="18"/>
                <w:szCs w:val="18"/>
              </w:rPr>
              <w:t>；pH值</w:t>
            </w:r>
            <w:r>
              <w:rPr>
                <w:rFonts w:hint="eastAsia" w:ascii="MS Mincho" w:hAnsi="MS Mincho" w:eastAsia="MS Mincho" w:cs="MS Mincho"/>
                <w:sz w:val="18"/>
                <w:szCs w:val="18"/>
              </w:rPr>
              <w:t>☑</w:t>
            </w:r>
            <w:r>
              <w:rPr>
                <w:sz w:val="18"/>
                <w:szCs w:val="18"/>
              </w:rPr>
              <w:t>；热污染□；富营养化□；其他□</w:t>
            </w:r>
          </w:p>
        </w:tc>
        <w:tc>
          <w:tcPr>
            <w:tcW w:w="1866" w:type="pct"/>
            <w:gridSpan w:val="5"/>
            <w:shd w:val="clear" w:color="auto" w:fill="auto"/>
            <w:vAlign w:val="center"/>
          </w:tcPr>
          <w:p>
            <w:pPr>
              <w:pStyle w:val="42"/>
              <w:rPr>
                <w:sz w:val="18"/>
                <w:szCs w:val="18"/>
              </w:rPr>
            </w:pPr>
            <w:r>
              <w:rPr>
                <w:sz w:val="18"/>
                <w:szCs w:val="18"/>
              </w:rPr>
              <w:t>水温□；水位（水深）□；流速□；流速□；其他□</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1155" w:type="pct"/>
            <w:gridSpan w:val="2"/>
            <w:vMerge w:val="restart"/>
            <w:shd w:val="clear" w:color="auto" w:fill="auto"/>
            <w:vAlign w:val="center"/>
          </w:tcPr>
          <w:p>
            <w:pPr>
              <w:pStyle w:val="42"/>
              <w:rPr>
                <w:sz w:val="18"/>
                <w:szCs w:val="18"/>
              </w:rPr>
            </w:pPr>
            <w:r>
              <w:rPr>
                <w:sz w:val="18"/>
                <w:szCs w:val="18"/>
              </w:rPr>
              <w:t>评价等级</w:t>
            </w:r>
          </w:p>
        </w:tc>
        <w:tc>
          <w:tcPr>
            <w:tcW w:w="1979" w:type="pct"/>
            <w:gridSpan w:val="7"/>
            <w:shd w:val="clear" w:color="auto" w:fill="auto"/>
            <w:vAlign w:val="center"/>
          </w:tcPr>
          <w:p>
            <w:pPr>
              <w:pStyle w:val="42"/>
              <w:rPr>
                <w:sz w:val="18"/>
                <w:szCs w:val="18"/>
              </w:rPr>
            </w:pPr>
            <w:r>
              <w:rPr>
                <w:sz w:val="18"/>
                <w:szCs w:val="18"/>
              </w:rPr>
              <w:t>水污染影响型</w:t>
            </w:r>
          </w:p>
        </w:tc>
        <w:tc>
          <w:tcPr>
            <w:tcW w:w="1866" w:type="pct"/>
            <w:gridSpan w:val="5"/>
            <w:shd w:val="clear" w:color="auto" w:fill="auto"/>
            <w:vAlign w:val="center"/>
          </w:tcPr>
          <w:p>
            <w:pPr>
              <w:pStyle w:val="42"/>
              <w:rPr>
                <w:sz w:val="18"/>
                <w:szCs w:val="18"/>
              </w:rPr>
            </w:pPr>
            <w:r>
              <w:rPr>
                <w:sz w:val="18"/>
                <w:szCs w:val="18"/>
              </w:rPr>
              <w:t>水文要素影响型</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1155" w:type="pct"/>
            <w:gridSpan w:val="2"/>
            <w:vMerge w:val="continue"/>
            <w:shd w:val="clear" w:color="auto" w:fill="auto"/>
            <w:vAlign w:val="center"/>
          </w:tcPr>
          <w:p>
            <w:pPr>
              <w:pStyle w:val="42"/>
              <w:rPr>
                <w:sz w:val="18"/>
                <w:szCs w:val="18"/>
              </w:rPr>
            </w:pPr>
          </w:p>
        </w:tc>
        <w:tc>
          <w:tcPr>
            <w:tcW w:w="1979" w:type="pct"/>
            <w:gridSpan w:val="7"/>
            <w:shd w:val="clear" w:color="auto" w:fill="auto"/>
            <w:vAlign w:val="center"/>
          </w:tcPr>
          <w:p>
            <w:pPr>
              <w:pStyle w:val="42"/>
              <w:rPr>
                <w:sz w:val="18"/>
                <w:szCs w:val="18"/>
              </w:rPr>
            </w:pPr>
            <w:r>
              <w:rPr>
                <w:sz w:val="18"/>
                <w:szCs w:val="18"/>
              </w:rPr>
              <w:t>一级□；二级□；三级A□；三级B</w:t>
            </w:r>
            <w:r>
              <w:rPr>
                <w:rFonts w:hint="eastAsia" w:ascii="MS Mincho" w:hAnsi="MS Mincho" w:eastAsia="MS Mincho" w:cs="MS Mincho"/>
                <w:sz w:val="18"/>
                <w:szCs w:val="18"/>
              </w:rPr>
              <w:t>☑</w:t>
            </w:r>
          </w:p>
        </w:tc>
        <w:tc>
          <w:tcPr>
            <w:tcW w:w="1866" w:type="pct"/>
            <w:gridSpan w:val="5"/>
            <w:shd w:val="clear" w:color="auto" w:fill="auto"/>
            <w:vAlign w:val="center"/>
          </w:tcPr>
          <w:p>
            <w:pPr>
              <w:pStyle w:val="42"/>
              <w:rPr>
                <w:sz w:val="18"/>
                <w:szCs w:val="18"/>
              </w:rPr>
            </w:pPr>
            <w:r>
              <w:rPr>
                <w:sz w:val="18"/>
                <w:szCs w:val="18"/>
              </w:rPr>
              <w:t>一级□；二级□；三级□</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shd w:val="clear" w:color="auto" w:fill="auto"/>
            <w:vAlign w:val="center"/>
          </w:tcPr>
          <w:p>
            <w:pPr>
              <w:pStyle w:val="42"/>
              <w:rPr>
                <w:sz w:val="18"/>
                <w:szCs w:val="18"/>
              </w:rPr>
            </w:pPr>
            <w:r>
              <w:rPr>
                <w:sz w:val="18"/>
                <w:szCs w:val="18"/>
              </w:rPr>
              <w:t>现状调查</w:t>
            </w:r>
          </w:p>
        </w:tc>
        <w:tc>
          <w:tcPr>
            <w:tcW w:w="866" w:type="pct"/>
            <w:vMerge w:val="restart"/>
            <w:shd w:val="clear" w:color="auto" w:fill="auto"/>
            <w:vAlign w:val="center"/>
          </w:tcPr>
          <w:p>
            <w:pPr>
              <w:pStyle w:val="42"/>
              <w:rPr>
                <w:sz w:val="18"/>
                <w:szCs w:val="18"/>
              </w:rPr>
            </w:pPr>
            <w:r>
              <w:rPr>
                <w:sz w:val="18"/>
                <w:szCs w:val="18"/>
              </w:rPr>
              <w:t>区域污染源</w:t>
            </w:r>
          </w:p>
        </w:tc>
        <w:tc>
          <w:tcPr>
            <w:tcW w:w="1979" w:type="pct"/>
            <w:gridSpan w:val="7"/>
            <w:shd w:val="clear" w:color="auto" w:fill="auto"/>
            <w:vAlign w:val="center"/>
          </w:tcPr>
          <w:p>
            <w:pPr>
              <w:pStyle w:val="42"/>
              <w:rPr>
                <w:sz w:val="18"/>
                <w:szCs w:val="18"/>
              </w:rPr>
            </w:pPr>
            <w:r>
              <w:rPr>
                <w:sz w:val="18"/>
                <w:szCs w:val="18"/>
              </w:rPr>
              <w:t>调查项目</w:t>
            </w:r>
          </w:p>
        </w:tc>
        <w:tc>
          <w:tcPr>
            <w:tcW w:w="1866" w:type="pct"/>
            <w:gridSpan w:val="5"/>
            <w:shd w:val="clear" w:color="auto" w:fill="auto"/>
            <w:vAlign w:val="center"/>
          </w:tcPr>
          <w:p>
            <w:pPr>
              <w:pStyle w:val="42"/>
              <w:rPr>
                <w:sz w:val="18"/>
                <w:szCs w:val="18"/>
              </w:rPr>
            </w:pPr>
            <w:r>
              <w:rPr>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375" w:type="pct"/>
            <w:gridSpan w:val="4"/>
            <w:shd w:val="clear" w:color="auto" w:fill="auto"/>
            <w:vAlign w:val="center"/>
          </w:tcPr>
          <w:p>
            <w:pPr>
              <w:pStyle w:val="42"/>
              <w:rPr>
                <w:sz w:val="18"/>
                <w:szCs w:val="18"/>
              </w:rPr>
            </w:pPr>
            <w:r>
              <w:rPr>
                <w:sz w:val="18"/>
                <w:szCs w:val="18"/>
              </w:rPr>
              <w:t>已建□；在建□；拟建</w:t>
            </w:r>
            <w:r>
              <w:rPr>
                <w:rFonts w:hint="eastAsia" w:ascii="MS Mincho" w:hAnsi="MS Mincho" w:eastAsia="MS Mincho" w:cs="MS Mincho"/>
                <w:sz w:val="18"/>
                <w:szCs w:val="18"/>
              </w:rPr>
              <w:t>☑</w:t>
            </w:r>
            <w:r>
              <w:rPr>
                <w:sz w:val="18"/>
                <w:szCs w:val="18"/>
              </w:rPr>
              <w:t>；其他□</w:t>
            </w:r>
          </w:p>
        </w:tc>
        <w:tc>
          <w:tcPr>
            <w:tcW w:w="604" w:type="pct"/>
            <w:gridSpan w:val="3"/>
            <w:shd w:val="clear" w:color="auto" w:fill="auto"/>
            <w:vAlign w:val="center"/>
          </w:tcPr>
          <w:p>
            <w:pPr>
              <w:pStyle w:val="42"/>
              <w:rPr>
                <w:sz w:val="18"/>
                <w:szCs w:val="18"/>
              </w:rPr>
            </w:pPr>
            <w:r>
              <w:rPr>
                <w:sz w:val="18"/>
                <w:szCs w:val="18"/>
              </w:rPr>
              <w:t>拟替代的污染源□</w:t>
            </w:r>
          </w:p>
        </w:tc>
        <w:tc>
          <w:tcPr>
            <w:tcW w:w="1866" w:type="pct"/>
            <w:gridSpan w:val="5"/>
            <w:shd w:val="clear" w:color="auto" w:fill="auto"/>
            <w:vAlign w:val="center"/>
          </w:tcPr>
          <w:p>
            <w:pPr>
              <w:pStyle w:val="42"/>
              <w:rPr>
                <w:sz w:val="18"/>
                <w:szCs w:val="18"/>
              </w:rPr>
            </w:pPr>
            <w:r>
              <w:rPr>
                <w:sz w:val="18"/>
                <w:szCs w:val="18"/>
              </w:rPr>
              <w:t>排污许可证□；环评□；环保验收□；既有实现测□；现场监测□；入河排放口数据□；其他□</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受影响水体水环境质量</w:t>
            </w:r>
          </w:p>
        </w:tc>
        <w:tc>
          <w:tcPr>
            <w:tcW w:w="1979" w:type="pct"/>
            <w:gridSpan w:val="7"/>
            <w:shd w:val="clear" w:color="auto" w:fill="auto"/>
            <w:vAlign w:val="center"/>
          </w:tcPr>
          <w:p>
            <w:pPr>
              <w:pStyle w:val="42"/>
              <w:rPr>
                <w:sz w:val="18"/>
                <w:szCs w:val="18"/>
              </w:rPr>
            </w:pPr>
            <w:r>
              <w:rPr>
                <w:sz w:val="18"/>
                <w:szCs w:val="18"/>
              </w:rPr>
              <w:t>调查时期</w:t>
            </w:r>
          </w:p>
        </w:tc>
        <w:tc>
          <w:tcPr>
            <w:tcW w:w="1866" w:type="pct"/>
            <w:gridSpan w:val="5"/>
            <w:shd w:val="clear" w:color="auto" w:fill="auto"/>
            <w:vAlign w:val="center"/>
          </w:tcPr>
          <w:p>
            <w:pPr>
              <w:pStyle w:val="42"/>
              <w:rPr>
                <w:sz w:val="18"/>
                <w:szCs w:val="18"/>
              </w:rPr>
            </w:pPr>
            <w:r>
              <w:rPr>
                <w:sz w:val="18"/>
                <w:szCs w:val="18"/>
              </w:rPr>
              <w:t>数据来源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979" w:type="pct"/>
            <w:gridSpan w:val="7"/>
            <w:shd w:val="clear" w:color="auto" w:fill="auto"/>
            <w:vAlign w:val="center"/>
          </w:tcPr>
          <w:p>
            <w:pPr>
              <w:pStyle w:val="42"/>
              <w:rPr>
                <w:sz w:val="18"/>
                <w:szCs w:val="18"/>
              </w:rPr>
            </w:pPr>
            <w:r>
              <w:rPr>
                <w:sz w:val="18"/>
                <w:szCs w:val="18"/>
              </w:rPr>
              <w:t>丰水期□；平水期</w:t>
            </w:r>
            <w:r>
              <w:rPr>
                <w:rFonts w:hint="eastAsia" w:ascii="MS Mincho" w:hAnsi="MS Mincho" w:eastAsia="MS Mincho" w:cs="MS Mincho"/>
                <w:sz w:val="18"/>
                <w:szCs w:val="18"/>
              </w:rPr>
              <w:t>☑</w:t>
            </w:r>
            <w:r>
              <w:rPr>
                <w:sz w:val="18"/>
                <w:szCs w:val="18"/>
              </w:rPr>
              <w:t>；枯水期□；冰封期□；春季□；夏季□；秋季□；冬季□</w:t>
            </w:r>
          </w:p>
        </w:tc>
        <w:tc>
          <w:tcPr>
            <w:tcW w:w="1866" w:type="pct"/>
            <w:gridSpan w:val="5"/>
            <w:shd w:val="clear" w:color="auto" w:fill="auto"/>
            <w:vAlign w:val="center"/>
          </w:tcPr>
          <w:p>
            <w:pPr>
              <w:pStyle w:val="42"/>
              <w:rPr>
                <w:sz w:val="18"/>
                <w:szCs w:val="18"/>
              </w:rPr>
            </w:pPr>
            <w:r>
              <w:rPr>
                <w:sz w:val="18"/>
                <w:szCs w:val="18"/>
              </w:rPr>
              <w:t>生态环境保护主管部门 □；补充监测□；其他</w:t>
            </w:r>
            <w:r>
              <w:rPr>
                <w:rFonts w:hint="eastAsia" w:ascii="MS Mincho" w:hAnsi="MS Mincho" w:eastAsia="MS Mincho" w:cs="MS Mincho"/>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区域水资源开发利用状况</w:t>
            </w:r>
          </w:p>
        </w:tc>
        <w:tc>
          <w:tcPr>
            <w:tcW w:w="3845" w:type="pct"/>
            <w:gridSpan w:val="12"/>
            <w:shd w:val="clear" w:color="auto" w:fill="auto"/>
            <w:vAlign w:val="center"/>
          </w:tcPr>
          <w:p>
            <w:pPr>
              <w:pStyle w:val="42"/>
              <w:rPr>
                <w:sz w:val="18"/>
                <w:szCs w:val="18"/>
              </w:rPr>
            </w:pPr>
            <w:r>
              <w:rPr>
                <w:sz w:val="18"/>
                <w:szCs w:val="18"/>
              </w:rPr>
              <w:t>未开发□；开发量40%以下</w:t>
            </w:r>
            <w:r>
              <w:rPr>
                <w:rFonts w:hint="eastAsia" w:ascii="MS Mincho" w:hAnsi="MS Mincho" w:eastAsia="MS Mincho" w:cs="MS Mincho"/>
                <w:sz w:val="18"/>
                <w:szCs w:val="18"/>
              </w:rPr>
              <w:t>☑</w:t>
            </w:r>
            <w:r>
              <w:rPr>
                <w:sz w:val="18"/>
                <w:szCs w:val="18"/>
              </w:rPr>
              <w:t>；开发量40%以上□</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水文情势调查</w:t>
            </w:r>
          </w:p>
        </w:tc>
        <w:tc>
          <w:tcPr>
            <w:tcW w:w="1979" w:type="pct"/>
            <w:gridSpan w:val="7"/>
            <w:shd w:val="clear" w:color="auto" w:fill="auto"/>
            <w:vAlign w:val="center"/>
          </w:tcPr>
          <w:p>
            <w:pPr>
              <w:pStyle w:val="42"/>
              <w:rPr>
                <w:sz w:val="18"/>
                <w:szCs w:val="18"/>
              </w:rPr>
            </w:pPr>
            <w:r>
              <w:rPr>
                <w:sz w:val="18"/>
                <w:szCs w:val="18"/>
              </w:rPr>
              <w:t>丰水期□；平水期□；枯水期□；冰封期□；春季□；夏季□；秋季□；冬季□</w:t>
            </w:r>
          </w:p>
        </w:tc>
        <w:tc>
          <w:tcPr>
            <w:tcW w:w="1866" w:type="pct"/>
            <w:gridSpan w:val="5"/>
            <w:shd w:val="clear" w:color="auto" w:fill="auto"/>
            <w:vAlign w:val="center"/>
          </w:tcPr>
          <w:p>
            <w:pPr>
              <w:pStyle w:val="42"/>
              <w:rPr>
                <w:sz w:val="18"/>
                <w:szCs w:val="18"/>
              </w:rPr>
            </w:pPr>
            <w:r>
              <w:rPr>
                <w:sz w:val="18"/>
                <w:szCs w:val="18"/>
              </w:rPr>
              <w:t>水行政主管部门□；补充监测□；其他□</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补充监测</w:t>
            </w:r>
          </w:p>
        </w:tc>
        <w:tc>
          <w:tcPr>
            <w:tcW w:w="1979" w:type="pct"/>
            <w:gridSpan w:val="7"/>
            <w:shd w:val="clear" w:color="auto" w:fill="auto"/>
            <w:vAlign w:val="center"/>
          </w:tcPr>
          <w:p>
            <w:pPr>
              <w:pStyle w:val="42"/>
              <w:rPr>
                <w:sz w:val="18"/>
                <w:szCs w:val="18"/>
              </w:rPr>
            </w:pPr>
            <w:r>
              <w:rPr>
                <w:sz w:val="18"/>
                <w:szCs w:val="18"/>
              </w:rPr>
              <w:t>监测时期</w:t>
            </w:r>
          </w:p>
        </w:tc>
        <w:tc>
          <w:tcPr>
            <w:tcW w:w="602" w:type="pct"/>
            <w:gridSpan w:val="3"/>
            <w:shd w:val="clear" w:color="auto" w:fill="auto"/>
            <w:vAlign w:val="center"/>
          </w:tcPr>
          <w:p>
            <w:pPr>
              <w:pStyle w:val="42"/>
              <w:rPr>
                <w:sz w:val="18"/>
                <w:szCs w:val="18"/>
              </w:rPr>
            </w:pPr>
            <w:r>
              <w:rPr>
                <w:sz w:val="18"/>
                <w:szCs w:val="18"/>
              </w:rPr>
              <w:t>监测因子</w:t>
            </w:r>
          </w:p>
        </w:tc>
        <w:tc>
          <w:tcPr>
            <w:tcW w:w="1263" w:type="pct"/>
            <w:gridSpan w:val="2"/>
            <w:shd w:val="clear" w:color="auto" w:fill="auto"/>
            <w:vAlign w:val="center"/>
          </w:tcPr>
          <w:p>
            <w:pPr>
              <w:pStyle w:val="42"/>
              <w:rPr>
                <w:sz w:val="18"/>
                <w:szCs w:val="18"/>
              </w:rPr>
            </w:pPr>
            <w:r>
              <w:rPr>
                <w:sz w:val="18"/>
                <w:szCs w:val="18"/>
              </w:rPr>
              <w:t>监测断面或点位</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979" w:type="pct"/>
            <w:gridSpan w:val="7"/>
            <w:shd w:val="clear" w:color="auto" w:fill="auto"/>
            <w:vAlign w:val="center"/>
          </w:tcPr>
          <w:p>
            <w:pPr>
              <w:pStyle w:val="42"/>
              <w:rPr>
                <w:sz w:val="18"/>
                <w:szCs w:val="18"/>
              </w:rPr>
            </w:pPr>
            <w:r>
              <w:rPr>
                <w:sz w:val="18"/>
                <w:szCs w:val="18"/>
              </w:rPr>
              <w:t>丰水期□；平水期□；枯水期□；冰封期□；春季□；夏季□；秋季□；冬季□</w:t>
            </w:r>
          </w:p>
        </w:tc>
        <w:tc>
          <w:tcPr>
            <w:tcW w:w="602" w:type="pct"/>
            <w:gridSpan w:val="3"/>
            <w:shd w:val="clear" w:color="auto" w:fill="auto"/>
            <w:vAlign w:val="center"/>
          </w:tcPr>
          <w:p>
            <w:pPr>
              <w:pStyle w:val="42"/>
              <w:rPr>
                <w:sz w:val="18"/>
                <w:szCs w:val="18"/>
              </w:rPr>
            </w:pPr>
            <w:r>
              <w:rPr>
                <w:sz w:val="18"/>
                <w:szCs w:val="18"/>
              </w:rPr>
              <w:t>（）</w:t>
            </w:r>
          </w:p>
        </w:tc>
        <w:tc>
          <w:tcPr>
            <w:tcW w:w="1263" w:type="pct"/>
            <w:gridSpan w:val="2"/>
            <w:shd w:val="clear" w:color="auto" w:fill="auto"/>
            <w:vAlign w:val="center"/>
          </w:tcPr>
          <w:p>
            <w:pPr>
              <w:pStyle w:val="42"/>
              <w:rPr>
                <w:sz w:val="18"/>
                <w:szCs w:val="18"/>
              </w:rPr>
            </w:pPr>
            <w:r>
              <w:rPr>
                <w:sz w:val="18"/>
                <w:szCs w:val="18"/>
              </w:rPr>
              <w:t>监测测断面或点位个数（）个</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shd w:val="clear" w:color="auto" w:fill="auto"/>
            <w:vAlign w:val="center"/>
          </w:tcPr>
          <w:p>
            <w:pPr>
              <w:pStyle w:val="42"/>
              <w:rPr>
                <w:sz w:val="18"/>
                <w:szCs w:val="18"/>
              </w:rPr>
            </w:pPr>
            <w:r>
              <w:rPr>
                <w:sz w:val="18"/>
                <w:szCs w:val="18"/>
              </w:rPr>
              <w:t>现状评价</w:t>
            </w:r>
          </w:p>
        </w:tc>
        <w:tc>
          <w:tcPr>
            <w:tcW w:w="866" w:type="pct"/>
            <w:shd w:val="clear" w:color="auto" w:fill="auto"/>
            <w:vAlign w:val="center"/>
          </w:tcPr>
          <w:p>
            <w:pPr>
              <w:pStyle w:val="42"/>
              <w:rPr>
                <w:sz w:val="18"/>
                <w:szCs w:val="18"/>
              </w:rPr>
            </w:pPr>
            <w:r>
              <w:rPr>
                <w:sz w:val="18"/>
                <w:szCs w:val="18"/>
              </w:rPr>
              <w:t>评价范围</w:t>
            </w:r>
          </w:p>
        </w:tc>
        <w:tc>
          <w:tcPr>
            <w:tcW w:w="3845" w:type="pct"/>
            <w:gridSpan w:val="12"/>
            <w:shd w:val="clear" w:color="auto" w:fill="auto"/>
            <w:vAlign w:val="center"/>
          </w:tcPr>
          <w:p>
            <w:pPr>
              <w:pStyle w:val="42"/>
              <w:rPr>
                <w:sz w:val="18"/>
                <w:szCs w:val="18"/>
              </w:rPr>
            </w:pPr>
            <w:r>
              <w:rPr>
                <w:sz w:val="18"/>
                <w:szCs w:val="18"/>
              </w:rPr>
              <w:t>河流长度（5.5）km；湖明库、河口及近岸海域面积（）km²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评价因子</w:t>
            </w:r>
          </w:p>
        </w:tc>
        <w:tc>
          <w:tcPr>
            <w:tcW w:w="3845" w:type="pct"/>
            <w:gridSpan w:val="12"/>
            <w:shd w:val="clear" w:color="auto" w:fill="auto"/>
            <w:vAlign w:val="center"/>
          </w:tcPr>
          <w:p>
            <w:pPr>
              <w:pStyle w:val="42"/>
              <w:rPr>
                <w:sz w:val="18"/>
                <w:szCs w:val="18"/>
              </w:rPr>
            </w:pPr>
            <w:r>
              <w:rPr>
                <w:sz w:val="18"/>
                <w:szCs w:val="18"/>
              </w:rPr>
              <w:t>（</w:t>
            </w:r>
            <w:r>
              <w:rPr>
                <w:rFonts w:hint="eastAsia"/>
                <w:sz w:val="18"/>
                <w:szCs w:val="18"/>
              </w:rPr>
              <w:t>水温、pH、COD、BOD</w:t>
            </w:r>
            <w:r>
              <w:rPr>
                <w:rFonts w:hint="eastAsia"/>
                <w:sz w:val="18"/>
                <w:szCs w:val="18"/>
                <w:vertAlign w:val="subscript"/>
              </w:rPr>
              <w:t>5</w:t>
            </w:r>
            <w:r>
              <w:rPr>
                <w:rFonts w:hint="eastAsia"/>
                <w:sz w:val="18"/>
                <w:szCs w:val="18"/>
              </w:rPr>
              <w:t>、NH</w:t>
            </w:r>
            <w:r>
              <w:rPr>
                <w:rFonts w:hint="eastAsia"/>
                <w:sz w:val="18"/>
                <w:szCs w:val="18"/>
                <w:vertAlign w:val="subscript"/>
              </w:rPr>
              <w:t>3</w:t>
            </w:r>
            <w:r>
              <w:rPr>
                <w:rFonts w:hint="eastAsia"/>
                <w:sz w:val="18"/>
                <w:szCs w:val="18"/>
              </w:rPr>
              <w:t>-N、总磷、石油类</w:t>
            </w:r>
            <w:r>
              <w:rPr>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评价标准</w:t>
            </w:r>
          </w:p>
        </w:tc>
        <w:tc>
          <w:tcPr>
            <w:tcW w:w="3845" w:type="pct"/>
            <w:gridSpan w:val="12"/>
            <w:shd w:val="clear" w:color="auto" w:fill="auto"/>
            <w:vAlign w:val="center"/>
          </w:tcPr>
          <w:p>
            <w:pPr>
              <w:pStyle w:val="42"/>
              <w:rPr>
                <w:sz w:val="18"/>
                <w:szCs w:val="18"/>
              </w:rPr>
            </w:pPr>
            <w:r>
              <w:rPr>
                <w:sz w:val="18"/>
                <w:szCs w:val="18"/>
              </w:rPr>
              <w:t xml:space="preserve">河流、湖库河□ I类 □； II类□； </w:t>
            </w:r>
            <w:r>
              <w:rPr>
                <w:rFonts w:hint="eastAsia" w:ascii="宋体" w:hAnsi="宋体" w:cs="宋体"/>
                <w:sz w:val="18"/>
                <w:szCs w:val="18"/>
              </w:rPr>
              <w:t>Ⅲ</w:t>
            </w:r>
            <w:r>
              <w:rPr>
                <w:sz w:val="18"/>
                <w:szCs w:val="18"/>
              </w:rPr>
              <w:t xml:space="preserve">类 </w:t>
            </w:r>
            <w:r>
              <w:rPr>
                <w:rFonts w:hint="eastAsia" w:ascii="MS Mincho" w:hAnsi="MS Mincho" w:eastAsia="MS Mincho" w:cs="MS Mincho"/>
                <w:sz w:val="18"/>
                <w:szCs w:val="18"/>
              </w:rPr>
              <w:t>☑</w:t>
            </w:r>
            <w:r>
              <w:rPr>
                <w:sz w:val="18"/>
                <w:szCs w:val="18"/>
              </w:rPr>
              <w:t>；IV类□；V类□</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3845" w:type="pct"/>
            <w:gridSpan w:val="12"/>
            <w:shd w:val="clear" w:color="auto" w:fill="auto"/>
            <w:vAlign w:val="center"/>
          </w:tcPr>
          <w:p>
            <w:pPr>
              <w:pStyle w:val="42"/>
              <w:rPr>
                <w:sz w:val="18"/>
                <w:szCs w:val="18"/>
              </w:rPr>
            </w:pPr>
            <w:r>
              <w:rPr>
                <w:sz w:val="18"/>
                <w:szCs w:val="18"/>
              </w:rPr>
              <w:t>近岸海域第一类□；第二类□；第一类□；第四类□</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3845" w:type="pct"/>
            <w:gridSpan w:val="12"/>
            <w:shd w:val="clear" w:color="auto" w:fill="auto"/>
            <w:vAlign w:val="center"/>
          </w:tcPr>
          <w:p>
            <w:pPr>
              <w:pStyle w:val="42"/>
              <w:rPr>
                <w:sz w:val="18"/>
                <w:szCs w:val="18"/>
              </w:rPr>
            </w:pPr>
            <w:r>
              <w:rPr>
                <w:sz w:val="18"/>
                <w:szCs w:val="18"/>
              </w:rPr>
              <w:t>规划年评价标准（《地表水环境质量标准》（GB3838-2002）</w:t>
            </w:r>
            <w:r>
              <w:rPr>
                <w:rFonts w:hint="eastAsia" w:ascii="宋体" w:hAnsi="宋体" w:cs="宋体"/>
                <w:sz w:val="18"/>
                <w:szCs w:val="18"/>
              </w:rPr>
              <w:t>Ⅲ</w:t>
            </w:r>
            <w:r>
              <w:rPr>
                <w:sz w:val="18"/>
                <w:szCs w:val="18"/>
              </w:rPr>
              <w:t>类）</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评价时期</w:t>
            </w:r>
          </w:p>
        </w:tc>
        <w:tc>
          <w:tcPr>
            <w:tcW w:w="3845" w:type="pct"/>
            <w:gridSpan w:val="12"/>
            <w:shd w:val="clear" w:color="auto" w:fill="auto"/>
            <w:vAlign w:val="center"/>
          </w:tcPr>
          <w:p>
            <w:pPr>
              <w:pStyle w:val="42"/>
              <w:rPr>
                <w:sz w:val="18"/>
                <w:szCs w:val="18"/>
              </w:rPr>
            </w:pPr>
            <w:r>
              <w:rPr>
                <w:sz w:val="18"/>
                <w:szCs w:val="18"/>
              </w:rPr>
              <w:t>丰水期□；平水期</w:t>
            </w:r>
            <w:r>
              <w:rPr>
                <w:rFonts w:hint="eastAsia" w:ascii="MS Mincho" w:hAnsi="MS Mincho" w:eastAsia="MS Mincho" w:cs="MS Mincho"/>
                <w:sz w:val="18"/>
                <w:szCs w:val="18"/>
              </w:rPr>
              <w:t>☑</w:t>
            </w:r>
            <w:r>
              <w:rPr>
                <w:sz w:val="18"/>
                <w:szCs w:val="18"/>
              </w:rPr>
              <w:t>；枯水期□；冰封期□；春季□；夏季□；秋季□；冬季□</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评价结论</w:t>
            </w:r>
          </w:p>
        </w:tc>
        <w:tc>
          <w:tcPr>
            <w:tcW w:w="3013" w:type="pct"/>
            <w:gridSpan w:val="11"/>
            <w:shd w:val="clear" w:color="auto" w:fill="auto"/>
            <w:vAlign w:val="center"/>
          </w:tcPr>
          <w:p>
            <w:pPr>
              <w:pStyle w:val="42"/>
              <w:rPr>
                <w:sz w:val="18"/>
                <w:szCs w:val="18"/>
              </w:rPr>
            </w:pPr>
            <w:r>
              <w:rPr>
                <w:sz w:val="18"/>
                <w:szCs w:val="18"/>
              </w:rPr>
              <w:t>水环境功能区或水功能区、近岸海域环境劝能区水质达标状况：达标□不达标□；水环境控制单元或断面水质达标状况：达标</w:t>
            </w:r>
            <w:r>
              <w:rPr>
                <w:rFonts w:hint="eastAsia" w:ascii="MS Mincho" w:hAnsi="MS Mincho" w:eastAsia="MS Mincho" w:cs="MS Mincho"/>
                <w:sz w:val="18"/>
                <w:szCs w:val="18"/>
              </w:rPr>
              <w:t>☑</w:t>
            </w:r>
            <w:r>
              <w:rPr>
                <w:sz w:val="18"/>
                <w:szCs w:val="18"/>
              </w:rPr>
              <w:t>不达标□；水环境保护目标质量状况：达标□不达标□；对照断面、控制断面等代表性断面的水质状况：达标□不达标□；</w:t>
            </w:r>
          </w:p>
          <w:p>
            <w:pPr>
              <w:pStyle w:val="42"/>
              <w:rPr>
                <w:sz w:val="18"/>
                <w:szCs w:val="18"/>
              </w:rPr>
            </w:pPr>
            <w:r>
              <w:rPr>
                <w:sz w:val="18"/>
                <w:szCs w:val="18"/>
              </w:rPr>
              <w:t>底泥污染评价□</w:t>
            </w:r>
          </w:p>
          <w:p>
            <w:pPr>
              <w:pStyle w:val="42"/>
              <w:rPr>
                <w:sz w:val="18"/>
                <w:szCs w:val="18"/>
              </w:rPr>
            </w:pPr>
            <w:r>
              <w:rPr>
                <w:sz w:val="18"/>
                <w:szCs w:val="18"/>
              </w:rPr>
              <w:t>水资源与开发利用程度及其水文情势评价□</w:t>
            </w:r>
          </w:p>
          <w:p>
            <w:pPr>
              <w:pStyle w:val="42"/>
              <w:rPr>
                <w:sz w:val="18"/>
                <w:szCs w:val="18"/>
              </w:rPr>
            </w:pPr>
            <w:r>
              <w:rPr>
                <w:sz w:val="18"/>
                <w:szCs w:val="18"/>
              </w:rPr>
              <w:t>水环境质量回顾评价□</w:t>
            </w:r>
          </w:p>
          <w:p>
            <w:pPr>
              <w:pStyle w:val="42"/>
              <w:rPr>
                <w:sz w:val="18"/>
                <w:szCs w:val="18"/>
              </w:rPr>
            </w:pPr>
            <w:r>
              <w:rPr>
                <w:sz w:val="18"/>
                <w:szCs w:val="18"/>
              </w:rPr>
              <w:t>流域（区域)水资源（包括水能资源）与开发利用总体状况、生态流量管理要求与现状满足程度、建设项目占用水域空间的水流状况与河湖演变状况 □</w:t>
            </w:r>
          </w:p>
        </w:tc>
        <w:tc>
          <w:tcPr>
            <w:tcW w:w="832" w:type="pct"/>
            <w:shd w:val="clear" w:color="auto" w:fill="auto"/>
            <w:vAlign w:val="center"/>
          </w:tcPr>
          <w:p>
            <w:pPr>
              <w:pStyle w:val="42"/>
              <w:rPr>
                <w:sz w:val="18"/>
                <w:szCs w:val="18"/>
              </w:rPr>
            </w:pPr>
            <w:r>
              <w:rPr>
                <w:sz w:val="18"/>
                <w:szCs w:val="18"/>
              </w:rPr>
              <w:t xml:space="preserve">达标区 </w:t>
            </w:r>
            <w:r>
              <w:rPr>
                <w:rFonts w:hint="eastAsia" w:ascii="MS Mincho" w:hAnsi="MS Mincho" w:eastAsia="MS Mincho" w:cs="MS Mincho"/>
                <w:sz w:val="18"/>
                <w:szCs w:val="18"/>
              </w:rPr>
              <w:t>☑</w:t>
            </w:r>
          </w:p>
          <w:p>
            <w:pPr>
              <w:pStyle w:val="42"/>
              <w:rPr>
                <w:sz w:val="18"/>
                <w:szCs w:val="18"/>
              </w:rPr>
            </w:pPr>
            <w:r>
              <w:rPr>
                <w:sz w:val="18"/>
                <w:szCs w:val="18"/>
              </w:rPr>
              <w:t>不达标区□</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shd w:val="clear" w:color="auto" w:fill="auto"/>
            <w:vAlign w:val="center"/>
          </w:tcPr>
          <w:p>
            <w:pPr>
              <w:pStyle w:val="42"/>
              <w:rPr>
                <w:sz w:val="18"/>
                <w:szCs w:val="18"/>
              </w:rPr>
            </w:pPr>
            <w:r>
              <w:rPr>
                <w:sz w:val="18"/>
                <w:szCs w:val="18"/>
              </w:rPr>
              <w:t>影响预测</w:t>
            </w:r>
          </w:p>
        </w:tc>
        <w:tc>
          <w:tcPr>
            <w:tcW w:w="866" w:type="pct"/>
            <w:shd w:val="clear" w:color="auto" w:fill="auto"/>
            <w:vAlign w:val="center"/>
          </w:tcPr>
          <w:p>
            <w:pPr>
              <w:pStyle w:val="42"/>
              <w:rPr>
                <w:sz w:val="18"/>
                <w:szCs w:val="18"/>
              </w:rPr>
            </w:pPr>
            <w:r>
              <w:rPr>
                <w:sz w:val="18"/>
                <w:szCs w:val="18"/>
              </w:rPr>
              <w:t>预测范围</w:t>
            </w:r>
          </w:p>
        </w:tc>
        <w:tc>
          <w:tcPr>
            <w:tcW w:w="3845" w:type="pct"/>
            <w:gridSpan w:val="12"/>
            <w:shd w:val="clear" w:color="auto" w:fill="auto"/>
            <w:vAlign w:val="center"/>
          </w:tcPr>
          <w:p>
            <w:pPr>
              <w:pStyle w:val="42"/>
              <w:rPr>
                <w:sz w:val="18"/>
                <w:szCs w:val="18"/>
              </w:rPr>
            </w:pPr>
            <w:r>
              <w:rPr>
                <w:sz w:val="18"/>
                <w:szCs w:val="18"/>
              </w:rPr>
              <w:t>河流长度（）km； 湖明库、河口及近岸海域面积（）km²</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预测因子</w:t>
            </w:r>
          </w:p>
        </w:tc>
        <w:tc>
          <w:tcPr>
            <w:tcW w:w="3845" w:type="pct"/>
            <w:gridSpan w:val="12"/>
            <w:shd w:val="clear" w:color="auto" w:fill="auto"/>
            <w:vAlign w:val="center"/>
          </w:tcPr>
          <w:p>
            <w:pPr>
              <w:pStyle w:val="42"/>
              <w:rPr>
                <w:sz w:val="18"/>
                <w:szCs w:val="18"/>
              </w:rPr>
            </w:pPr>
            <w:r>
              <w:rPr>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预测时期</w:t>
            </w:r>
          </w:p>
        </w:tc>
        <w:tc>
          <w:tcPr>
            <w:tcW w:w="3845" w:type="pct"/>
            <w:gridSpan w:val="12"/>
            <w:shd w:val="clear" w:color="auto" w:fill="auto"/>
            <w:vAlign w:val="center"/>
          </w:tcPr>
          <w:p>
            <w:pPr>
              <w:pStyle w:val="42"/>
              <w:rPr>
                <w:sz w:val="18"/>
                <w:szCs w:val="18"/>
              </w:rPr>
            </w:pPr>
            <w:r>
              <w:rPr>
                <w:sz w:val="18"/>
                <w:szCs w:val="18"/>
              </w:rPr>
              <w:t>丰水期□；平水期□；枯水期□；冰封期□；春季□；夏季 □；秋季 □； 冬季□；设计水文条件□</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预测情景</w:t>
            </w:r>
          </w:p>
        </w:tc>
        <w:tc>
          <w:tcPr>
            <w:tcW w:w="3845" w:type="pct"/>
            <w:gridSpan w:val="12"/>
            <w:shd w:val="clear" w:color="auto" w:fill="auto"/>
            <w:vAlign w:val="center"/>
          </w:tcPr>
          <w:p>
            <w:pPr>
              <w:pStyle w:val="42"/>
              <w:rPr>
                <w:sz w:val="18"/>
                <w:szCs w:val="18"/>
              </w:rPr>
            </w:pPr>
            <w:r>
              <w:rPr>
                <w:sz w:val="18"/>
                <w:szCs w:val="18"/>
              </w:rPr>
              <w:t>建设期□；生产运行期□；服务期满后□；</w:t>
            </w:r>
          </w:p>
          <w:p>
            <w:pPr>
              <w:pStyle w:val="42"/>
              <w:rPr>
                <w:sz w:val="18"/>
                <w:szCs w:val="18"/>
              </w:rPr>
            </w:pPr>
            <w:r>
              <w:rPr>
                <w:sz w:val="18"/>
                <w:szCs w:val="18"/>
              </w:rPr>
              <w:t xml:space="preserve"> 正常工况□；非正常工况□；</w:t>
            </w:r>
          </w:p>
          <w:p>
            <w:pPr>
              <w:pStyle w:val="42"/>
              <w:rPr>
                <w:sz w:val="18"/>
                <w:szCs w:val="18"/>
              </w:rPr>
            </w:pPr>
            <w:r>
              <w:rPr>
                <w:sz w:val="18"/>
                <w:szCs w:val="18"/>
              </w:rPr>
              <w:t xml:space="preserve">污染控制和减缓措施方案□ </w:t>
            </w:r>
          </w:p>
          <w:p>
            <w:pPr>
              <w:pStyle w:val="42"/>
              <w:rPr>
                <w:sz w:val="18"/>
                <w:szCs w:val="18"/>
              </w:rPr>
            </w:pPr>
            <w:r>
              <w:rPr>
                <w:sz w:val="18"/>
                <w:szCs w:val="18"/>
              </w:rPr>
              <w:t>区（流）域环境质量改善目标要求情景□</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预测方法</w:t>
            </w:r>
          </w:p>
        </w:tc>
        <w:tc>
          <w:tcPr>
            <w:tcW w:w="3845" w:type="pct"/>
            <w:gridSpan w:val="12"/>
            <w:shd w:val="clear" w:color="auto" w:fill="auto"/>
            <w:vAlign w:val="center"/>
          </w:tcPr>
          <w:p>
            <w:pPr>
              <w:pStyle w:val="42"/>
              <w:rPr>
                <w:sz w:val="18"/>
                <w:szCs w:val="18"/>
              </w:rPr>
            </w:pPr>
            <w:r>
              <w:rPr>
                <w:sz w:val="18"/>
                <w:szCs w:val="18"/>
              </w:rPr>
              <w:t>数值解□；解析解□；其他□</w:t>
            </w:r>
          </w:p>
          <w:p>
            <w:pPr>
              <w:pStyle w:val="42"/>
              <w:rPr>
                <w:sz w:val="18"/>
                <w:szCs w:val="18"/>
              </w:rPr>
            </w:pPr>
            <w:r>
              <w:rPr>
                <w:sz w:val="18"/>
                <w:szCs w:val="18"/>
              </w:rPr>
              <w:t>导则推荐模式□；其他□</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shd w:val="clear" w:color="auto" w:fill="auto"/>
            <w:vAlign w:val="center"/>
          </w:tcPr>
          <w:p>
            <w:pPr>
              <w:pStyle w:val="42"/>
              <w:rPr>
                <w:sz w:val="18"/>
                <w:szCs w:val="18"/>
              </w:rPr>
            </w:pPr>
            <w:r>
              <w:rPr>
                <w:sz w:val="18"/>
                <w:szCs w:val="18"/>
              </w:rPr>
              <w:t>环境影响评价</w:t>
            </w:r>
          </w:p>
        </w:tc>
        <w:tc>
          <w:tcPr>
            <w:tcW w:w="866" w:type="pct"/>
            <w:shd w:val="clear" w:color="auto" w:fill="auto"/>
            <w:vAlign w:val="center"/>
          </w:tcPr>
          <w:p>
            <w:pPr>
              <w:pStyle w:val="42"/>
              <w:rPr>
                <w:sz w:val="18"/>
                <w:szCs w:val="18"/>
              </w:rPr>
            </w:pPr>
            <w:r>
              <w:rPr>
                <w:sz w:val="18"/>
                <w:szCs w:val="18"/>
              </w:rPr>
              <w:t>水污染控制和水环环境影响减缓措施有效性评价</w:t>
            </w:r>
          </w:p>
        </w:tc>
        <w:tc>
          <w:tcPr>
            <w:tcW w:w="3845" w:type="pct"/>
            <w:gridSpan w:val="12"/>
            <w:shd w:val="clear" w:color="auto" w:fill="auto"/>
            <w:vAlign w:val="center"/>
          </w:tcPr>
          <w:p>
            <w:pPr>
              <w:pStyle w:val="42"/>
              <w:rPr>
                <w:sz w:val="18"/>
                <w:szCs w:val="18"/>
              </w:rPr>
            </w:pPr>
            <w:r>
              <w:rPr>
                <w:sz w:val="18"/>
                <w:szCs w:val="18"/>
              </w:rPr>
              <w:t>区 （流）域水环境质量改善目标□；替代削减源□</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tcBorders>
              <w:bottom w:val="single" w:color="000000" w:sz="8" w:space="0"/>
            </w:tcBorders>
            <w:shd w:val="clear" w:color="auto" w:fill="auto"/>
            <w:vAlign w:val="center"/>
          </w:tcPr>
          <w:p>
            <w:pPr>
              <w:pStyle w:val="42"/>
              <w:rPr>
                <w:sz w:val="18"/>
                <w:szCs w:val="18"/>
              </w:rPr>
            </w:pPr>
          </w:p>
        </w:tc>
        <w:tc>
          <w:tcPr>
            <w:tcW w:w="866" w:type="pct"/>
            <w:tcBorders>
              <w:bottom w:val="single" w:color="000000" w:sz="8" w:space="0"/>
            </w:tcBorders>
            <w:shd w:val="clear" w:color="auto" w:fill="auto"/>
            <w:vAlign w:val="center"/>
          </w:tcPr>
          <w:p>
            <w:pPr>
              <w:pStyle w:val="42"/>
              <w:rPr>
                <w:sz w:val="18"/>
                <w:szCs w:val="18"/>
              </w:rPr>
            </w:pPr>
            <w:r>
              <w:rPr>
                <w:sz w:val="18"/>
                <w:szCs w:val="18"/>
              </w:rPr>
              <w:t>水环境</w:t>
            </w:r>
          </w:p>
          <w:p>
            <w:pPr>
              <w:pStyle w:val="42"/>
              <w:rPr>
                <w:sz w:val="18"/>
                <w:szCs w:val="18"/>
              </w:rPr>
            </w:pPr>
            <w:r>
              <w:rPr>
                <w:sz w:val="18"/>
                <w:szCs w:val="18"/>
              </w:rPr>
              <w:t>影响评价</w:t>
            </w:r>
          </w:p>
        </w:tc>
        <w:tc>
          <w:tcPr>
            <w:tcW w:w="3845" w:type="pct"/>
            <w:gridSpan w:val="12"/>
            <w:tcBorders>
              <w:bottom w:val="single" w:color="000000" w:sz="8" w:space="0"/>
            </w:tcBorders>
            <w:shd w:val="clear" w:color="auto" w:fill="auto"/>
            <w:vAlign w:val="center"/>
          </w:tcPr>
          <w:p>
            <w:pPr>
              <w:pStyle w:val="42"/>
              <w:rPr>
                <w:sz w:val="18"/>
                <w:szCs w:val="18"/>
              </w:rPr>
            </w:pPr>
            <w:r>
              <w:rPr>
                <w:sz w:val="18"/>
                <w:szCs w:val="18"/>
              </w:rPr>
              <w:t>排放口混合区外满足水环境管理要求□</w:t>
            </w:r>
          </w:p>
          <w:p>
            <w:pPr>
              <w:pStyle w:val="42"/>
              <w:rPr>
                <w:sz w:val="18"/>
                <w:szCs w:val="18"/>
              </w:rPr>
            </w:pPr>
            <w:r>
              <w:rPr>
                <w:sz w:val="18"/>
                <w:szCs w:val="18"/>
              </w:rPr>
              <w:t xml:space="preserve">水环境功能区或水功能区、近岸海域环填功能区水质直达标 </w:t>
            </w:r>
            <w:r>
              <w:rPr>
                <w:rFonts w:hint="eastAsia" w:ascii="MS Mincho" w:hAnsi="MS Mincho" w:eastAsia="MS Mincho" w:cs="MS Mincho"/>
                <w:sz w:val="18"/>
                <w:szCs w:val="18"/>
              </w:rPr>
              <w:t>☑</w:t>
            </w:r>
          </w:p>
          <w:p>
            <w:pPr>
              <w:pStyle w:val="42"/>
              <w:rPr>
                <w:sz w:val="18"/>
                <w:szCs w:val="18"/>
              </w:rPr>
            </w:pPr>
            <w:r>
              <w:rPr>
                <w:sz w:val="18"/>
                <w:szCs w:val="18"/>
              </w:rPr>
              <w:t xml:space="preserve">满足水环境保护目标水域水环境质量要求 </w:t>
            </w:r>
            <w:r>
              <w:rPr>
                <w:rFonts w:hint="eastAsia" w:ascii="MS Mincho" w:hAnsi="MS Mincho" w:eastAsia="MS Mincho" w:cs="MS Mincho"/>
                <w:sz w:val="18"/>
                <w:szCs w:val="18"/>
              </w:rPr>
              <w:t>☑</w:t>
            </w:r>
          </w:p>
          <w:p>
            <w:pPr>
              <w:pStyle w:val="42"/>
              <w:rPr>
                <w:sz w:val="18"/>
                <w:szCs w:val="18"/>
              </w:rPr>
            </w:pPr>
            <w:r>
              <w:rPr>
                <w:sz w:val="18"/>
                <w:szCs w:val="18"/>
              </w:rPr>
              <w:t>水环境控制单元或断面水质达标</w:t>
            </w:r>
            <w:r>
              <w:rPr>
                <w:rFonts w:hint="eastAsia" w:ascii="MS Mincho" w:hAnsi="MS Mincho" w:eastAsia="MS Mincho" w:cs="MS Mincho"/>
                <w:sz w:val="18"/>
                <w:szCs w:val="18"/>
              </w:rPr>
              <w:t>☑</w:t>
            </w:r>
          </w:p>
          <w:p>
            <w:pPr>
              <w:pStyle w:val="42"/>
              <w:rPr>
                <w:sz w:val="18"/>
                <w:szCs w:val="18"/>
              </w:rPr>
            </w:pPr>
            <w:r>
              <w:rPr>
                <w:sz w:val="18"/>
                <w:szCs w:val="18"/>
              </w:rPr>
              <w:t>满足重点水污染物排放总量控制指标要求，重点行业建设项目， 主要污染物排放满足等量或减量替代要求 □</w:t>
            </w:r>
          </w:p>
          <w:p>
            <w:pPr>
              <w:pStyle w:val="42"/>
              <w:rPr>
                <w:sz w:val="18"/>
                <w:szCs w:val="18"/>
              </w:rPr>
            </w:pPr>
            <w:r>
              <w:rPr>
                <w:sz w:val="18"/>
                <w:szCs w:val="18"/>
              </w:rPr>
              <w:t>满足区（流）域水环境质量改善目标要求 □</w:t>
            </w:r>
          </w:p>
          <w:p>
            <w:pPr>
              <w:pStyle w:val="42"/>
              <w:rPr>
                <w:sz w:val="18"/>
                <w:szCs w:val="18"/>
              </w:rPr>
            </w:pPr>
            <w:r>
              <w:rPr>
                <w:sz w:val="18"/>
                <w:szCs w:val="18"/>
              </w:rPr>
              <w:t>水文要素影响型建设项目同时应包括水文情势变化评价、主要水文特征值影响评价、生态流量符合性评价□</w:t>
            </w:r>
          </w:p>
          <w:p>
            <w:pPr>
              <w:pStyle w:val="42"/>
              <w:rPr>
                <w:sz w:val="18"/>
                <w:szCs w:val="18"/>
              </w:rPr>
            </w:pPr>
            <w:r>
              <w:rPr>
                <w:sz w:val="18"/>
                <w:szCs w:val="18"/>
              </w:rPr>
              <w:t>对于新建设或调整入河〈湖库 、近岸海域〉始放口的建设项目，应包括排放口设置的环境合理性评价 □</w:t>
            </w:r>
          </w:p>
          <w:p>
            <w:pPr>
              <w:pStyle w:val="42"/>
              <w:rPr>
                <w:sz w:val="18"/>
                <w:szCs w:val="18"/>
              </w:rPr>
            </w:pPr>
            <w:r>
              <w:rPr>
                <w:sz w:val="18"/>
                <w:szCs w:val="18"/>
              </w:rPr>
              <w:t xml:space="preserve">满足生态保护红线、水环境质量底线、资源利用上线和环境准入清单管理要求 </w:t>
            </w:r>
            <w:r>
              <w:rPr>
                <w:rFonts w:hint="eastAsia" w:ascii="MS Mincho" w:hAnsi="MS Mincho" w:eastAsia="MS Mincho" w:cs="MS Mincho"/>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污染源</w:t>
            </w:r>
          </w:p>
          <w:p>
            <w:pPr>
              <w:pStyle w:val="42"/>
              <w:rPr>
                <w:sz w:val="18"/>
                <w:szCs w:val="18"/>
              </w:rPr>
            </w:pPr>
            <w:r>
              <w:rPr>
                <w:sz w:val="18"/>
                <w:szCs w:val="18"/>
              </w:rPr>
              <w:t>排放量核算</w:t>
            </w:r>
          </w:p>
        </w:tc>
        <w:tc>
          <w:tcPr>
            <w:tcW w:w="1049" w:type="pct"/>
            <w:gridSpan w:val="3"/>
            <w:shd w:val="clear" w:color="auto" w:fill="auto"/>
            <w:vAlign w:val="center"/>
          </w:tcPr>
          <w:p>
            <w:pPr>
              <w:pStyle w:val="42"/>
              <w:rPr>
                <w:sz w:val="18"/>
                <w:szCs w:val="18"/>
              </w:rPr>
            </w:pPr>
            <w:r>
              <w:rPr>
                <w:sz w:val="18"/>
                <w:szCs w:val="18"/>
              </w:rPr>
              <w:t>污染物名称</w:t>
            </w:r>
          </w:p>
        </w:tc>
        <w:tc>
          <w:tcPr>
            <w:tcW w:w="1075" w:type="pct"/>
            <w:gridSpan w:val="6"/>
            <w:shd w:val="clear" w:color="auto" w:fill="auto"/>
            <w:vAlign w:val="center"/>
          </w:tcPr>
          <w:p>
            <w:pPr>
              <w:pStyle w:val="42"/>
              <w:rPr>
                <w:sz w:val="18"/>
                <w:szCs w:val="18"/>
              </w:rPr>
            </w:pPr>
            <w:r>
              <w:rPr>
                <w:sz w:val="18"/>
                <w:szCs w:val="18"/>
              </w:rPr>
              <w:t>排放量/(t/a )</w:t>
            </w:r>
          </w:p>
        </w:tc>
        <w:tc>
          <w:tcPr>
            <w:tcW w:w="1720" w:type="pct"/>
            <w:gridSpan w:val="3"/>
            <w:shd w:val="clear" w:color="auto" w:fill="auto"/>
            <w:vAlign w:val="center"/>
          </w:tcPr>
          <w:p>
            <w:pPr>
              <w:pStyle w:val="42"/>
              <w:rPr>
                <w:sz w:val="18"/>
                <w:szCs w:val="18"/>
              </w:rPr>
            </w:pPr>
            <w:r>
              <w:rPr>
                <w:sz w:val="18"/>
                <w:szCs w:val="18"/>
              </w:rPr>
              <w:t>排放浓度/ (mg/L)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sz w:val="18"/>
                <w:szCs w:val="18"/>
              </w:rPr>
              <w:t>pH</w:t>
            </w:r>
          </w:p>
        </w:tc>
        <w:tc>
          <w:tcPr>
            <w:tcW w:w="1075" w:type="pct"/>
            <w:gridSpan w:val="6"/>
            <w:shd w:val="clear" w:color="auto" w:fill="auto"/>
            <w:vAlign w:val="center"/>
          </w:tcPr>
          <w:p>
            <w:pPr>
              <w:pStyle w:val="42"/>
              <w:rPr>
                <w:sz w:val="18"/>
                <w:szCs w:val="18"/>
              </w:rPr>
            </w:pPr>
            <w:r>
              <w:rPr>
                <w:rFonts w:hint="eastAsia"/>
                <w:sz w:val="18"/>
                <w:szCs w:val="18"/>
              </w:rPr>
              <w:t>/</w:t>
            </w:r>
          </w:p>
        </w:tc>
        <w:tc>
          <w:tcPr>
            <w:tcW w:w="1720" w:type="pct"/>
            <w:gridSpan w:val="3"/>
            <w:shd w:val="clear" w:color="auto" w:fill="auto"/>
            <w:vAlign w:val="center"/>
          </w:tcPr>
          <w:p>
            <w:pPr>
              <w:pStyle w:val="42"/>
              <w:rPr>
                <w:sz w:val="18"/>
                <w:szCs w:val="18"/>
              </w:rPr>
            </w:pPr>
            <w:r>
              <w:rPr>
                <w:rFonts w:hint="eastAsia"/>
                <w:sz w:val="18"/>
                <w:szCs w:val="18"/>
              </w:rPr>
              <w:t>6~9</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sz w:val="18"/>
                <w:szCs w:val="18"/>
              </w:rPr>
              <w:t>COD</w:t>
            </w:r>
          </w:p>
        </w:tc>
        <w:tc>
          <w:tcPr>
            <w:tcW w:w="1075" w:type="pct"/>
            <w:gridSpan w:val="6"/>
            <w:shd w:val="clear" w:color="auto" w:fill="auto"/>
          </w:tcPr>
          <w:p>
            <w:pPr>
              <w:pStyle w:val="42"/>
              <w:rPr>
                <w:sz w:val="18"/>
                <w:szCs w:val="18"/>
              </w:rPr>
            </w:pPr>
            <w:r>
              <w:rPr>
                <w:rFonts w:hint="eastAsia"/>
                <w:sz w:val="18"/>
                <w:szCs w:val="18"/>
              </w:rPr>
              <w:t>0.282</w:t>
            </w:r>
          </w:p>
        </w:tc>
        <w:tc>
          <w:tcPr>
            <w:tcW w:w="1720" w:type="pct"/>
            <w:gridSpan w:val="3"/>
            <w:shd w:val="clear" w:color="auto" w:fill="auto"/>
          </w:tcPr>
          <w:p>
            <w:pPr>
              <w:pStyle w:val="42"/>
              <w:rPr>
                <w:sz w:val="18"/>
                <w:szCs w:val="18"/>
              </w:rPr>
            </w:pPr>
            <w:r>
              <w:rPr>
                <w:rFonts w:hint="eastAsia"/>
                <w:sz w:val="18"/>
                <w:szCs w:val="18"/>
              </w:rPr>
              <w:t>60</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sz w:val="18"/>
                <w:szCs w:val="18"/>
              </w:rPr>
              <w:t>BOD</w:t>
            </w:r>
            <w:r>
              <w:rPr>
                <w:sz w:val="18"/>
                <w:szCs w:val="18"/>
                <w:vertAlign w:val="subscript"/>
              </w:rPr>
              <w:t>5</w:t>
            </w:r>
          </w:p>
        </w:tc>
        <w:tc>
          <w:tcPr>
            <w:tcW w:w="1075" w:type="pct"/>
            <w:gridSpan w:val="6"/>
            <w:shd w:val="clear" w:color="auto" w:fill="auto"/>
          </w:tcPr>
          <w:p>
            <w:pPr>
              <w:pStyle w:val="42"/>
              <w:rPr>
                <w:sz w:val="18"/>
                <w:szCs w:val="18"/>
              </w:rPr>
            </w:pPr>
            <w:r>
              <w:rPr>
                <w:rFonts w:hint="eastAsia"/>
                <w:sz w:val="18"/>
                <w:szCs w:val="18"/>
              </w:rPr>
              <w:t>0.094</w:t>
            </w:r>
          </w:p>
        </w:tc>
        <w:tc>
          <w:tcPr>
            <w:tcW w:w="1720" w:type="pct"/>
            <w:gridSpan w:val="3"/>
            <w:shd w:val="clear" w:color="auto" w:fill="auto"/>
          </w:tcPr>
          <w:p>
            <w:pPr>
              <w:pStyle w:val="42"/>
              <w:rPr>
                <w:sz w:val="18"/>
                <w:szCs w:val="18"/>
              </w:rPr>
            </w:pPr>
            <w:r>
              <w:rPr>
                <w:rFonts w:hint="eastAsia"/>
                <w:sz w:val="18"/>
                <w:szCs w:val="18"/>
              </w:rPr>
              <w:t>20</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sz w:val="18"/>
                <w:szCs w:val="18"/>
              </w:rPr>
              <w:t>SS</w:t>
            </w:r>
          </w:p>
        </w:tc>
        <w:tc>
          <w:tcPr>
            <w:tcW w:w="1075" w:type="pct"/>
            <w:gridSpan w:val="6"/>
            <w:shd w:val="clear" w:color="auto" w:fill="auto"/>
          </w:tcPr>
          <w:p>
            <w:pPr>
              <w:pStyle w:val="42"/>
              <w:rPr>
                <w:sz w:val="18"/>
                <w:szCs w:val="18"/>
              </w:rPr>
            </w:pPr>
            <w:r>
              <w:rPr>
                <w:rFonts w:hint="eastAsia"/>
                <w:sz w:val="18"/>
                <w:szCs w:val="18"/>
              </w:rPr>
              <w:t>0.328</w:t>
            </w:r>
          </w:p>
        </w:tc>
        <w:tc>
          <w:tcPr>
            <w:tcW w:w="1720" w:type="pct"/>
            <w:gridSpan w:val="3"/>
            <w:shd w:val="clear" w:color="auto" w:fill="auto"/>
          </w:tcPr>
          <w:p>
            <w:pPr>
              <w:pStyle w:val="42"/>
              <w:rPr>
                <w:sz w:val="18"/>
                <w:szCs w:val="18"/>
              </w:rPr>
            </w:pPr>
            <w:r>
              <w:rPr>
                <w:rFonts w:hint="eastAsia"/>
                <w:sz w:val="18"/>
                <w:szCs w:val="18"/>
              </w:rPr>
              <w:t>70</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rFonts w:hint="eastAsia"/>
                <w:sz w:val="18"/>
                <w:szCs w:val="18"/>
              </w:rPr>
              <w:t>石油类</w:t>
            </w:r>
          </w:p>
        </w:tc>
        <w:tc>
          <w:tcPr>
            <w:tcW w:w="1075" w:type="pct"/>
            <w:gridSpan w:val="6"/>
            <w:shd w:val="clear" w:color="auto" w:fill="auto"/>
          </w:tcPr>
          <w:p>
            <w:pPr>
              <w:pStyle w:val="42"/>
              <w:rPr>
                <w:sz w:val="18"/>
                <w:szCs w:val="18"/>
              </w:rPr>
            </w:pPr>
            <w:r>
              <w:rPr>
                <w:rFonts w:hint="eastAsia"/>
                <w:sz w:val="18"/>
                <w:szCs w:val="18"/>
              </w:rPr>
              <w:t>0.007</w:t>
            </w:r>
          </w:p>
        </w:tc>
        <w:tc>
          <w:tcPr>
            <w:tcW w:w="1720" w:type="pct"/>
            <w:gridSpan w:val="3"/>
            <w:shd w:val="clear" w:color="auto" w:fill="auto"/>
          </w:tcPr>
          <w:p>
            <w:pPr>
              <w:pStyle w:val="42"/>
              <w:rPr>
                <w:sz w:val="18"/>
                <w:szCs w:val="18"/>
              </w:rPr>
            </w:pPr>
            <w:r>
              <w:rPr>
                <w:rFonts w:hint="eastAsia"/>
                <w:sz w:val="18"/>
                <w:szCs w:val="18"/>
              </w:rPr>
              <w:t>3</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1049" w:type="pct"/>
            <w:gridSpan w:val="3"/>
            <w:shd w:val="clear" w:color="auto" w:fill="auto"/>
            <w:vAlign w:val="center"/>
          </w:tcPr>
          <w:p>
            <w:pPr>
              <w:pStyle w:val="42"/>
              <w:rPr>
                <w:sz w:val="18"/>
                <w:szCs w:val="18"/>
              </w:rPr>
            </w:pPr>
            <w:r>
              <w:rPr>
                <w:sz w:val="18"/>
                <w:szCs w:val="18"/>
              </w:rPr>
              <w:t>NH</w:t>
            </w:r>
            <w:r>
              <w:rPr>
                <w:sz w:val="18"/>
                <w:szCs w:val="18"/>
                <w:vertAlign w:val="subscript"/>
              </w:rPr>
              <w:t>3</w:t>
            </w:r>
            <w:r>
              <w:rPr>
                <w:sz w:val="18"/>
                <w:szCs w:val="18"/>
              </w:rPr>
              <w:t>-N</w:t>
            </w:r>
          </w:p>
        </w:tc>
        <w:tc>
          <w:tcPr>
            <w:tcW w:w="1075" w:type="pct"/>
            <w:gridSpan w:val="6"/>
            <w:shd w:val="clear" w:color="auto" w:fill="auto"/>
          </w:tcPr>
          <w:p>
            <w:pPr>
              <w:pStyle w:val="42"/>
              <w:rPr>
                <w:sz w:val="18"/>
                <w:szCs w:val="18"/>
              </w:rPr>
            </w:pPr>
            <w:r>
              <w:rPr>
                <w:rFonts w:hint="eastAsia"/>
                <w:sz w:val="18"/>
                <w:szCs w:val="18"/>
              </w:rPr>
              <w:t>0.047</w:t>
            </w:r>
          </w:p>
        </w:tc>
        <w:tc>
          <w:tcPr>
            <w:tcW w:w="1720" w:type="pct"/>
            <w:gridSpan w:val="3"/>
            <w:shd w:val="clear" w:color="auto" w:fill="auto"/>
          </w:tcPr>
          <w:p>
            <w:pPr>
              <w:pStyle w:val="42"/>
              <w:rPr>
                <w:sz w:val="18"/>
                <w:szCs w:val="18"/>
              </w:rPr>
            </w:pPr>
            <w:r>
              <w:rPr>
                <w:rFonts w:hint="eastAsia"/>
                <w:sz w:val="18"/>
                <w:szCs w:val="18"/>
              </w:rPr>
              <w:t>10</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restart"/>
            <w:tcBorders>
              <w:top w:val="single" w:color="auto" w:sz="4" w:space="0"/>
            </w:tcBorders>
            <w:shd w:val="clear" w:color="auto" w:fill="auto"/>
            <w:vAlign w:val="center"/>
          </w:tcPr>
          <w:p>
            <w:pPr>
              <w:pStyle w:val="42"/>
              <w:rPr>
                <w:sz w:val="18"/>
                <w:szCs w:val="18"/>
              </w:rPr>
            </w:pPr>
            <w:r>
              <w:rPr>
                <w:sz w:val="18"/>
                <w:szCs w:val="18"/>
              </w:rPr>
              <w:t>替代源</w:t>
            </w:r>
          </w:p>
          <w:p>
            <w:pPr>
              <w:pStyle w:val="42"/>
              <w:rPr>
                <w:sz w:val="18"/>
                <w:szCs w:val="18"/>
              </w:rPr>
            </w:pPr>
            <w:r>
              <w:rPr>
                <w:sz w:val="18"/>
                <w:szCs w:val="18"/>
              </w:rPr>
              <w:t>排放情况</w:t>
            </w:r>
          </w:p>
        </w:tc>
        <w:tc>
          <w:tcPr>
            <w:tcW w:w="865" w:type="pct"/>
            <w:gridSpan w:val="2"/>
            <w:shd w:val="clear" w:color="auto" w:fill="auto"/>
            <w:vAlign w:val="center"/>
          </w:tcPr>
          <w:p>
            <w:pPr>
              <w:pStyle w:val="42"/>
              <w:rPr>
                <w:sz w:val="18"/>
                <w:szCs w:val="18"/>
              </w:rPr>
            </w:pPr>
            <w:r>
              <w:rPr>
                <w:sz w:val="18"/>
                <w:szCs w:val="18"/>
              </w:rPr>
              <w:t>污染源名称</w:t>
            </w:r>
          </w:p>
        </w:tc>
        <w:tc>
          <w:tcPr>
            <w:tcW w:w="679" w:type="pct"/>
            <w:gridSpan w:val="4"/>
            <w:shd w:val="clear" w:color="auto" w:fill="auto"/>
            <w:vAlign w:val="center"/>
          </w:tcPr>
          <w:p>
            <w:pPr>
              <w:pStyle w:val="42"/>
              <w:rPr>
                <w:sz w:val="18"/>
                <w:szCs w:val="18"/>
              </w:rPr>
            </w:pPr>
            <w:r>
              <w:rPr>
                <w:sz w:val="18"/>
                <w:szCs w:val="18"/>
              </w:rPr>
              <w:t>排污许可证编号</w:t>
            </w:r>
          </w:p>
        </w:tc>
        <w:tc>
          <w:tcPr>
            <w:tcW w:w="539" w:type="pct"/>
            <w:gridSpan w:val="2"/>
            <w:shd w:val="clear" w:color="auto" w:fill="auto"/>
            <w:vAlign w:val="center"/>
          </w:tcPr>
          <w:p>
            <w:pPr>
              <w:pStyle w:val="42"/>
              <w:rPr>
                <w:sz w:val="18"/>
                <w:szCs w:val="18"/>
              </w:rPr>
            </w:pPr>
            <w:r>
              <w:rPr>
                <w:sz w:val="18"/>
                <w:szCs w:val="18"/>
              </w:rPr>
              <w:t>污染物</w:t>
            </w:r>
          </w:p>
          <w:p>
            <w:pPr>
              <w:pStyle w:val="42"/>
              <w:rPr>
                <w:sz w:val="18"/>
                <w:szCs w:val="18"/>
              </w:rPr>
            </w:pPr>
            <w:r>
              <w:rPr>
                <w:sz w:val="18"/>
                <w:szCs w:val="18"/>
              </w:rPr>
              <w:t>名称</w:t>
            </w:r>
          </w:p>
        </w:tc>
        <w:tc>
          <w:tcPr>
            <w:tcW w:w="930" w:type="pct"/>
            <w:gridSpan w:val="3"/>
            <w:shd w:val="clear" w:color="auto" w:fill="auto"/>
            <w:vAlign w:val="center"/>
          </w:tcPr>
          <w:p>
            <w:pPr>
              <w:pStyle w:val="42"/>
              <w:rPr>
                <w:sz w:val="18"/>
                <w:szCs w:val="18"/>
              </w:rPr>
            </w:pPr>
            <w:r>
              <w:rPr>
                <w:sz w:val="18"/>
                <w:szCs w:val="18"/>
              </w:rPr>
              <w:t>排放量/(t/a )</w:t>
            </w:r>
          </w:p>
        </w:tc>
        <w:tc>
          <w:tcPr>
            <w:tcW w:w="832" w:type="pct"/>
            <w:shd w:val="clear" w:color="auto" w:fill="auto"/>
            <w:vAlign w:val="center"/>
          </w:tcPr>
          <w:p>
            <w:pPr>
              <w:pStyle w:val="42"/>
              <w:rPr>
                <w:sz w:val="18"/>
                <w:szCs w:val="18"/>
              </w:rPr>
            </w:pPr>
            <w:r>
              <w:rPr>
                <w:sz w:val="18"/>
                <w:szCs w:val="18"/>
              </w:rPr>
              <w:t>排放浓度 (mg/L)</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865" w:type="pct"/>
            <w:gridSpan w:val="2"/>
            <w:shd w:val="clear" w:color="auto" w:fill="auto"/>
            <w:vAlign w:val="center"/>
          </w:tcPr>
          <w:p>
            <w:pPr>
              <w:pStyle w:val="42"/>
              <w:rPr>
                <w:sz w:val="18"/>
                <w:szCs w:val="18"/>
              </w:rPr>
            </w:pPr>
            <w:r>
              <w:rPr>
                <w:sz w:val="18"/>
                <w:szCs w:val="18"/>
              </w:rPr>
              <w:t>（）</w:t>
            </w:r>
          </w:p>
        </w:tc>
        <w:tc>
          <w:tcPr>
            <w:tcW w:w="679" w:type="pct"/>
            <w:gridSpan w:val="4"/>
            <w:shd w:val="clear" w:color="auto" w:fill="auto"/>
            <w:vAlign w:val="center"/>
          </w:tcPr>
          <w:p>
            <w:pPr>
              <w:pStyle w:val="42"/>
              <w:rPr>
                <w:sz w:val="18"/>
                <w:szCs w:val="18"/>
              </w:rPr>
            </w:pPr>
            <w:r>
              <w:rPr>
                <w:sz w:val="18"/>
                <w:szCs w:val="18"/>
              </w:rPr>
              <w:t>（）</w:t>
            </w:r>
          </w:p>
        </w:tc>
        <w:tc>
          <w:tcPr>
            <w:tcW w:w="539" w:type="pct"/>
            <w:gridSpan w:val="2"/>
            <w:shd w:val="clear" w:color="auto" w:fill="auto"/>
            <w:vAlign w:val="center"/>
          </w:tcPr>
          <w:p>
            <w:pPr>
              <w:pStyle w:val="42"/>
              <w:rPr>
                <w:sz w:val="18"/>
                <w:szCs w:val="18"/>
              </w:rPr>
            </w:pPr>
            <w:r>
              <w:rPr>
                <w:sz w:val="18"/>
                <w:szCs w:val="18"/>
              </w:rPr>
              <w:t>（）</w:t>
            </w:r>
          </w:p>
        </w:tc>
        <w:tc>
          <w:tcPr>
            <w:tcW w:w="930" w:type="pct"/>
            <w:gridSpan w:val="3"/>
            <w:shd w:val="clear" w:color="auto" w:fill="auto"/>
            <w:vAlign w:val="center"/>
          </w:tcPr>
          <w:p>
            <w:pPr>
              <w:pStyle w:val="42"/>
              <w:rPr>
                <w:sz w:val="18"/>
                <w:szCs w:val="18"/>
              </w:rPr>
            </w:pPr>
            <w:r>
              <w:rPr>
                <w:sz w:val="18"/>
                <w:szCs w:val="18"/>
              </w:rPr>
              <w:t>（）</w:t>
            </w:r>
          </w:p>
        </w:tc>
        <w:tc>
          <w:tcPr>
            <w:tcW w:w="832" w:type="pct"/>
            <w:shd w:val="clear" w:color="auto" w:fill="auto"/>
            <w:vAlign w:val="center"/>
          </w:tcPr>
          <w:p>
            <w:pPr>
              <w:pStyle w:val="42"/>
              <w:rPr>
                <w:sz w:val="18"/>
                <w:szCs w:val="18"/>
              </w:rPr>
            </w:pPr>
            <w:r>
              <w:rPr>
                <w:sz w:val="18"/>
                <w:szCs w:val="18"/>
              </w:rPr>
              <w:t>（）</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restart"/>
            <w:shd w:val="clear" w:color="auto" w:fill="auto"/>
            <w:vAlign w:val="center"/>
          </w:tcPr>
          <w:p>
            <w:pPr>
              <w:pStyle w:val="42"/>
              <w:rPr>
                <w:sz w:val="18"/>
                <w:szCs w:val="18"/>
              </w:rPr>
            </w:pPr>
            <w:r>
              <w:rPr>
                <w:sz w:val="18"/>
                <w:szCs w:val="18"/>
              </w:rPr>
              <w:t>生态流量确定</w:t>
            </w:r>
          </w:p>
        </w:tc>
        <w:tc>
          <w:tcPr>
            <w:tcW w:w="3845" w:type="pct"/>
            <w:gridSpan w:val="12"/>
            <w:shd w:val="clear" w:color="auto" w:fill="auto"/>
            <w:vAlign w:val="center"/>
          </w:tcPr>
          <w:p>
            <w:pPr>
              <w:pStyle w:val="42"/>
              <w:rPr>
                <w:sz w:val="18"/>
                <w:szCs w:val="18"/>
              </w:rPr>
            </w:pPr>
            <w:r>
              <w:rPr>
                <w:sz w:val="18"/>
                <w:szCs w:val="18"/>
              </w:rPr>
              <w:t>生态流量，一般水期( ) m³/s； 鱼类繁殖期（）一般水期( ) m³/s；其他（ ) m³/s</w:t>
            </w:r>
          </w:p>
        </w:tc>
      </w:tr>
      <w:tr>
        <w:tblPrEx>
          <w:tblBorders>
            <w:top w:val="single" w:color="auto" w:sz="4"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3845" w:type="pct"/>
            <w:gridSpan w:val="12"/>
            <w:shd w:val="clear" w:color="auto" w:fill="auto"/>
            <w:vAlign w:val="center"/>
          </w:tcPr>
          <w:p>
            <w:pPr>
              <w:pStyle w:val="42"/>
              <w:rPr>
                <w:sz w:val="18"/>
                <w:szCs w:val="18"/>
              </w:rPr>
            </w:pPr>
            <w:r>
              <w:rPr>
                <w:sz w:val="18"/>
                <w:szCs w:val="18"/>
              </w:rPr>
              <w:t>生态水位， 一般水期 （）m；鱼类繁殖期（）m； 其他 （）m；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restart"/>
            <w:tcBorders>
              <w:bottom w:val="single" w:color="000000" w:sz="8" w:space="0"/>
            </w:tcBorders>
            <w:shd w:val="clear" w:color="auto" w:fill="auto"/>
            <w:vAlign w:val="center"/>
          </w:tcPr>
          <w:p>
            <w:pPr>
              <w:pStyle w:val="42"/>
              <w:rPr>
                <w:sz w:val="18"/>
                <w:szCs w:val="18"/>
              </w:rPr>
            </w:pPr>
            <w:r>
              <w:rPr>
                <w:sz w:val="18"/>
                <w:szCs w:val="18"/>
              </w:rPr>
              <w:t>防治措施</w:t>
            </w:r>
          </w:p>
        </w:tc>
        <w:tc>
          <w:tcPr>
            <w:tcW w:w="866" w:type="pct"/>
            <w:tcBorders>
              <w:bottom w:val="single" w:color="000000" w:sz="8" w:space="0"/>
            </w:tcBorders>
            <w:shd w:val="clear" w:color="auto" w:fill="auto"/>
            <w:vAlign w:val="center"/>
          </w:tcPr>
          <w:p>
            <w:pPr>
              <w:pStyle w:val="42"/>
              <w:rPr>
                <w:sz w:val="18"/>
                <w:szCs w:val="18"/>
              </w:rPr>
            </w:pPr>
            <w:r>
              <w:rPr>
                <w:sz w:val="18"/>
                <w:szCs w:val="18"/>
              </w:rPr>
              <w:t>环保措施</w:t>
            </w:r>
          </w:p>
        </w:tc>
        <w:tc>
          <w:tcPr>
            <w:tcW w:w="3845" w:type="pct"/>
            <w:gridSpan w:val="12"/>
            <w:tcBorders>
              <w:bottom w:val="single" w:color="000000" w:sz="8" w:space="0"/>
            </w:tcBorders>
            <w:shd w:val="clear" w:color="auto" w:fill="auto"/>
            <w:vAlign w:val="center"/>
          </w:tcPr>
          <w:p>
            <w:pPr>
              <w:pStyle w:val="42"/>
              <w:rPr>
                <w:sz w:val="18"/>
                <w:szCs w:val="18"/>
              </w:rPr>
            </w:pPr>
            <w:r>
              <w:rPr>
                <w:sz w:val="18"/>
                <w:szCs w:val="18"/>
              </w:rPr>
              <w:t>污水处理设施</w:t>
            </w:r>
            <w:r>
              <w:rPr>
                <w:rFonts w:hint="eastAsia" w:ascii="MS Mincho" w:hAnsi="MS Mincho" w:eastAsia="MS Mincho" w:cs="MS Mincho"/>
                <w:sz w:val="18"/>
                <w:szCs w:val="18"/>
              </w:rPr>
              <w:t>☑</w:t>
            </w:r>
            <w:r>
              <w:rPr>
                <w:sz w:val="18"/>
                <w:szCs w:val="18"/>
              </w:rPr>
              <w:t>； 水文减缓设施□；生态流量保障设施 □；区域削减□；依托其他工程措施</w:t>
            </w:r>
            <w:r>
              <w:rPr>
                <w:rFonts w:hint="eastAsia" w:ascii="MS Mincho" w:hAnsi="MS Mincho" w:eastAsia="MS Mincho" w:cs="MS Mincho"/>
                <w:sz w:val="18"/>
                <w:szCs w:val="18"/>
              </w:rPr>
              <w:t>☑</w:t>
            </w:r>
            <w:r>
              <w:rPr>
                <w:sz w:val="18"/>
                <w:szCs w:val="18"/>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tcBorders>
              <w:bottom w:val="single" w:color="000000" w:sz="8" w:space="0"/>
            </w:tcBorders>
            <w:shd w:val="clear" w:color="auto" w:fill="auto"/>
            <w:vAlign w:val="center"/>
          </w:tcPr>
          <w:p>
            <w:pPr>
              <w:pStyle w:val="42"/>
              <w:rPr>
                <w:sz w:val="18"/>
                <w:szCs w:val="18"/>
              </w:rPr>
            </w:pPr>
          </w:p>
        </w:tc>
        <w:tc>
          <w:tcPr>
            <w:tcW w:w="866" w:type="pct"/>
            <w:vMerge w:val="restart"/>
            <w:tcBorders>
              <w:bottom w:val="single" w:color="000000" w:sz="8" w:space="0"/>
            </w:tcBorders>
            <w:shd w:val="clear" w:color="auto" w:fill="auto"/>
            <w:vAlign w:val="center"/>
          </w:tcPr>
          <w:p>
            <w:pPr>
              <w:pStyle w:val="42"/>
              <w:rPr>
                <w:sz w:val="18"/>
                <w:szCs w:val="18"/>
              </w:rPr>
            </w:pPr>
            <w:r>
              <w:rPr>
                <w:sz w:val="18"/>
                <w:szCs w:val="18"/>
              </w:rPr>
              <w:t>监测计划</w:t>
            </w:r>
          </w:p>
        </w:tc>
        <w:tc>
          <w:tcPr>
            <w:tcW w:w="557" w:type="pct"/>
            <w:tcBorders>
              <w:bottom w:val="single" w:color="000000" w:sz="8" w:space="0"/>
            </w:tcBorders>
            <w:shd w:val="clear" w:color="auto" w:fill="auto"/>
            <w:vAlign w:val="center"/>
          </w:tcPr>
          <w:p>
            <w:pPr>
              <w:pStyle w:val="42"/>
              <w:rPr>
                <w:sz w:val="18"/>
                <w:szCs w:val="18"/>
              </w:rPr>
            </w:pPr>
          </w:p>
        </w:tc>
        <w:tc>
          <w:tcPr>
            <w:tcW w:w="859" w:type="pct"/>
            <w:gridSpan w:val="4"/>
            <w:tcBorders>
              <w:bottom w:val="single" w:color="000000" w:sz="8" w:space="0"/>
            </w:tcBorders>
            <w:shd w:val="clear" w:color="auto" w:fill="auto"/>
            <w:vAlign w:val="center"/>
          </w:tcPr>
          <w:p>
            <w:pPr>
              <w:pStyle w:val="42"/>
              <w:rPr>
                <w:sz w:val="18"/>
                <w:szCs w:val="18"/>
              </w:rPr>
            </w:pPr>
            <w:r>
              <w:rPr>
                <w:sz w:val="18"/>
                <w:szCs w:val="18"/>
              </w:rPr>
              <w:t>环境质量</w:t>
            </w:r>
          </w:p>
        </w:tc>
        <w:tc>
          <w:tcPr>
            <w:tcW w:w="2428" w:type="pct"/>
            <w:gridSpan w:val="7"/>
            <w:tcBorders>
              <w:bottom w:val="single" w:color="000000" w:sz="8" w:space="0"/>
            </w:tcBorders>
            <w:shd w:val="clear" w:color="auto" w:fill="auto"/>
            <w:vAlign w:val="center"/>
          </w:tcPr>
          <w:p>
            <w:pPr>
              <w:pStyle w:val="42"/>
              <w:rPr>
                <w:sz w:val="18"/>
                <w:szCs w:val="18"/>
              </w:rPr>
            </w:pPr>
            <w:r>
              <w:rPr>
                <w:sz w:val="18"/>
                <w:szCs w:val="18"/>
              </w:rPr>
              <w:t>污染源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557" w:type="pct"/>
            <w:shd w:val="clear" w:color="auto" w:fill="auto"/>
            <w:vAlign w:val="center"/>
          </w:tcPr>
          <w:p>
            <w:pPr>
              <w:pStyle w:val="42"/>
              <w:rPr>
                <w:sz w:val="18"/>
                <w:szCs w:val="18"/>
              </w:rPr>
            </w:pPr>
            <w:r>
              <w:rPr>
                <w:sz w:val="18"/>
                <w:szCs w:val="18"/>
              </w:rPr>
              <w:t>监测方案</w:t>
            </w:r>
          </w:p>
        </w:tc>
        <w:tc>
          <w:tcPr>
            <w:tcW w:w="859" w:type="pct"/>
            <w:gridSpan w:val="4"/>
            <w:shd w:val="clear" w:color="auto" w:fill="auto"/>
            <w:vAlign w:val="center"/>
          </w:tcPr>
          <w:p>
            <w:pPr>
              <w:pStyle w:val="42"/>
              <w:rPr>
                <w:sz w:val="18"/>
                <w:szCs w:val="18"/>
              </w:rPr>
            </w:pPr>
            <w:r>
              <w:rPr>
                <w:sz w:val="18"/>
                <w:szCs w:val="18"/>
              </w:rPr>
              <w:t>手动□； 自动 □；无监测</w:t>
            </w:r>
            <w:r>
              <w:rPr>
                <w:rFonts w:hint="eastAsia" w:ascii="MS Mincho" w:hAnsi="MS Mincho" w:eastAsia="MS Mincho" w:cs="MS Mincho"/>
                <w:sz w:val="18"/>
                <w:szCs w:val="18"/>
              </w:rPr>
              <w:t>☑</w:t>
            </w:r>
          </w:p>
        </w:tc>
        <w:tc>
          <w:tcPr>
            <w:tcW w:w="2428" w:type="pct"/>
            <w:gridSpan w:val="7"/>
            <w:shd w:val="clear" w:color="auto" w:fill="auto"/>
            <w:vAlign w:val="center"/>
          </w:tcPr>
          <w:p>
            <w:pPr>
              <w:pStyle w:val="42"/>
              <w:rPr>
                <w:sz w:val="18"/>
                <w:szCs w:val="18"/>
              </w:rPr>
            </w:pPr>
            <w:r>
              <w:rPr>
                <w:sz w:val="18"/>
                <w:szCs w:val="18"/>
              </w:rPr>
              <w:t>手动</w:t>
            </w:r>
            <w:r>
              <w:rPr>
                <w:rFonts w:hint="eastAsia" w:ascii="MS Mincho" w:hAnsi="MS Mincho" w:eastAsia="MS Mincho" w:cs="MS Mincho"/>
                <w:sz w:val="18"/>
                <w:szCs w:val="18"/>
              </w:rPr>
              <w:t>☑</w:t>
            </w:r>
            <w:r>
              <w:rPr>
                <w:sz w:val="18"/>
                <w:szCs w:val="18"/>
              </w:rPr>
              <w:t xml:space="preserve">； 自动 </w:t>
            </w:r>
            <w:r>
              <w:rPr>
                <w:rFonts w:hint="eastAsia" w:ascii="MS Mincho" w:hAnsi="MS Mincho" w:eastAsia="MS Mincho" w:cs="MS Mincho"/>
                <w:sz w:val="18"/>
                <w:szCs w:val="18"/>
              </w:rPr>
              <w:t>☑</w:t>
            </w:r>
            <w:r>
              <w:rPr>
                <w:sz w:val="18"/>
                <w:szCs w:val="18"/>
              </w:rPr>
              <w:t>；无监测□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557" w:type="pct"/>
            <w:shd w:val="clear" w:color="auto" w:fill="auto"/>
            <w:vAlign w:val="center"/>
          </w:tcPr>
          <w:p>
            <w:pPr>
              <w:pStyle w:val="42"/>
              <w:rPr>
                <w:sz w:val="18"/>
                <w:szCs w:val="18"/>
              </w:rPr>
            </w:pPr>
            <w:r>
              <w:rPr>
                <w:sz w:val="18"/>
                <w:szCs w:val="18"/>
              </w:rPr>
              <w:t>监测点位</w:t>
            </w:r>
          </w:p>
        </w:tc>
        <w:tc>
          <w:tcPr>
            <w:tcW w:w="859" w:type="pct"/>
            <w:gridSpan w:val="4"/>
            <w:shd w:val="clear" w:color="auto" w:fill="auto"/>
            <w:vAlign w:val="center"/>
          </w:tcPr>
          <w:p>
            <w:pPr>
              <w:pStyle w:val="42"/>
              <w:rPr>
                <w:sz w:val="18"/>
                <w:szCs w:val="18"/>
              </w:rPr>
            </w:pPr>
            <w:r>
              <w:rPr>
                <w:sz w:val="18"/>
                <w:szCs w:val="18"/>
              </w:rPr>
              <w:t>（）</w:t>
            </w:r>
          </w:p>
        </w:tc>
        <w:tc>
          <w:tcPr>
            <w:tcW w:w="2428" w:type="pct"/>
            <w:gridSpan w:val="7"/>
            <w:shd w:val="clear" w:color="auto" w:fill="auto"/>
            <w:vAlign w:val="center"/>
          </w:tcPr>
          <w:p>
            <w:pPr>
              <w:pStyle w:val="42"/>
              <w:rPr>
                <w:sz w:val="18"/>
                <w:szCs w:val="18"/>
              </w:rPr>
            </w:pPr>
            <w:r>
              <w:rPr>
                <w:sz w:val="18"/>
                <w:szCs w:val="18"/>
              </w:rPr>
              <w:t>污水处理站总排</w:t>
            </w:r>
            <w:r>
              <w:rPr>
                <w:rFonts w:hint="eastAsia" w:ascii="MS Mincho" w:hAnsi="MS Mincho" w:eastAsia="MS Mincho" w:cs="MS Mincho"/>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vMerge w:val="continue"/>
            <w:shd w:val="clear" w:color="auto" w:fill="auto"/>
            <w:vAlign w:val="center"/>
          </w:tcPr>
          <w:p>
            <w:pPr>
              <w:pStyle w:val="42"/>
              <w:rPr>
                <w:sz w:val="18"/>
                <w:szCs w:val="18"/>
              </w:rPr>
            </w:pPr>
          </w:p>
        </w:tc>
        <w:tc>
          <w:tcPr>
            <w:tcW w:w="557" w:type="pct"/>
            <w:shd w:val="clear" w:color="auto" w:fill="auto"/>
            <w:vAlign w:val="center"/>
          </w:tcPr>
          <w:p>
            <w:pPr>
              <w:pStyle w:val="42"/>
              <w:rPr>
                <w:sz w:val="18"/>
                <w:szCs w:val="18"/>
              </w:rPr>
            </w:pPr>
            <w:r>
              <w:rPr>
                <w:sz w:val="18"/>
                <w:szCs w:val="18"/>
              </w:rPr>
              <w:t>监测因子</w:t>
            </w:r>
          </w:p>
        </w:tc>
        <w:tc>
          <w:tcPr>
            <w:tcW w:w="859" w:type="pct"/>
            <w:gridSpan w:val="4"/>
            <w:shd w:val="clear" w:color="auto" w:fill="auto"/>
            <w:vAlign w:val="center"/>
          </w:tcPr>
          <w:p>
            <w:pPr>
              <w:pStyle w:val="42"/>
              <w:rPr>
                <w:sz w:val="18"/>
                <w:szCs w:val="18"/>
              </w:rPr>
            </w:pPr>
            <w:r>
              <w:rPr>
                <w:sz w:val="18"/>
                <w:szCs w:val="18"/>
              </w:rPr>
              <w:t>（）</w:t>
            </w:r>
          </w:p>
        </w:tc>
        <w:tc>
          <w:tcPr>
            <w:tcW w:w="2428" w:type="pct"/>
            <w:gridSpan w:val="7"/>
            <w:shd w:val="clear" w:color="auto" w:fill="auto"/>
            <w:vAlign w:val="center"/>
          </w:tcPr>
          <w:p>
            <w:pPr>
              <w:pStyle w:val="42"/>
              <w:rPr>
                <w:sz w:val="18"/>
                <w:szCs w:val="18"/>
              </w:rPr>
            </w:pPr>
            <w:r>
              <w:rPr>
                <w:sz w:val="18"/>
                <w:szCs w:val="18"/>
              </w:rPr>
              <w:t>（pH、COD、SS、NH</w:t>
            </w:r>
            <w:r>
              <w:rPr>
                <w:sz w:val="18"/>
                <w:szCs w:val="18"/>
                <w:vertAlign w:val="subscript"/>
              </w:rPr>
              <w:t>3</w:t>
            </w:r>
            <w:r>
              <w:rPr>
                <w:sz w:val="18"/>
                <w:szCs w:val="18"/>
              </w:rPr>
              <w:t>-N、</w:t>
            </w:r>
            <w:r>
              <w:rPr>
                <w:rFonts w:hint="eastAsia"/>
                <w:sz w:val="18"/>
                <w:szCs w:val="18"/>
              </w:rPr>
              <w:t>石油类</w:t>
            </w:r>
            <w:r>
              <w:rPr>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289" w:type="pct"/>
            <w:vMerge w:val="continue"/>
            <w:shd w:val="clear" w:color="auto" w:fill="auto"/>
            <w:vAlign w:val="center"/>
          </w:tcPr>
          <w:p>
            <w:pPr>
              <w:pStyle w:val="42"/>
              <w:rPr>
                <w:sz w:val="18"/>
                <w:szCs w:val="18"/>
              </w:rPr>
            </w:pPr>
          </w:p>
        </w:tc>
        <w:tc>
          <w:tcPr>
            <w:tcW w:w="866" w:type="pct"/>
            <w:shd w:val="clear" w:color="auto" w:fill="auto"/>
            <w:vAlign w:val="center"/>
          </w:tcPr>
          <w:p>
            <w:pPr>
              <w:pStyle w:val="42"/>
              <w:rPr>
                <w:sz w:val="18"/>
                <w:szCs w:val="18"/>
              </w:rPr>
            </w:pPr>
            <w:r>
              <w:rPr>
                <w:sz w:val="18"/>
                <w:szCs w:val="18"/>
              </w:rPr>
              <w:t>污染物</w:t>
            </w:r>
          </w:p>
          <w:p>
            <w:pPr>
              <w:pStyle w:val="42"/>
              <w:rPr>
                <w:sz w:val="18"/>
                <w:szCs w:val="18"/>
              </w:rPr>
            </w:pPr>
            <w:r>
              <w:rPr>
                <w:sz w:val="18"/>
                <w:szCs w:val="18"/>
              </w:rPr>
              <w:t>排放清单</w:t>
            </w:r>
          </w:p>
        </w:tc>
        <w:tc>
          <w:tcPr>
            <w:tcW w:w="3845" w:type="pct"/>
            <w:gridSpan w:val="12"/>
            <w:shd w:val="clear" w:color="auto" w:fill="auto"/>
            <w:vAlign w:val="center"/>
          </w:tcPr>
          <w:p>
            <w:pPr>
              <w:pStyle w:val="42"/>
              <w:rPr>
                <w:sz w:val="18"/>
                <w:szCs w:val="18"/>
              </w:rPr>
            </w:pPr>
            <w:r>
              <w:rPr>
                <w:sz w:val="18"/>
                <w:szCs w:val="18"/>
              </w:rPr>
              <w:t xml:space="preserve">COD </w:t>
            </w:r>
            <w:r>
              <w:rPr>
                <w:rFonts w:hint="eastAsia"/>
                <w:sz w:val="18"/>
                <w:szCs w:val="18"/>
              </w:rPr>
              <w:t>0.282</w:t>
            </w:r>
            <w:r>
              <w:rPr>
                <w:sz w:val="18"/>
                <w:szCs w:val="18"/>
              </w:rPr>
              <w:t>t/a、</w:t>
            </w:r>
            <w:r>
              <w:rPr>
                <w:rFonts w:hint="eastAsia"/>
                <w:sz w:val="18"/>
                <w:szCs w:val="18"/>
              </w:rPr>
              <w:t>BOD</w:t>
            </w:r>
            <w:r>
              <w:rPr>
                <w:rFonts w:hint="eastAsia"/>
                <w:sz w:val="18"/>
                <w:szCs w:val="18"/>
                <w:vertAlign w:val="subscript"/>
              </w:rPr>
              <w:t>5</w:t>
            </w:r>
            <w:r>
              <w:rPr>
                <w:rFonts w:hint="eastAsia"/>
                <w:sz w:val="18"/>
                <w:szCs w:val="18"/>
              </w:rPr>
              <w:t>0.049</w:t>
            </w:r>
            <w:r>
              <w:rPr>
                <w:sz w:val="18"/>
                <w:szCs w:val="18"/>
              </w:rPr>
              <w:t>t/a</w:t>
            </w:r>
            <w:r>
              <w:rPr>
                <w:rFonts w:hint="eastAsia"/>
                <w:sz w:val="18"/>
                <w:szCs w:val="18"/>
              </w:rPr>
              <w:t>、</w:t>
            </w:r>
            <w:r>
              <w:rPr>
                <w:sz w:val="18"/>
                <w:szCs w:val="18"/>
              </w:rPr>
              <w:t>氨氮</w:t>
            </w:r>
            <w:r>
              <w:rPr>
                <w:rFonts w:hint="eastAsia"/>
                <w:sz w:val="18"/>
                <w:szCs w:val="18"/>
              </w:rPr>
              <w:t>0.047</w:t>
            </w:r>
            <w:r>
              <w:rPr>
                <w:sz w:val="18"/>
                <w:szCs w:val="18"/>
              </w:rPr>
              <w:t>t/a、</w:t>
            </w:r>
            <w:r>
              <w:rPr>
                <w:rFonts w:hint="eastAsia"/>
                <w:sz w:val="18"/>
                <w:szCs w:val="18"/>
              </w:rPr>
              <w:t>石油类0.007</w:t>
            </w:r>
            <w:r>
              <w:rPr>
                <w:sz w:val="18"/>
                <w:szCs w:val="18"/>
              </w:rPr>
              <w:t>t/a</w:t>
            </w:r>
            <w:r>
              <w:rPr>
                <w:rFonts w:hint="eastAsia"/>
                <w:sz w:val="18"/>
                <w:szCs w:val="18"/>
              </w:rPr>
              <w:t>、</w:t>
            </w:r>
            <w:r>
              <w:rPr>
                <w:sz w:val="18"/>
                <w:szCs w:val="18"/>
              </w:rPr>
              <w:t>SS</w:t>
            </w:r>
            <w:r>
              <w:rPr>
                <w:rFonts w:hint="eastAsia"/>
                <w:sz w:val="18"/>
                <w:szCs w:val="18"/>
              </w:rPr>
              <w:t>0.328</w:t>
            </w:r>
            <w:r>
              <w:rPr>
                <w:sz w:val="18"/>
                <w:szCs w:val="18"/>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1155" w:type="pct"/>
            <w:gridSpan w:val="2"/>
            <w:shd w:val="clear" w:color="auto" w:fill="auto"/>
            <w:vAlign w:val="center"/>
          </w:tcPr>
          <w:p>
            <w:pPr>
              <w:pStyle w:val="42"/>
              <w:rPr>
                <w:sz w:val="18"/>
                <w:szCs w:val="18"/>
              </w:rPr>
            </w:pPr>
            <w:r>
              <w:rPr>
                <w:sz w:val="18"/>
                <w:szCs w:val="18"/>
              </w:rPr>
              <w:t>评价结论</w:t>
            </w:r>
          </w:p>
        </w:tc>
        <w:tc>
          <w:tcPr>
            <w:tcW w:w="3845" w:type="pct"/>
            <w:gridSpan w:val="12"/>
            <w:shd w:val="clear" w:color="auto" w:fill="auto"/>
            <w:vAlign w:val="center"/>
          </w:tcPr>
          <w:p>
            <w:pPr>
              <w:pStyle w:val="42"/>
              <w:rPr>
                <w:sz w:val="18"/>
                <w:szCs w:val="18"/>
              </w:rPr>
            </w:pPr>
            <w:r>
              <w:rPr>
                <w:sz w:val="18"/>
                <w:szCs w:val="18"/>
              </w:rPr>
              <w:t xml:space="preserve">可以接受 </w:t>
            </w:r>
            <w:r>
              <w:rPr>
                <w:rFonts w:hint="eastAsia" w:ascii="MS Mincho" w:hAnsi="MS Mincho" w:eastAsia="MS Mincho" w:cs="MS Mincho"/>
                <w:sz w:val="18"/>
                <w:szCs w:val="18"/>
              </w:rPr>
              <w:t>☑</w:t>
            </w:r>
            <w:r>
              <w:rPr>
                <w:sz w:val="18"/>
                <w:szCs w:val="18"/>
              </w:rPr>
              <w:t>，不可以接受□。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20" w:hRule="atLeast"/>
          <w:jc w:val="center"/>
        </w:trPr>
        <w:tc>
          <w:tcPr>
            <w:tcW w:w="5000" w:type="pct"/>
            <w:gridSpan w:val="14"/>
            <w:shd w:val="clear" w:color="auto" w:fill="auto"/>
            <w:vAlign w:val="center"/>
          </w:tcPr>
          <w:p>
            <w:pPr>
              <w:pStyle w:val="42"/>
              <w:rPr>
                <w:sz w:val="18"/>
                <w:szCs w:val="18"/>
              </w:rPr>
            </w:pPr>
            <w:r>
              <w:rPr>
                <w:sz w:val="18"/>
                <w:szCs w:val="18"/>
              </w:rPr>
              <w:t>注 ： "□"为勾选项；可√； " ( ) "为内容填写项 ，"备注" 为其他补充内容。</w:t>
            </w:r>
          </w:p>
        </w:tc>
      </w:tr>
    </w:tbl>
    <w:p>
      <w:pPr>
        <w:pStyle w:val="41"/>
      </w:pPr>
      <w:r>
        <w:rPr>
          <w:rFonts w:hint="eastAsia"/>
        </w:rPr>
        <w:t>表5.2.2-2  废水类别、污染物及污染治理设施信息表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9"/>
        <w:gridCol w:w="1096"/>
        <w:gridCol w:w="651"/>
        <w:gridCol w:w="779"/>
        <w:gridCol w:w="394"/>
        <w:gridCol w:w="1166"/>
        <w:gridCol w:w="1410"/>
        <w:gridCol w:w="768"/>
        <w:gridCol w:w="861"/>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9" w:type="dxa"/>
            <w:vMerge w:val="restart"/>
            <w:vAlign w:val="center"/>
          </w:tcPr>
          <w:p>
            <w:pPr>
              <w:pStyle w:val="42"/>
            </w:pPr>
            <w:r>
              <w:t>废水类别</w:t>
            </w:r>
          </w:p>
        </w:tc>
        <w:tc>
          <w:tcPr>
            <w:tcW w:w="1096" w:type="dxa"/>
            <w:vMerge w:val="restart"/>
            <w:vAlign w:val="center"/>
          </w:tcPr>
          <w:p>
            <w:pPr>
              <w:pStyle w:val="42"/>
            </w:pPr>
            <w:r>
              <w:t>污染物</w:t>
            </w:r>
          </w:p>
          <w:p>
            <w:pPr>
              <w:pStyle w:val="42"/>
            </w:pPr>
            <w:r>
              <w:t>种类</w:t>
            </w:r>
          </w:p>
        </w:tc>
        <w:tc>
          <w:tcPr>
            <w:tcW w:w="651" w:type="dxa"/>
            <w:vMerge w:val="restart"/>
            <w:vAlign w:val="center"/>
          </w:tcPr>
          <w:p>
            <w:pPr>
              <w:pStyle w:val="42"/>
            </w:pPr>
            <w:r>
              <w:t>排放去向</w:t>
            </w:r>
          </w:p>
        </w:tc>
        <w:tc>
          <w:tcPr>
            <w:tcW w:w="779" w:type="dxa"/>
            <w:vMerge w:val="restart"/>
            <w:vAlign w:val="center"/>
          </w:tcPr>
          <w:p>
            <w:pPr>
              <w:pStyle w:val="42"/>
            </w:pPr>
            <w:r>
              <w:t>排放规律</w:t>
            </w:r>
          </w:p>
        </w:tc>
        <w:tc>
          <w:tcPr>
            <w:tcW w:w="2970" w:type="dxa"/>
            <w:gridSpan w:val="3"/>
            <w:vAlign w:val="center"/>
          </w:tcPr>
          <w:p>
            <w:pPr>
              <w:pStyle w:val="42"/>
            </w:pPr>
            <w:r>
              <w:t>污染治理设施</w:t>
            </w:r>
          </w:p>
        </w:tc>
        <w:tc>
          <w:tcPr>
            <w:tcW w:w="768" w:type="dxa"/>
            <w:vMerge w:val="restart"/>
            <w:vAlign w:val="center"/>
          </w:tcPr>
          <w:p>
            <w:pPr>
              <w:pStyle w:val="42"/>
            </w:pPr>
            <w:r>
              <w:t>排放口编号</w:t>
            </w:r>
          </w:p>
        </w:tc>
        <w:tc>
          <w:tcPr>
            <w:tcW w:w="861" w:type="dxa"/>
            <w:vMerge w:val="restart"/>
            <w:vAlign w:val="center"/>
          </w:tcPr>
          <w:p>
            <w:pPr>
              <w:pStyle w:val="42"/>
            </w:pPr>
            <w:r>
              <w:t>排放口设置是否符合要求</w:t>
            </w:r>
          </w:p>
        </w:tc>
        <w:tc>
          <w:tcPr>
            <w:tcW w:w="618" w:type="dxa"/>
            <w:vMerge w:val="restart"/>
            <w:vAlign w:val="center"/>
          </w:tcPr>
          <w:p>
            <w:pPr>
              <w:pStyle w:val="42"/>
            </w:pPr>
            <w: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619" w:type="dxa"/>
            <w:vMerge w:val="continue"/>
            <w:vAlign w:val="center"/>
          </w:tcPr>
          <w:p>
            <w:pPr>
              <w:pStyle w:val="42"/>
            </w:pPr>
          </w:p>
        </w:tc>
        <w:tc>
          <w:tcPr>
            <w:tcW w:w="1096" w:type="dxa"/>
            <w:vMerge w:val="continue"/>
            <w:vAlign w:val="center"/>
          </w:tcPr>
          <w:p>
            <w:pPr>
              <w:pStyle w:val="42"/>
            </w:pPr>
          </w:p>
        </w:tc>
        <w:tc>
          <w:tcPr>
            <w:tcW w:w="651" w:type="dxa"/>
            <w:vMerge w:val="continue"/>
            <w:vAlign w:val="center"/>
          </w:tcPr>
          <w:p>
            <w:pPr>
              <w:pStyle w:val="42"/>
            </w:pPr>
          </w:p>
        </w:tc>
        <w:tc>
          <w:tcPr>
            <w:tcW w:w="779" w:type="dxa"/>
            <w:vMerge w:val="continue"/>
            <w:vAlign w:val="center"/>
          </w:tcPr>
          <w:p>
            <w:pPr>
              <w:pStyle w:val="42"/>
            </w:pPr>
          </w:p>
        </w:tc>
        <w:tc>
          <w:tcPr>
            <w:tcW w:w="394" w:type="dxa"/>
            <w:vAlign w:val="center"/>
          </w:tcPr>
          <w:p>
            <w:pPr>
              <w:pStyle w:val="42"/>
            </w:pPr>
            <w:r>
              <w:t>编号</w:t>
            </w:r>
          </w:p>
        </w:tc>
        <w:tc>
          <w:tcPr>
            <w:tcW w:w="1166" w:type="dxa"/>
            <w:vAlign w:val="center"/>
          </w:tcPr>
          <w:p>
            <w:pPr>
              <w:pStyle w:val="42"/>
            </w:pPr>
            <w:r>
              <w:t>污染治理设施名称</w:t>
            </w:r>
          </w:p>
        </w:tc>
        <w:tc>
          <w:tcPr>
            <w:tcW w:w="1410" w:type="dxa"/>
            <w:vAlign w:val="center"/>
          </w:tcPr>
          <w:p>
            <w:pPr>
              <w:pStyle w:val="42"/>
            </w:pPr>
            <w:r>
              <w:t>治理设施工艺</w:t>
            </w:r>
          </w:p>
        </w:tc>
        <w:tc>
          <w:tcPr>
            <w:tcW w:w="768" w:type="dxa"/>
            <w:vMerge w:val="continue"/>
            <w:vAlign w:val="center"/>
          </w:tcPr>
          <w:p>
            <w:pPr>
              <w:pStyle w:val="42"/>
            </w:pPr>
          </w:p>
        </w:tc>
        <w:tc>
          <w:tcPr>
            <w:tcW w:w="861" w:type="dxa"/>
            <w:vMerge w:val="continue"/>
            <w:vAlign w:val="center"/>
          </w:tcPr>
          <w:p>
            <w:pPr>
              <w:pStyle w:val="42"/>
            </w:pPr>
          </w:p>
        </w:tc>
        <w:tc>
          <w:tcPr>
            <w:tcW w:w="618"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00" w:hRule="atLeast"/>
          <w:jc w:val="center"/>
        </w:trPr>
        <w:tc>
          <w:tcPr>
            <w:tcW w:w="619" w:type="dxa"/>
            <w:vAlign w:val="center"/>
          </w:tcPr>
          <w:p>
            <w:pPr>
              <w:pStyle w:val="42"/>
            </w:pPr>
            <w:r>
              <w:t>生产废水</w:t>
            </w:r>
          </w:p>
        </w:tc>
        <w:tc>
          <w:tcPr>
            <w:tcW w:w="1096" w:type="dxa"/>
            <w:vAlign w:val="center"/>
          </w:tcPr>
          <w:p>
            <w:pPr>
              <w:pStyle w:val="42"/>
            </w:pPr>
            <w:r>
              <w:t>pH、COD、SS、NH3-N</w:t>
            </w:r>
            <w:r>
              <w:rPr>
                <w:rFonts w:hint="eastAsia"/>
              </w:rPr>
              <w:t>、石油类</w:t>
            </w:r>
          </w:p>
        </w:tc>
        <w:tc>
          <w:tcPr>
            <w:tcW w:w="651" w:type="dxa"/>
            <w:vAlign w:val="center"/>
          </w:tcPr>
          <w:p>
            <w:pPr>
              <w:pStyle w:val="42"/>
            </w:pPr>
            <w:r>
              <w:t>工业废水集中处理厂</w:t>
            </w:r>
          </w:p>
        </w:tc>
        <w:tc>
          <w:tcPr>
            <w:tcW w:w="779" w:type="dxa"/>
            <w:vAlign w:val="center"/>
          </w:tcPr>
          <w:p>
            <w:pPr>
              <w:pStyle w:val="42"/>
            </w:pPr>
            <w:r>
              <w:t>连续排放，流量不稳定，但有规律，且不属于周期性规律</w:t>
            </w:r>
          </w:p>
        </w:tc>
        <w:tc>
          <w:tcPr>
            <w:tcW w:w="394" w:type="dxa"/>
            <w:vAlign w:val="center"/>
          </w:tcPr>
          <w:p>
            <w:pPr>
              <w:pStyle w:val="42"/>
            </w:pPr>
            <w:r>
              <w:rPr>
                <w:rFonts w:hint="eastAsia"/>
              </w:rPr>
              <w:t>1</w:t>
            </w:r>
          </w:p>
        </w:tc>
        <w:tc>
          <w:tcPr>
            <w:tcW w:w="1166" w:type="dxa"/>
            <w:vAlign w:val="center"/>
          </w:tcPr>
          <w:p>
            <w:pPr>
              <w:pStyle w:val="42"/>
            </w:pPr>
            <w:r>
              <w:rPr>
                <w:rFonts w:hint="eastAsia"/>
              </w:rPr>
              <w:t>厂区废水处理站</w:t>
            </w:r>
          </w:p>
        </w:tc>
        <w:tc>
          <w:tcPr>
            <w:tcW w:w="1410" w:type="dxa"/>
            <w:vAlign w:val="center"/>
          </w:tcPr>
          <w:p>
            <w:pPr>
              <w:pStyle w:val="42"/>
            </w:pPr>
            <w:r>
              <w:rPr>
                <w:rFonts w:hint="eastAsia"/>
              </w:rPr>
              <w:t>“调节池+初沉池+SBR生化处理+二沉池”</w:t>
            </w:r>
            <w:r>
              <w:t>工艺</w:t>
            </w:r>
          </w:p>
        </w:tc>
        <w:tc>
          <w:tcPr>
            <w:tcW w:w="768" w:type="dxa"/>
            <w:vAlign w:val="center"/>
          </w:tcPr>
          <w:p>
            <w:pPr>
              <w:pStyle w:val="42"/>
            </w:pPr>
            <w:r>
              <w:t>DW001</w:t>
            </w:r>
          </w:p>
        </w:tc>
        <w:tc>
          <w:tcPr>
            <w:tcW w:w="861" w:type="dxa"/>
            <w:vAlign w:val="center"/>
          </w:tcPr>
          <w:p>
            <w:pPr>
              <w:pStyle w:val="42"/>
            </w:pPr>
            <w:r>
              <w:t>符合</w:t>
            </w:r>
          </w:p>
        </w:tc>
        <w:tc>
          <w:tcPr>
            <w:tcW w:w="618" w:type="dxa"/>
            <w:vAlign w:val="center"/>
          </w:tcPr>
          <w:p>
            <w:pPr>
              <w:pStyle w:val="42"/>
            </w:pPr>
            <w:r>
              <w:t>企业总排放口</w:t>
            </w:r>
          </w:p>
        </w:tc>
      </w:tr>
    </w:tbl>
    <w:p>
      <w:pPr>
        <w:pStyle w:val="41"/>
      </w:pPr>
      <w:r>
        <w:rPr>
          <w:rFonts w:hint="eastAsia"/>
        </w:rPr>
        <w:t>表5.2.2-3  废水间接排放口基本情况表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03"/>
        <w:gridCol w:w="857"/>
        <w:gridCol w:w="875"/>
        <w:gridCol w:w="1028"/>
        <w:gridCol w:w="894"/>
        <w:gridCol w:w="1007"/>
        <w:gridCol w:w="801"/>
        <w:gridCol w:w="990"/>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restart"/>
            <w:vAlign w:val="center"/>
          </w:tcPr>
          <w:p>
            <w:pPr>
              <w:pStyle w:val="42"/>
            </w:pPr>
            <w:r>
              <w:t>排放口</w:t>
            </w:r>
          </w:p>
          <w:p>
            <w:pPr>
              <w:pStyle w:val="42"/>
            </w:pPr>
            <w:r>
              <w:t>编号</w:t>
            </w:r>
          </w:p>
        </w:tc>
        <w:tc>
          <w:tcPr>
            <w:tcW w:w="1732" w:type="dxa"/>
            <w:gridSpan w:val="2"/>
            <w:vAlign w:val="center"/>
          </w:tcPr>
          <w:p>
            <w:pPr>
              <w:pStyle w:val="42"/>
            </w:pPr>
            <w:r>
              <w:t>排放口地理坐标</w:t>
            </w:r>
          </w:p>
        </w:tc>
        <w:tc>
          <w:tcPr>
            <w:tcW w:w="1028" w:type="dxa"/>
            <w:vMerge w:val="restart"/>
            <w:vAlign w:val="center"/>
          </w:tcPr>
          <w:p>
            <w:pPr>
              <w:pStyle w:val="42"/>
            </w:pPr>
            <w:r>
              <w:t>废水</w:t>
            </w:r>
          </w:p>
          <w:p>
            <w:pPr>
              <w:pStyle w:val="42"/>
            </w:pPr>
            <w:r>
              <w:t>排放量</w:t>
            </w:r>
          </w:p>
          <w:p>
            <w:pPr>
              <w:pStyle w:val="42"/>
            </w:pPr>
            <w:r>
              <w:t>（万t/a）</w:t>
            </w:r>
          </w:p>
        </w:tc>
        <w:tc>
          <w:tcPr>
            <w:tcW w:w="894" w:type="dxa"/>
            <w:vMerge w:val="restart"/>
            <w:vAlign w:val="center"/>
          </w:tcPr>
          <w:p>
            <w:pPr>
              <w:pStyle w:val="42"/>
            </w:pPr>
            <w:r>
              <w:t>排放</w:t>
            </w:r>
          </w:p>
          <w:p>
            <w:pPr>
              <w:pStyle w:val="42"/>
            </w:pPr>
            <w:r>
              <w:t>去向</w:t>
            </w:r>
          </w:p>
        </w:tc>
        <w:tc>
          <w:tcPr>
            <w:tcW w:w="1007" w:type="dxa"/>
            <w:vMerge w:val="restart"/>
            <w:vAlign w:val="center"/>
          </w:tcPr>
          <w:p>
            <w:pPr>
              <w:pStyle w:val="42"/>
            </w:pPr>
            <w:r>
              <w:t>排放规律</w:t>
            </w:r>
          </w:p>
        </w:tc>
        <w:tc>
          <w:tcPr>
            <w:tcW w:w="2798" w:type="dxa"/>
            <w:gridSpan w:val="3"/>
            <w:vAlign w:val="center"/>
          </w:tcPr>
          <w:p>
            <w:pPr>
              <w:pStyle w:val="42"/>
            </w:pPr>
            <w: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Align w:val="center"/>
          </w:tcPr>
          <w:p>
            <w:pPr>
              <w:pStyle w:val="42"/>
            </w:pPr>
            <w:r>
              <w:t>经度/°</w:t>
            </w:r>
          </w:p>
        </w:tc>
        <w:tc>
          <w:tcPr>
            <w:tcW w:w="875" w:type="dxa"/>
            <w:vAlign w:val="center"/>
          </w:tcPr>
          <w:p>
            <w:pPr>
              <w:pStyle w:val="42"/>
            </w:pPr>
            <w:r>
              <w:t>纬度/°</w:t>
            </w: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Align w:val="center"/>
          </w:tcPr>
          <w:p>
            <w:pPr>
              <w:pStyle w:val="42"/>
            </w:pPr>
            <w:r>
              <w:t>名称</w:t>
            </w:r>
          </w:p>
        </w:tc>
        <w:tc>
          <w:tcPr>
            <w:tcW w:w="990" w:type="dxa"/>
            <w:vAlign w:val="center"/>
          </w:tcPr>
          <w:p>
            <w:pPr>
              <w:pStyle w:val="42"/>
            </w:pPr>
            <w:r>
              <w:t>污染物</w:t>
            </w:r>
          </w:p>
          <w:p>
            <w:pPr>
              <w:pStyle w:val="42"/>
            </w:pPr>
            <w:r>
              <w:t>种类</w:t>
            </w:r>
          </w:p>
        </w:tc>
        <w:tc>
          <w:tcPr>
            <w:tcW w:w="1007" w:type="dxa"/>
            <w:vAlign w:val="center"/>
          </w:tcPr>
          <w:p>
            <w:pPr>
              <w:pStyle w:val="42"/>
            </w:pPr>
            <w:r>
              <w:t>排放浓度限值（mg/L）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restart"/>
            <w:vAlign w:val="center"/>
          </w:tcPr>
          <w:p>
            <w:pPr>
              <w:pStyle w:val="42"/>
            </w:pPr>
            <w:r>
              <w:t>DW001</w:t>
            </w:r>
          </w:p>
          <w:p>
            <w:pPr>
              <w:pStyle w:val="42"/>
            </w:pPr>
            <w:r>
              <w:t>废水总排口</w:t>
            </w:r>
          </w:p>
        </w:tc>
        <w:tc>
          <w:tcPr>
            <w:tcW w:w="857" w:type="dxa"/>
            <w:vMerge w:val="restart"/>
            <w:vAlign w:val="center"/>
          </w:tcPr>
          <w:p>
            <w:pPr>
              <w:pStyle w:val="42"/>
            </w:pPr>
            <w:r>
              <w:t>E106</w:t>
            </w:r>
            <w:r>
              <w:rPr>
                <w:rFonts w:hint="eastAsia"/>
              </w:rPr>
              <w:t>.98246</w:t>
            </w:r>
          </w:p>
        </w:tc>
        <w:tc>
          <w:tcPr>
            <w:tcW w:w="875" w:type="dxa"/>
            <w:vMerge w:val="restart"/>
            <w:vAlign w:val="center"/>
          </w:tcPr>
          <w:p>
            <w:pPr>
              <w:pStyle w:val="42"/>
            </w:pPr>
            <w:r>
              <w:t>N</w:t>
            </w:r>
            <w:r>
              <w:rPr>
                <w:rFonts w:hint="eastAsia"/>
              </w:rPr>
              <w:t>29.83703</w:t>
            </w:r>
          </w:p>
        </w:tc>
        <w:tc>
          <w:tcPr>
            <w:tcW w:w="1028" w:type="dxa"/>
            <w:vMerge w:val="restart"/>
            <w:vAlign w:val="center"/>
          </w:tcPr>
          <w:p>
            <w:pPr>
              <w:pStyle w:val="42"/>
            </w:pPr>
            <w:r>
              <w:rPr>
                <w:rFonts w:hint="eastAsia"/>
              </w:rPr>
              <w:t>0.4692</w:t>
            </w:r>
          </w:p>
        </w:tc>
        <w:tc>
          <w:tcPr>
            <w:tcW w:w="894" w:type="dxa"/>
            <w:vMerge w:val="restart"/>
            <w:vAlign w:val="center"/>
          </w:tcPr>
          <w:p>
            <w:pPr>
              <w:pStyle w:val="42"/>
            </w:pPr>
            <w:r>
              <w:t>工业废水集中处理厂</w:t>
            </w:r>
          </w:p>
        </w:tc>
        <w:tc>
          <w:tcPr>
            <w:tcW w:w="1007" w:type="dxa"/>
            <w:vMerge w:val="restart"/>
            <w:vAlign w:val="center"/>
          </w:tcPr>
          <w:p>
            <w:pPr>
              <w:pStyle w:val="42"/>
            </w:pPr>
            <w:r>
              <w:t>连续排放，流量不稳定，但有规律，且不属于周期性规律</w:t>
            </w:r>
          </w:p>
        </w:tc>
        <w:tc>
          <w:tcPr>
            <w:tcW w:w="801" w:type="dxa"/>
            <w:vMerge w:val="restart"/>
            <w:vAlign w:val="center"/>
          </w:tcPr>
          <w:p>
            <w:pPr>
              <w:pStyle w:val="42"/>
            </w:pPr>
            <w:r>
              <w:t>中法水务污水处理厂</w:t>
            </w:r>
          </w:p>
        </w:tc>
        <w:tc>
          <w:tcPr>
            <w:tcW w:w="990" w:type="dxa"/>
            <w:vAlign w:val="center"/>
          </w:tcPr>
          <w:p>
            <w:pPr>
              <w:pStyle w:val="42"/>
            </w:pPr>
            <w:r>
              <w:t>pH</w:t>
            </w:r>
          </w:p>
        </w:tc>
        <w:tc>
          <w:tcPr>
            <w:tcW w:w="1007" w:type="dxa"/>
            <w:vAlign w:val="center"/>
          </w:tcPr>
          <w:p>
            <w:pPr>
              <w:pStyle w:val="42"/>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Merge w:val="continue"/>
            <w:vAlign w:val="center"/>
          </w:tcPr>
          <w:p>
            <w:pPr>
              <w:pStyle w:val="42"/>
            </w:pPr>
          </w:p>
        </w:tc>
        <w:tc>
          <w:tcPr>
            <w:tcW w:w="875" w:type="dxa"/>
            <w:vMerge w:val="continue"/>
            <w:vAlign w:val="center"/>
          </w:tcPr>
          <w:p>
            <w:pPr>
              <w:pStyle w:val="42"/>
            </w:pP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Merge w:val="continue"/>
            <w:vAlign w:val="center"/>
          </w:tcPr>
          <w:p>
            <w:pPr>
              <w:pStyle w:val="42"/>
            </w:pPr>
          </w:p>
        </w:tc>
        <w:tc>
          <w:tcPr>
            <w:tcW w:w="990" w:type="dxa"/>
            <w:vAlign w:val="center"/>
          </w:tcPr>
          <w:p>
            <w:pPr>
              <w:pStyle w:val="42"/>
            </w:pPr>
            <w:r>
              <w:t>COD</w:t>
            </w:r>
          </w:p>
        </w:tc>
        <w:tc>
          <w:tcPr>
            <w:tcW w:w="1007" w:type="dxa"/>
            <w:vAlign w:val="center"/>
          </w:tcPr>
          <w:p>
            <w:pPr>
              <w:pStyle w:val="42"/>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Merge w:val="continue"/>
            <w:vAlign w:val="center"/>
          </w:tcPr>
          <w:p>
            <w:pPr>
              <w:pStyle w:val="42"/>
            </w:pPr>
          </w:p>
        </w:tc>
        <w:tc>
          <w:tcPr>
            <w:tcW w:w="875" w:type="dxa"/>
            <w:vMerge w:val="continue"/>
            <w:vAlign w:val="center"/>
          </w:tcPr>
          <w:p>
            <w:pPr>
              <w:pStyle w:val="42"/>
            </w:pP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Merge w:val="continue"/>
            <w:vAlign w:val="center"/>
          </w:tcPr>
          <w:p>
            <w:pPr>
              <w:pStyle w:val="42"/>
            </w:pPr>
          </w:p>
        </w:tc>
        <w:tc>
          <w:tcPr>
            <w:tcW w:w="990" w:type="dxa"/>
            <w:vAlign w:val="center"/>
          </w:tcPr>
          <w:p>
            <w:pPr>
              <w:pStyle w:val="42"/>
            </w:pPr>
            <w:r>
              <w:t>SS</w:t>
            </w:r>
          </w:p>
        </w:tc>
        <w:tc>
          <w:tcPr>
            <w:tcW w:w="1007" w:type="dxa"/>
            <w:vAlign w:val="center"/>
          </w:tcPr>
          <w:p>
            <w:pPr>
              <w:pStyle w:val="42"/>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Merge w:val="continue"/>
            <w:vAlign w:val="center"/>
          </w:tcPr>
          <w:p>
            <w:pPr>
              <w:pStyle w:val="42"/>
            </w:pPr>
          </w:p>
        </w:tc>
        <w:tc>
          <w:tcPr>
            <w:tcW w:w="875" w:type="dxa"/>
            <w:vMerge w:val="continue"/>
            <w:vAlign w:val="center"/>
          </w:tcPr>
          <w:p>
            <w:pPr>
              <w:pStyle w:val="42"/>
            </w:pP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Merge w:val="continue"/>
            <w:vAlign w:val="center"/>
          </w:tcPr>
          <w:p>
            <w:pPr>
              <w:pStyle w:val="42"/>
            </w:pPr>
          </w:p>
        </w:tc>
        <w:tc>
          <w:tcPr>
            <w:tcW w:w="990" w:type="dxa"/>
            <w:vAlign w:val="center"/>
          </w:tcPr>
          <w:p>
            <w:pPr>
              <w:pStyle w:val="42"/>
            </w:pPr>
            <w:r>
              <w:t>BOD</w:t>
            </w:r>
            <w:r>
              <w:rPr>
                <w:vertAlign w:val="subscript"/>
              </w:rPr>
              <w:t>5</w:t>
            </w:r>
          </w:p>
        </w:tc>
        <w:tc>
          <w:tcPr>
            <w:tcW w:w="1007" w:type="dxa"/>
            <w:vAlign w:val="center"/>
          </w:tcPr>
          <w:p>
            <w:pPr>
              <w:pStyle w:val="42"/>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Merge w:val="continue"/>
            <w:vAlign w:val="center"/>
          </w:tcPr>
          <w:p>
            <w:pPr>
              <w:pStyle w:val="42"/>
            </w:pPr>
          </w:p>
        </w:tc>
        <w:tc>
          <w:tcPr>
            <w:tcW w:w="875" w:type="dxa"/>
            <w:vMerge w:val="continue"/>
            <w:vAlign w:val="center"/>
          </w:tcPr>
          <w:p>
            <w:pPr>
              <w:pStyle w:val="42"/>
            </w:pP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Merge w:val="continue"/>
            <w:vAlign w:val="center"/>
          </w:tcPr>
          <w:p>
            <w:pPr>
              <w:pStyle w:val="42"/>
            </w:pPr>
          </w:p>
        </w:tc>
        <w:tc>
          <w:tcPr>
            <w:tcW w:w="990" w:type="dxa"/>
            <w:vAlign w:val="center"/>
          </w:tcPr>
          <w:p>
            <w:pPr>
              <w:pStyle w:val="42"/>
            </w:pPr>
            <w:r>
              <w:t>NH</w:t>
            </w:r>
            <w:r>
              <w:rPr>
                <w:vertAlign w:val="subscript"/>
              </w:rPr>
              <w:t>3</w:t>
            </w:r>
            <w:r>
              <w:t>-N</w:t>
            </w:r>
          </w:p>
        </w:tc>
        <w:tc>
          <w:tcPr>
            <w:tcW w:w="1007" w:type="dxa"/>
            <w:vAlign w:val="center"/>
          </w:tcPr>
          <w:p>
            <w:pPr>
              <w:pStyle w:val="42"/>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03" w:type="dxa"/>
            <w:vMerge w:val="continue"/>
            <w:vAlign w:val="center"/>
          </w:tcPr>
          <w:p>
            <w:pPr>
              <w:pStyle w:val="42"/>
            </w:pPr>
          </w:p>
        </w:tc>
        <w:tc>
          <w:tcPr>
            <w:tcW w:w="857" w:type="dxa"/>
            <w:vMerge w:val="continue"/>
            <w:vAlign w:val="center"/>
          </w:tcPr>
          <w:p>
            <w:pPr>
              <w:pStyle w:val="42"/>
            </w:pPr>
          </w:p>
        </w:tc>
        <w:tc>
          <w:tcPr>
            <w:tcW w:w="875" w:type="dxa"/>
            <w:vMerge w:val="continue"/>
            <w:vAlign w:val="center"/>
          </w:tcPr>
          <w:p>
            <w:pPr>
              <w:pStyle w:val="42"/>
            </w:pPr>
          </w:p>
        </w:tc>
        <w:tc>
          <w:tcPr>
            <w:tcW w:w="1028" w:type="dxa"/>
            <w:vMerge w:val="continue"/>
            <w:vAlign w:val="center"/>
          </w:tcPr>
          <w:p>
            <w:pPr>
              <w:pStyle w:val="42"/>
            </w:pPr>
          </w:p>
        </w:tc>
        <w:tc>
          <w:tcPr>
            <w:tcW w:w="894" w:type="dxa"/>
            <w:vMerge w:val="continue"/>
            <w:vAlign w:val="center"/>
          </w:tcPr>
          <w:p>
            <w:pPr>
              <w:pStyle w:val="42"/>
            </w:pPr>
          </w:p>
        </w:tc>
        <w:tc>
          <w:tcPr>
            <w:tcW w:w="1007" w:type="dxa"/>
            <w:vMerge w:val="continue"/>
            <w:vAlign w:val="center"/>
          </w:tcPr>
          <w:p>
            <w:pPr>
              <w:pStyle w:val="42"/>
            </w:pPr>
          </w:p>
        </w:tc>
        <w:tc>
          <w:tcPr>
            <w:tcW w:w="801" w:type="dxa"/>
            <w:vMerge w:val="continue"/>
            <w:vAlign w:val="center"/>
          </w:tcPr>
          <w:p>
            <w:pPr>
              <w:pStyle w:val="42"/>
            </w:pPr>
          </w:p>
        </w:tc>
        <w:tc>
          <w:tcPr>
            <w:tcW w:w="990" w:type="dxa"/>
            <w:vAlign w:val="center"/>
          </w:tcPr>
          <w:p>
            <w:pPr>
              <w:pStyle w:val="42"/>
            </w:pPr>
            <w:r>
              <w:rPr>
                <w:rFonts w:hint="eastAsia"/>
              </w:rPr>
              <w:t>石油类</w:t>
            </w:r>
          </w:p>
        </w:tc>
        <w:tc>
          <w:tcPr>
            <w:tcW w:w="1007" w:type="dxa"/>
            <w:vAlign w:val="center"/>
          </w:tcPr>
          <w:p>
            <w:pPr>
              <w:pStyle w:val="42"/>
            </w:pPr>
            <w:r>
              <w:rPr>
                <w:rFonts w:hint="eastAsia"/>
              </w:rPr>
              <w:t>3</w:t>
            </w:r>
          </w:p>
        </w:tc>
      </w:tr>
    </w:tbl>
    <w:p>
      <w:pPr>
        <w:pStyle w:val="41"/>
      </w:pPr>
    </w:p>
    <w:p>
      <w:pPr>
        <w:pStyle w:val="41"/>
      </w:pPr>
      <w:r>
        <w:rPr>
          <w:rFonts w:hint="eastAsia"/>
        </w:rPr>
        <w:t>表5.2.2-4  废水污染物排放执行标准表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9"/>
        <w:gridCol w:w="1319"/>
        <w:gridCol w:w="1713"/>
        <w:gridCol w:w="3142"/>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restart"/>
            <w:vAlign w:val="center"/>
          </w:tcPr>
          <w:p>
            <w:pPr>
              <w:pStyle w:val="42"/>
            </w:pPr>
            <w:r>
              <w:t>序号</w:t>
            </w:r>
          </w:p>
        </w:tc>
        <w:tc>
          <w:tcPr>
            <w:tcW w:w="1319" w:type="dxa"/>
            <w:vMerge w:val="restart"/>
            <w:vAlign w:val="center"/>
          </w:tcPr>
          <w:p>
            <w:pPr>
              <w:pStyle w:val="42"/>
            </w:pPr>
            <w:r>
              <w:t>排放口编号</w:t>
            </w:r>
          </w:p>
        </w:tc>
        <w:tc>
          <w:tcPr>
            <w:tcW w:w="1713" w:type="dxa"/>
            <w:vMerge w:val="restart"/>
            <w:vAlign w:val="center"/>
          </w:tcPr>
          <w:p>
            <w:pPr>
              <w:pStyle w:val="42"/>
            </w:pPr>
            <w:r>
              <w:t>污染物种类</w:t>
            </w:r>
          </w:p>
        </w:tc>
        <w:tc>
          <w:tcPr>
            <w:tcW w:w="4571" w:type="dxa"/>
            <w:gridSpan w:val="2"/>
            <w:vAlign w:val="center"/>
          </w:tcPr>
          <w:p>
            <w:pPr>
              <w:pStyle w:val="42"/>
            </w:pPr>
            <w: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Merge w:val="continue"/>
            <w:vAlign w:val="center"/>
          </w:tcPr>
          <w:p>
            <w:pPr>
              <w:pStyle w:val="42"/>
            </w:pPr>
          </w:p>
        </w:tc>
        <w:tc>
          <w:tcPr>
            <w:tcW w:w="3142" w:type="dxa"/>
            <w:vAlign w:val="center"/>
          </w:tcPr>
          <w:p>
            <w:pPr>
              <w:pStyle w:val="42"/>
            </w:pPr>
            <w:r>
              <w:t>名称</w:t>
            </w:r>
          </w:p>
        </w:tc>
        <w:tc>
          <w:tcPr>
            <w:tcW w:w="1429" w:type="dxa"/>
            <w:vAlign w:val="center"/>
          </w:tcPr>
          <w:p>
            <w:pPr>
              <w:pStyle w:val="42"/>
            </w:pPr>
            <w:r>
              <w:t>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restart"/>
            <w:vAlign w:val="center"/>
          </w:tcPr>
          <w:p>
            <w:pPr>
              <w:pStyle w:val="42"/>
            </w:pPr>
            <w:r>
              <w:t>1</w:t>
            </w:r>
          </w:p>
        </w:tc>
        <w:tc>
          <w:tcPr>
            <w:tcW w:w="1319" w:type="dxa"/>
            <w:vMerge w:val="restart"/>
            <w:vAlign w:val="center"/>
          </w:tcPr>
          <w:p>
            <w:pPr>
              <w:pStyle w:val="42"/>
            </w:pPr>
            <w:r>
              <w:t>DW001</w:t>
            </w:r>
          </w:p>
          <w:p>
            <w:pPr>
              <w:pStyle w:val="42"/>
            </w:pPr>
            <w:r>
              <w:t>废水总排口</w:t>
            </w:r>
          </w:p>
        </w:tc>
        <w:tc>
          <w:tcPr>
            <w:tcW w:w="1713" w:type="dxa"/>
            <w:vAlign w:val="center"/>
          </w:tcPr>
          <w:p>
            <w:pPr>
              <w:pStyle w:val="42"/>
            </w:pPr>
            <w:r>
              <w:t>pH</w:t>
            </w:r>
          </w:p>
        </w:tc>
        <w:tc>
          <w:tcPr>
            <w:tcW w:w="3142" w:type="dxa"/>
            <w:vMerge w:val="restart"/>
            <w:vAlign w:val="center"/>
          </w:tcPr>
          <w:p>
            <w:pPr>
              <w:pStyle w:val="42"/>
            </w:pPr>
            <w:r>
              <w:rPr>
                <w:rFonts w:hint="eastAsia"/>
              </w:rPr>
              <w:t>《合成氨工业水污染物排放标准》（GB13458-2013）表2新建企业水污染物排放浓度限值（间接排放）</w:t>
            </w:r>
          </w:p>
        </w:tc>
        <w:tc>
          <w:tcPr>
            <w:tcW w:w="1429" w:type="dxa"/>
            <w:vAlign w:val="center"/>
          </w:tcPr>
          <w:p>
            <w:pPr>
              <w:pStyle w:val="42"/>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Align w:val="center"/>
          </w:tcPr>
          <w:p>
            <w:pPr>
              <w:pStyle w:val="42"/>
            </w:pPr>
            <w:r>
              <w:t>COD</w:t>
            </w:r>
          </w:p>
        </w:tc>
        <w:tc>
          <w:tcPr>
            <w:tcW w:w="3142" w:type="dxa"/>
            <w:vMerge w:val="continue"/>
            <w:vAlign w:val="center"/>
          </w:tcPr>
          <w:p>
            <w:pPr>
              <w:pStyle w:val="42"/>
            </w:pPr>
          </w:p>
        </w:tc>
        <w:tc>
          <w:tcPr>
            <w:tcW w:w="1429" w:type="dxa"/>
            <w:vAlign w:val="center"/>
          </w:tcPr>
          <w:p>
            <w:pPr>
              <w:pStyle w:val="42"/>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Align w:val="center"/>
          </w:tcPr>
          <w:p>
            <w:pPr>
              <w:pStyle w:val="42"/>
            </w:pPr>
            <w:r>
              <w:t>BOD5</w:t>
            </w:r>
          </w:p>
        </w:tc>
        <w:tc>
          <w:tcPr>
            <w:tcW w:w="3142" w:type="dxa"/>
            <w:vMerge w:val="continue"/>
            <w:vAlign w:val="center"/>
          </w:tcPr>
          <w:p>
            <w:pPr>
              <w:pStyle w:val="42"/>
            </w:pPr>
          </w:p>
        </w:tc>
        <w:tc>
          <w:tcPr>
            <w:tcW w:w="1429" w:type="dxa"/>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Align w:val="center"/>
          </w:tcPr>
          <w:p>
            <w:pPr>
              <w:pStyle w:val="42"/>
            </w:pPr>
            <w:r>
              <w:t>SS</w:t>
            </w:r>
          </w:p>
        </w:tc>
        <w:tc>
          <w:tcPr>
            <w:tcW w:w="3142" w:type="dxa"/>
            <w:vMerge w:val="continue"/>
            <w:vAlign w:val="center"/>
          </w:tcPr>
          <w:p>
            <w:pPr>
              <w:pStyle w:val="42"/>
            </w:pPr>
          </w:p>
        </w:tc>
        <w:tc>
          <w:tcPr>
            <w:tcW w:w="1429" w:type="dxa"/>
            <w:vAlign w:val="center"/>
          </w:tcPr>
          <w:p>
            <w:pPr>
              <w:pStyle w:val="42"/>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Align w:val="center"/>
          </w:tcPr>
          <w:p>
            <w:pPr>
              <w:pStyle w:val="42"/>
            </w:pPr>
            <w:r>
              <w:t>石油类</w:t>
            </w:r>
          </w:p>
        </w:tc>
        <w:tc>
          <w:tcPr>
            <w:tcW w:w="3142" w:type="dxa"/>
            <w:vMerge w:val="continue"/>
            <w:vAlign w:val="center"/>
          </w:tcPr>
          <w:p>
            <w:pPr>
              <w:pStyle w:val="42"/>
            </w:pPr>
          </w:p>
        </w:tc>
        <w:tc>
          <w:tcPr>
            <w:tcW w:w="1429" w:type="dxa"/>
            <w:vAlign w:val="center"/>
          </w:tcPr>
          <w:p>
            <w:pPr>
              <w:pStyle w:val="42"/>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9" w:type="dxa"/>
            <w:vMerge w:val="continue"/>
            <w:vAlign w:val="center"/>
          </w:tcPr>
          <w:p>
            <w:pPr>
              <w:pStyle w:val="42"/>
            </w:pPr>
          </w:p>
        </w:tc>
        <w:tc>
          <w:tcPr>
            <w:tcW w:w="1319" w:type="dxa"/>
            <w:vMerge w:val="continue"/>
            <w:vAlign w:val="center"/>
          </w:tcPr>
          <w:p>
            <w:pPr>
              <w:pStyle w:val="42"/>
            </w:pPr>
          </w:p>
        </w:tc>
        <w:tc>
          <w:tcPr>
            <w:tcW w:w="1713" w:type="dxa"/>
            <w:vAlign w:val="center"/>
          </w:tcPr>
          <w:p>
            <w:pPr>
              <w:pStyle w:val="42"/>
            </w:pPr>
            <w:r>
              <w:t>NH3-N</w:t>
            </w:r>
          </w:p>
        </w:tc>
        <w:tc>
          <w:tcPr>
            <w:tcW w:w="3142" w:type="dxa"/>
            <w:vMerge w:val="continue"/>
            <w:vAlign w:val="center"/>
          </w:tcPr>
          <w:p>
            <w:pPr>
              <w:pStyle w:val="42"/>
            </w:pPr>
          </w:p>
        </w:tc>
        <w:tc>
          <w:tcPr>
            <w:tcW w:w="1429" w:type="dxa"/>
            <w:vAlign w:val="center"/>
          </w:tcPr>
          <w:p>
            <w:pPr>
              <w:pStyle w:val="42"/>
            </w:pPr>
            <w:r>
              <w:rPr>
                <w:rFonts w:hint="eastAsia"/>
              </w:rPr>
              <w:t>50</w:t>
            </w:r>
          </w:p>
        </w:tc>
      </w:tr>
    </w:tbl>
    <w:p>
      <w:pPr>
        <w:pStyle w:val="41"/>
      </w:pPr>
      <w:r>
        <w:rPr>
          <w:rFonts w:hint="eastAsia"/>
        </w:rPr>
        <w:t>表5.2.2-5  废水污染物排放信息表（新建项目）</w:t>
      </w:r>
    </w:p>
    <w:tbl>
      <w:tblPr>
        <w:tblStyle w:val="3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20"/>
        <w:gridCol w:w="982"/>
        <w:gridCol w:w="1014"/>
        <w:gridCol w:w="2224"/>
        <w:gridCol w:w="1819"/>
        <w:gridCol w:w="16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Align w:val="center"/>
          </w:tcPr>
          <w:p>
            <w:pPr>
              <w:pStyle w:val="42"/>
            </w:pPr>
            <w:r>
              <w:rPr>
                <w:rFonts w:hint="eastAsia"/>
              </w:rPr>
              <w:t>序号</w:t>
            </w:r>
          </w:p>
        </w:tc>
        <w:tc>
          <w:tcPr>
            <w:tcW w:w="576" w:type="pct"/>
            <w:vAlign w:val="center"/>
          </w:tcPr>
          <w:p>
            <w:pPr>
              <w:pStyle w:val="42"/>
            </w:pPr>
            <w:r>
              <w:rPr>
                <w:rFonts w:hint="eastAsia"/>
              </w:rPr>
              <w:t>排放口编号</w:t>
            </w:r>
          </w:p>
        </w:tc>
        <w:tc>
          <w:tcPr>
            <w:tcW w:w="595" w:type="pct"/>
            <w:vAlign w:val="center"/>
          </w:tcPr>
          <w:p>
            <w:pPr>
              <w:pStyle w:val="42"/>
            </w:pPr>
            <w:r>
              <w:rPr>
                <w:rFonts w:hint="eastAsia"/>
              </w:rPr>
              <w:t>污染物种类</w:t>
            </w:r>
          </w:p>
        </w:tc>
        <w:tc>
          <w:tcPr>
            <w:tcW w:w="1305" w:type="pct"/>
            <w:vAlign w:val="center"/>
          </w:tcPr>
          <w:p>
            <w:pPr>
              <w:pStyle w:val="42"/>
            </w:pPr>
            <w:r>
              <w:rPr>
                <w:rFonts w:hint="eastAsia"/>
              </w:rPr>
              <w:t>排放浓度（</w:t>
            </w:r>
            <w:r>
              <w:t>mg/L</w:t>
            </w:r>
            <w:r>
              <w:rPr>
                <w:rFonts w:hint="eastAsia"/>
              </w:rPr>
              <w:t>）</w:t>
            </w:r>
          </w:p>
        </w:tc>
        <w:tc>
          <w:tcPr>
            <w:tcW w:w="1067" w:type="pct"/>
            <w:vAlign w:val="center"/>
          </w:tcPr>
          <w:p>
            <w:pPr>
              <w:pStyle w:val="42"/>
            </w:pPr>
            <w:r>
              <w:rPr>
                <w:rFonts w:hint="eastAsia"/>
              </w:rPr>
              <w:t>日排放量（</w:t>
            </w:r>
            <w:r>
              <w:t>t/d</w:t>
            </w:r>
            <w:r>
              <w:rPr>
                <w:rFonts w:hint="eastAsia"/>
              </w:rPr>
              <w:t>）</w:t>
            </w:r>
          </w:p>
        </w:tc>
        <w:tc>
          <w:tcPr>
            <w:tcW w:w="976" w:type="pct"/>
            <w:vAlign w:val="center"/>
          </w:tcPr>
          <w:p>
            <w:pPr>
              <w:pStyle w:val="42"/>
            </w:pPr>
            <w:r>
              <w:rPr>
                <w:rFonts w:hint="eastAsia"/>
              </w:rPr>
              <w:t>年排放量（</w:t>
            </w:r>
            <w:r>
              <w:t>t/a</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Merge w:val="restart"/>
            <w:vAlign w:val="center"/>
          </w:tcPr>
          <w:p>
            <w:pPr>
              <w:pStyle w:val="42"/>
            </w:pPr>
            <w:bookmarkStart w:id="121" w:name="_Hlk2676502"/>
            <w:r>
              <w:t>1</w:t>
            </w:r>
          </w:p>
        </w:tc>
        <w:tc>
          <w:tcPr>
            <w:tcW w:w="576" w:type="pct"/>
            <w:vMerge w:val="restart"/>
            <w:vAlign w:val="center"/>
          </w:tcPr>
          <w:p>
            <w:pPr>
              <w:pStyle w:val="42"/>
            </w:pPr>
            <w:r>
              <w:t>DW001</w:t>
            </w:r>
          </w:p>
          <w:p>
            <w:pPr>
              <w:pStyle w:val="42"/>
            </w:pPr>
            <w:r>
              <w:t>废水总排口</w:t>
            </w:r>
          </w:p>
        </w:tc>
        <w:tc>
          <w:tcPr>
            <w:tcW w:w="595" w:type="pct"/>
            <w:vAlign w:val="center"/>
          </w:tcPr>
          <w:p>
            <w:pPr>
              <w:pStyle w:val="42"/>
            </w:pPr>
            <w:r>
              <w:t>COD</w:t>
            </w:r>
          </w:p>
        </w:tc>
        <w:tc>
          <w:tcPr>
            <w:tcW w:w="1305" w:type="pct"/>
            <w:vAlign w:val="center"/>
          </w:tcPr>
          <w:p>
            <w:pPr>
              <w:pStyle w:val="42"/>
            </w:pPr>
            <w:r>
              <w:rPr>
                <w:rFonts w:hint="eastAsia"/>
              </w:rPr>
              <w:t>200</w:t>
            </w:r>
          </w:p>
        </w:tc>
        <w:tc>
          <w:tcPr>
            <w:tcW w:w="1067" w:type="pct"/>
            <w:vAlign w:val="center"/>
          </w:tcPr>
          <w:p>
            <w:pPr>
              <w:pStyle w:val="42"/>
              <w:rPr>
                <w:rFonts w:ascii="宋体" w:hAnsi="宋体" w:cs="宋体"/>
              </w:rPr>
            </w:pPr>
            <w:r>
              <w:rPr>
                <w:rFonts w:hint="eastAsia"/>
              </w:rPr>
              <w:t xml:space="preserve">0.00282 </w:t>
            </w:r>
          </w:p>
        </w:tc>
        <w:tc>
          <w:tcPr>
            <w:tcW w:w="976" w:type="pct"/>
            <w:vAlign w:val="bottom"/>
          </w:tcPr>
          <w:p>
            <w:pPr>
              <w:pStyle w:val="42"/>
              <w:rPr>
                <w:rFonts w:ascii="宋体" w:hAnsi="宋体" w:cs="宋体"/>
              </w:rPr>
            </w:pPr>
            <w:r>
              <w:rPr>
                <w:rFonts w:hint="eastAsia"/>
              </w:rPr>
              <w:t xml:space="preserve">0.938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Merge w:val="continue"/>
            <w:vAlign w:val="center"/>
          </w:tcPr>
          <w:p>
            <w:pPr>
              <w:pStyle w:val="42"/>
            </w:pPr>
          </w:p>
        </w:tc>
        <w:tc>
          <w:tcPr>
            <w:tcW w:w="576" w:type="pct"/>
            <w:vMerge w:val="continue"/>
            <w:vAlign w:val="center"/>
          </w:tcPr>
          <w:p>
            <w:pPr>
              <w:pStyle w:val="42"/>
            </w:pPr>
          </w:p>
        </w:tc>
        <w:tc>
          <w:tcPr>
            <w:tcW w:w="595" w:type="pct"/>
            <w:vAlign w:val="center"/>
          </w:tcPr>
          <w:p>
            <w:pPr>
              <w:pStyle w:val="42"/>
            </w:pPr>
            <w:r>
              <w:t>BOD</w:t>
            </w:r>
            <w:r>
              <w:rPr>
                <w:vertAlign w:val="subscript"/>
              </w:rPr>
              <w:t>5</w:t>
            </w:r>
          </w:p>
        </w:tc>
        <w:tc>
          <w:tcPr>
            <w:tcW w:w="1305" w:type="pct"/>
            <w:vAlign w:val="center"/>
          </w:tcPr>
          <w:p>
            <w:pPr>
              <w:pStyle w:val="42"/>
            </w:pPr>
            <w:r>
              <w:rPr>
                <w:rFonts w:hint="eastAsia"/>
              </w:rPr>
              <w:t>--</w:t>
            </w:r>
          </w:p>
        </w:tc>
        <w:tc>
          <w:tcPr>
            <w:tcW w:w="1067" w:type="pct"/>
            <w:vAlign w:val="center"/>
          </w:tcPr>
          <w:p>
            <w:pPr>
              <w:pStyle w:val="42"/>
              <w:rPr>
                <w:rFonts w:ascii="宋体" w:hAnsi="宋体" w:cs="宋体"/>
              </w:rPr>
            </w:pPr>
            <w:r>
              <w:rPr>
                <w:rFonts w:hint="eastAsia"/>
              </w:rPr>
              <w:t xml:space="preserve">0.00141 </w:t>
            </w:r>
          </w:p>
        </w:tc>
        <w:tc>
          <w:tcPr>
            <w:tcW w:w="976" w:type="pct"/>
            <w:vAlign w:val="bottom"/>
          </w:tcPr>
          <w:p>
            <w:pPr>
              <w:pStyle w:val="42"/>
              <w:rPr>
                <w:rFonts w:ascii="宋体" w:hAnsi="宋体" w:cs="宋体"/>
              </w:rPr>
            </w:pPr>
            <w:r>
              <w:rPr>
                <w:rFonts w:hint="eastAsia"/>
              </w:rPr>
              <w:t xml:space="preserve">0.469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Merge w:val="continue"/>
            <w:vAlign w:val="center"/>
          </w:tcPr>
          <w:p>
            <w:pPr>
              <w:pStyle w:val="42"/>
            </w:pPr>
          </w:p>
        </w:tc>
        <w:tc>
          <w:tcPr>
            <w:tcW w:w="576" w:type="pct"/>
            <w:vMerge w:val="continue"/>
            <w:vAlign w:val="center"/>
          </w:tcPr>
          <w:p>
            <w:pPr>
              <w:pStyle w:val="42"/>
            </w:pPr>
          </w:p>
        </w:tc>
        <w:tc>
          <w:tcPr>
            <w:tcW w:w="595" w:type="pct"/>
            <w:vAlign w:val="center"/>
          </w:tcPr>
          <w:p>
            <w:pPr>
              <w:pStyle w:val="42"/>
            </w:pPr>
            <w:r>
              <w:t>SS</w:t>
            </w:r>
          </w:p>
        </w:tc>
        <w:tc>
          <w:tcPr>
            <w:tcW w:w="1305" w:type="pct"/>
            <w:vAlign w:val="center"/>
          </w:tcPr>
          <w:p>
            <w:pPr>
              <w:pStyle w:val="42"/>
            </w:pPr>
            <w:r>
              <w:rPr>
                <w:rFonts w:hint="eastAsia"/>
              </w:rPr>
              <w:t>100</w:t>
            </w:r>
          </w:p>
        </w:tc>
        <w:tc>
          <w:tcPr>
            <w:tcW w:w="1067" w:type="pct"/>
            <w:vAlign w:val="center"/>
          </w:tcPr>
          <w:p>
            <w:pPr>
              <w:pStyle w:val="42"/>
              <w:rPr>
                <w:rFonts w:ascii="宋体" w:hAnsi="宋体" w:cs="宋体"/>
              </w:rPr>
            </w:pPr>
            <w:r>
              <w:rPr>
                <w:rFonts w:hint="eastAsia"/>
              </w:rPr>
              <w:t xml:space="preserve">0.00141 </w:t>
            </w:r>
          </w:p>
        </w:tc>
        <w:tc>
          <w:tcPr>
            <w:tcW w:w="976" w:type="pct"/>
            <w:vAlign w:val="bottom"/>
          </w:tcPr>
          <w:p>
            <w:pPr>
              <w:pStyle w:val="42"/>
              <w:rPr>
                <w:rFonts w:ascii="宋体" w:hAnsi="宋体" w:cs="宋体"/>
              </w:rPr>
            </w:pPr>
            <w:r>
              <w:rPr>
                <w:rFonts w:hint="eastAsia"/>
              </w:rPr>
              <w:t xml:space="preserve">0.469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Merge w:val="continue"/>
            <w:vAlign w:val="center"/>
          </w:tcPr>
          <w:p>
            <w:pPr>
              <w:pStyle w:val="42"/>
            </w:pPr>
          </w:p>
        </w:tc>
        <w:tc>
          <w:tcPr>
            <w:tcW w:w="576" w:type="pct"/>
            <w:vMerge w:val="continue"/>
            <w:vAlign w:val="center"/>
          </w:tcPr>
          <w:p>
            <w:pPr>
              <w:pStyle w:val="42"/>
            </w:pPr>
          </w:p>
        </w:tc>
        <w:tc>
          <w:tcPr>
            <w:tcW w:w="595" w:type="pct"/>
            <w:vAlign w:val="center"/>
          </w:tcPr>
          <w:p>
            <w:pPr>
              <w:pStyle w:val="42"/>
            </w:pPr>
            <w:r>
              <w:t>石油类</w:t>
            </w:r>
          </w:p>
        </w:tc>
        <w:tc>
          <w:tcPr>
            <w:tcW w:w="1305" w:type="pct"/>
            <w:vAlign w:val="center"/>
          </w:tcPr>
          <w:p>
            <w:pPr>
              <w:pStyle w:val="42"/>
            </w:pPr>
            <w:r>
              <w:rPr>
                <w:rFonts w:hint="eastAsia"/>
              </w:rPr>
              <w:t>3</w:t>
            </w:r>
          </w:p>
        </w:tc>
        <w:tc>
          <w:tcPr>
            <w:tcW w:w="1067" w:type="pct"/>
            <w:vAlign w:val="center"/>
          </w:tcPr>
          <w:p>
            <w:pPr>
              <w:pStyle w:val="42"/>
              <w:rPr>
                <w:rFonts w:ascii="宋体" w:hAnsi="宋体" w:cs="宋体"/>
              </w:rPr>
            </w:pPr>
            <w:r>
              <w:rPr>
                <w:rFonts w:hint="eastAsia"/>
              </w:rPr>
              <w:t xml:space="preserve">0.00002 </w:t>
            </w:r>
          </w:p>
        </w:tc>
        <w:tc>
          <w:tcPr>
            <w:tcW w:w="976" w:type="pct"/>
            <w:vAlign w:val="bottom"/>
          </w:tcPr>
          <w:p>
            <w:pPr>
              <w:pStyle w:val="42"/>
              <w:rPr>
                <w:rFonts w:ascii="宋体" w:hAnsi="宋体" w:cs="宋体"/>
              </w:rPr>
            </w:pPr>
            <w:r>
              <w:rPr>
                <w:rFonts w:hint="eastAsia"/>
              </w:rPr>
              <w:t xml:space="preserve">0.007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481" w:type="pct"/>
            <w:vMerge w:val="continue"/>
            <w:vAlign w:val="center"/>
          </w:tcPr>
          <w:p>
            <w:pPr>
              <w:pStyle w:val="42"/>
            </w:pPr>
          </w:p>
        </w:tc>
        <w:tc>
          <w:tcPr>
            <w:tcW w:w="576" w:type="pct"/>
            <w:vMerge w:val="continue"/>
            <w:vAlign w:val="center"/>
          </w:tcPr>
          <w:p>
            <w:pPr>
              <w:pStyle w:val="42"/>
            </w:pPr>
          </w:p>
        </w:tc>
        <w:tc>
          <w:tcPr>
            <w:tcW w:w="595" w:type="pct"/>
            <w:vAlign w:val="center"/>
          </w:tcPr>
          <w:p>
            <w:pPr>
              <w:pStyle w:val="42"/>
            </w:pPr>
            <w:r>
              <w:t>NH</w:t>
            </w:r>
            <w:r>
              <w:rPr>
                <w:vertAlign w:val="subscript"/>
              </w:rPr>
              <w:t>3</w:t>
            </w:r>
            <w:r>
              <w:t>-N</w:t>
            </w:r>
          </w:p>
        </w:tc>
        <w:tc>
          <w:tcPr>
            <w:tcW w:w="1305" w:type="pct"/>
            <w:vAlign w:val="center"/>
          </w:tcPr>
          <w:p>
            <w:pPr>
              <w:pStyle w:val="42"/>
            </w:pPr>
            <w:r>
              <w:rPr>
                <w:rFonts w:hint="eastAsia"/>
              </w:rPr>
              <w:t>50</w:t>
            </w:r>
          </w:p>
        </w:tc>
        <w:tc>
          <w:tcPr>
            <w:tcW w:w="1067" w:type="pct"/>
            <w:vAlign w:val="center"/>
          </w:tcPr>
          <w:p>
            <w:pPr>
              <w:pStyle w:val="42"/>
              <w:rPr>
                <w:rFonts w:ascii="宋体" w:hAnsi="宋体" w:cs="宋体"/>
              </w:rPr>
            </w:pPr>
            <w:r>
              <w:rPr>
                <w:rFonts w:hint="eastAsia"/>
              </w:rPr>
              <w:t xml:space="preserve">0.00072 </w:t>
            </w:r>
          </w:p>
        </w:tc>
        <w:tc>
          <w:tcPr>
            <w:tcW w:w="976" w:type="pct"/>
            <w:vAlign w:val="bottom"/>
          </w:tcPr>
          <w:p>
            <w:pPr>
              <w:pStyle w:val="42"/>
              <w:rPr>
                <w:rFonts w:ascii="宋体" w:hAnsi="宋体" w:cs="宋体"/>
              </w:rPr>
            </w:pPr>
            <w:r>
              <w:rPr>
                <w:rFonts w:hint="eastAsia"/>
              </w:rPr>
              <w:t xml:space="preserve">0.240 </w:t>
            </w:r>
          </w:p>
        </w:tc>
      </w:tr>
      <w:bookmarkEnd w:id="121"/>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1057" w:type="pct"/>
            <w:gridSpan w:val="2"/>
            <w:vMerge w:val="restart"/>
            <w:vAlign w:val="center"/>
          </w:tcPr>
          <w:p>
            <w:pPr>
              <w:pStyle w:val="42"/>
            </w:pPr>
            <w:r>
              <w:rPr>
                <w:rFonts w:hint="eastAsia"/>
              </w:rPr>
              <w:t>全厂排放口</w:t>
            </w:r>
          </w:p>
          <w:p>
            <w:pPr>
              <w:pStyle w:val="42"/>
            </w:pPr>
            <w:r>
              <w:rPr>
                <w:rFonts w:hint="eastAsia"/>
              </w:rPr>
              <w:t>合计</w:t>
            </w:r>
          </w:p>
        </w:tc>
        <w:tc>
          <w:tcPr>
            <w:tcW w:w="2967" w:type="pct"/>
            <w:gridSpan w:val="3"/>
            <w:vAlign w:val="center"/>
          </w:tcPr>
          <w:p>
            <w:pPr>
              <w:pStyle w:val="42"/>
            </w:pPr>
            <w:r>
              <w:t>COD</w:t>
            </w:r>
          </w:p>
        </w:tc>
        <w:tc>
          <w:tcPr>
            <w:tcW w:w="976" w:type="pct"/>
            <w:vAlign w:val="bottom"/>
          </w:tcPr>
          <w:p>
            <w:pPr>
              <w:pStyle w:val="42"/>
              <w:rPr>
                <w:rFonts w:ascii="宋体" w:hAnsi="宋体" w:cs="宋体"/>
              </w:rPr>
            </w:pPr>
            <w:r>
              <w:rPr>
                <w:rFonts w:hint="eastAsia"/>
              </w:rPr>
              <w:t xml:space="preserve">0.938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1057" w:type="pct"/>
            <w:gridSpan w:val="2"/>
            <w:vMerge w:val="continue"/>
            <w:vAlign w:val="center"/>
          </w:tcPr>
          <w:p>
            <w:pPr>
              <w:pStyle w:val="42"/>
            </w:pPr>
          </w:p>
        </w:tc>
        <w:tc>
          <w:tcPr>
            <w:tcW w:w="2967" w:type="pct"/>
            <w:gridSpan w:val="3"/>
            <w:vAlign w:val="center"/>
          </w:tcPr>
          <w:p>
            <w:pPr>
              <w:pStyle w:val="42"/>
            </w:pPr>
            <w:r>
              <w:t>BOD</w:t>
            </w:r>
            <w:r>
              <w:rPr>
                <w:vertAlign w:val="subscript"/>
              </w:rPr>
              <w:t>5</w:t>
            </w:r>
          </w:p>
        </w:tc>
        <w:tc>
          <w:tcPr>
            <w:tcW w:w="976" w:type="pct"/>
            <w:vAlign w:val="bottom"/>
          </w:tcPr>
          <w:p>
            <w:pPr>
              <w:pStyle w:val="42"/>
              <w:rPr>
                <w:rFonts w:ascii="宋体" w:hAnsi="宋体" w:cs="宋体"/>
              </w:rPr>
            </w:pPr>
            <w:r>
              <w:rPr>
                <w:rFonts w:hint="eastAsia"/>
              </w:rPr>
              <w:t xml:space="preserve">0.469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1057" w:type="pct"/>
            <w:gridSpan w:val="2"/>
            <w:vMerge w:val="continue"/>
            <w:vAlign w:val="center"/>
          </w:tcPr>
          <w:p>
            <w:pPr>
              <w:pStyle w:val="42"/>
            </w:pPr>
          </w:p>
        </w:tc>
        <w:tc>
          <w:tcPr>
            <w:tcW w:w="2967" w:type="pct"/>
            <w:gridSpan w:val="3"/>
            <w:vAlign w:val="center"/>
          </w:tcPr>
          <w:p>
            <w:pPr>
              <w:pStyle w:val="42"/>
            </w:pPr>
            <w:r>
              <w:t>SS</w:t>
            </w:r>
          </w:p>
        </w:tc>
        <w:tc>
          <w:tcPr>
            <w:tcW w:w="976" w:type="pct"/>
            <w:vAlign w:val="bottom"/>
          </w:tcPr>
          <w:p>
            <w:pPr>
              <w:pStyle w:val="42"/>
              <w:rPr>
                <w:rFonts w:ascii="宋体" w:hAnsi="宋体" w:cs="宋体"/>
              </w:rPr>
            </w:pPr>
            <w:r>
              <w:rPr>
                <w:rFonts w:hint="eastAsia"/>
              </w:rPr>
              <w:t xml:space="preserve">0.469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1057" w:type="pct"/>
            <w:gridSpan w:val="2"/>
            <w:vMerge w:val="continue"/>
            <w:vAlign w:val="center"/>
          </w:tcPr>
          <w:p>
            <w:pPr>
              <w:pStyle w:val="42"/>
            </w:pPr>
          </w:p>
        </w:tc>
        <w:tc>
          <w:tcPr>
            <w:tcW w:w="2967" w:type="pct"/>
            <w:gridSpan w:val="3"/>
            <w:vAlign w:val="center"/>
          </w:tcPr>
          <w:p>
            <w:pPr>
              <w:pStyle w:val="42"/>
            </w:pPr>
            <w:r>
              <w:t>石油类</w:t>
            </w:r>
          </w:p>
        </w:tc>
        <w:tc>
          <w:tcPr>
            <w:tcW w:w="976" w:type="pct"/>
            <w:vAlign w:val="bottom"/>
          </w:tcPr>
          <w:p>
            <w:pPr>
              <w:pStyle w:val="42"/>
              <w:rPr>
                <w:rFonts w:ascii="宋体" w:hAnsi="宋体" w:cs="宋体"/>
              </w:rPr>
            </w:pPr>
            <w:r>
              <w:rPr>
                <w:rFonts w:hint="eastAsia"/>
              </w:rPr>
              <w:t xml:space="preserve">0.007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6" w:hRule="atLeast"/>
          <w:jc w:val="center"/>
        </w:trPr>
        <w:tc>
          <w:tcPr>
            <w:tcW w:w="1057" w:type="pct"/>
            <w:gridSpan w:val="2"/>
            <w:vMerge w:val="continue"/>
            <w:vAlign w:val="center"/>
          </w:tcPr>
          <w:p>
            <w:pPr>
              <w:pStyle w:val="42"/>
            </w:pPr>
          </w:p>
        </w:tc>
        <w:tc>
          <w:tcPr>
            <w:tcW w:w="2967" w:type="pct"/>
            <w:gridSpan w:val="3"/>
            <w:vAlign w:val="center"/>
          </w:tcPr>
          <w:p>
            <w:pPr>
              <w:pStyle w:val="42"/>
            </w:pPr>
            <w:r>
              <w:t>NH</w:t>
            </w:r>
            <w:r>
              <w:rPr>
                <w:vertAlign w:val="subscript"/>
              </w:rPr>
              <w:t>3</w:t>
            </w:r>
            <w:r>
              <w:t>-N</w:t>
            </w:r>
          </w:p>
        </w:tc>
        <w:tc>
          <w:tcPr>
            <w:tcW w:w="976" w:type="pct"/>
            <w:vAlign w:val="bottom"/>
          </w:tcPr>
          <w:p>
            <w:pPr>
              <w:pStyle w:val="42"/>
              <w:rPr>
                <w:rFonts w:ascii="宋体" w:hAnsi="宋体" w:cs="宋体"/>
              </w:rPr>
            </w:pPr>
            <w:r>
              <w:rPr>
                <w:rFonts w:hint="eastAsia"/>
              </w:rPr>
              <w:t xml:space="preserve">0.240 </w:t>
            </w:r>
          </w:p>
        </w:tc>
      </w:tr>
    </w:tbl>
    <w:p>
      <w:pPr>
        <w:pStyle w:val="41"/>
      </w:pPr>
      <w:r>
        <w:rPr>
          <w:rFonts w:hint="eastAsia"/>
        </w:rPr>
        <w:t>表5.2.2-6 环境监测计划及记录信息表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95"/>
        <w:gridCol w:w="722"/>
        <w:gridCol w:w="968"/>
        <w:gridCol w:w="554"/>
        <w:gridCol w:w="624"/>
        <w:gridCol w:w="1114"/>
        <w:gridCol w:w="528"/>
        <w:gridCol w:w="528"/>
        <w:gridCol w:w="806"/>
        <w:gridCol w:w="743"/>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shd w:val="clear" w:color="auto" w:fill="auto"/>
            <w:vAlign w:val="center"/>
          </w:tcPr>
          <w:p>
            <w:pPr>
              <w:pStyle w:val="42"/>
            </w:pPr>
            <w:r>
              <w:t>序号</w:t>
            </w:r>
          </w:p>
        </w:tc>
        <w:tc>
          <w:tcPr>
            <w:tcW w:w="432" w:type="pct"/>
            <w:shd w:val="clear" w:color="auto" w:fill="auto"/>
            <w:vAlign w:val="center"/>
          </w:tcPr>
          <w:p>
            <w:pPr>
              <w:pStyle w:val="42"/>
            </w:pPr>
            <w:r>
              <w:t>排放口编号</w:t>
            </w:r>
          </w:p>
        </w:tc>
        <w:tc>
          <w:tcPr>
            <w:tcW w:w="579" w:type="pct"/>
            <w:shd w:val="clear" w:color="auto" w:fill="auto"/>
            <w:vAlign w:val="center"/>
          </w:tcPr>
          <w:p>
            <w:pPr>
              <w:pStyle w:val="42"/>
            </w:pPr>
            <w:r>
              <w:t>污染物</w:t>
            </w:r>
          </w:p>
          <w:p>
            <w:pPr>
              <w:pStyle w:val="42"/>
            </w:pPr>
            <w:r>
              <w:t>名称</w:t>
            </w:r>
          </w:p>
        </w:tc>
        <w:tc>
          <w:tcPr>
            <w:tcW w:w="331" w:type="pct"/>
            <w:shd w:val="clear" w:color="auto" w:fill="auto"/>
            <w:vAlign w:val="center"/>
          </w:tcPr>
          <w:p>
            <w:pPr>
              <w:pStyle w:val="42"/>
            </w:pPr>
            <w:r>
              <w:t>监测设施</w:t>
            </w:r>
          </w:p>
        </w:tc>
        <w:tc>
          <w:tcPr>
            <w:tcW w:w="373" w:type="pct"/>
            <w:shd w:val="clear" w:color="auto" w:fill="auto"/>
            <w:vAlign w:val="center"/>
          </w:tcPr>
          <w:p>
            <w:pPr>
              <w:pStyle w:val="42"/>
            </w:pPr>
            <w:r>
              <w:t>自动监测设施安装位置</w:t>
            </w:r>
          </w:p>
        </w:tc>
        <w:tc>
          <w:tcPr>
            <w:tcW w:w="666" w:type="pct"/>
            <w:shd w:val="clear" w:color="auto" w:fill="auto"/>
            <w:vAlign w:val="center"/>
          </w:tcPr>
          <w:p>
            <w:pPr>
              <w:pStyle w:val="42"/>
            </w:pPr>
            <w:r>
              <w:t>自动监测设施的安装、运行、维护等相关管理要求</w:t>
            </w:r>
          </w:p>
        </w:tc>
        <w:tc>
          <w:tcPr>
            <w:tcW w:w="316" w:type="pct"/>
            <w:shd w:val="clear" w:color="auto" w:fill="auto"/>
            <w:vAlign w:val="center"/>
          </w:tcPr>
          <w:p>
            <w:pPr>
              <w:pStyle w:val="42"/>
            </w:pPr>
            <w:r>
              <w:t>自动监测是否联网</w:t>
            </w:r>
          </w:p>
        </w:tc>
        <w:tc>
          <w:tcPr>
            <w:tcW w:w="316" w:type="pct"/>
            <w:shd w:val="clear" w:color="auto" w:fill="auto"/>
            <w:vAlign w:val="center"/>
          </w:tcPr>
          <w:p>
            <w:pPr>
              <w:pStyle w:val="42"/>
            </w:pPr>
            <w:r>
              <w:t>自动检测仪器名称</w:t>
            </w:r>
          </w:p>
        </w:tc>
        <w:tc>
          <w:tcPr>
            <w:tcW w:w="482" w:type="pct"/>
            <w:shd w:val="clear" w:color="auto" w:fill="auto"/>
            <w:vAlign w:val="center"/>
          </w:tcPr>
          <w:p>
            <w:pPr>
              <w:pStyle w:val="42"/>
            </w:pPr>
            <w:r>
              <w:t>手工监测采样方法及个数</w:t>
            </w:r>
          </w:p>
        </w:tc>
        <w:tc>
          <w:tcPr>
            <w:tcW w:w="444" w:type="pct"/>
            <w:shd w:val="clear" w:color="auto" w:fill="auto"/>
            <w:vAlign w:val="center"/>
          </w:tcPr>
          <w:p>
            <w:pPr>
              <w:pStyle w:val="42"/>
            </w:pPr>
            <w:r>
              <w:t>手工监测频次</w:t>
            </w:r>
          </w:p>
        </w:tc>
        <w:tc>
          <w:tcPr>
            <w:tcW w:w="825" w:type="pct"/>
            <w:shd w:val="clear" w:color="auto" w:fill="auto"/>
            <w:vAlign w:val="center"/>
          </w:tcPr>
          <w:p>
            <w:pPr>
              <w:pStyle w:val="42"/>
            </w:pPr>
            <w: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restart"/>
            <w:shd w:val="clear" w:color="auto" w:fill="auto"/>
            <w:vAlign w:val="center"/>
          </w:tcPr>
          <w:p>
            <w:pPr>
              <w:pStyle w:val="42"/>
            </w:pPr>
            <w:r>
              <w:t>1</w:t>
            </w:r>
          </w:p>
        </w:tc>
        <w:tc>
          <w:tcPr>
            <w:tcW w:w="432" w:type="pct"/>
            <w:vMerge w:val="restart"/>
            <w:shd w:val="clear" w:color="auto" w:fill="auto"/>
            <w:vAlign w:val="center"/>
          </w:tcPr>
          <w:p>
            <w:pPr>
              <w:pStyle w:val="42"/>
            </w:pPr>
            <w:r>
              <w:t>DW001</w:t>
            </w:r>
          </w:p>
          <w:p>
            <w:pPr>
              <w:pStyle w:val="42"/>
            </w:pPr>
            <w:r>
              <w:t>废水总排口</w:t>
            </w:r>
          </w:p>
        </w:tc>
        <w:tc>
          <w:tcPr>
            <w:tcW w:w="579" w:type="pct"/>
            <w:shd w:val="clear" w:color="auto" w:fill="auto"/>
            <w:vAlign w:val="center"/>
          </w:tcPr>
          <w:p>
            <w:pPr>
              <w:pStyle w:val="42"/>
            </w:pPr>
            <w:r>
              <w:t>pH</w:t>
            </w:r>
          </w:p>
        </w:tc>
        <w:tc>
          <w:tcPr>
            <w:tcW w:w="331" w:type="pct"/>
            <w:vMerge w:val="restart"/>
            <w:shd w:val="clear" w:color="auto" w:fill="auto"/>
            <w:vAlign w:val="center"/>
          </w:tcPr>
          <w:p>
            <w:pPr>
              <w:pStyle w:val="42"/>
            </w:pPr>
            <w:r>
              <w:t>自动</w:t>
            </w:r>
          </w:p>
          <w:p>
            <w:pPr>
              <w:pStyle w:val="42"/>
            </w:pPr>
            <w:r>
              <w:t>手动</w:t>
            </w:r>
          </w:p>
        </w:tc>
        <w:tc>
          <w:tcPr>
            <w:tcW w:w="373" w:type="pct"/>
            <w:vMerge w:val="restart"/>
            <w:shd w:val="clear" w:color="auto" w:fill="auto"/>
            <w:vAlign w:val="center"/>
          </w:tcPr>
          <w:p>
            <w:pPr>
              <w:pStyle w:val="42"/>
            </w:pPr>
            <w:r>
              <w:t>全厂废水总排口</w:t>
            </w:r>
          </w:p>
        </w:tc>
        <w:tc>
          <w:tcPr>
            <w:tcW w:w="666" w:type="pct"/>
            <w:vMerge w:val="restart"/>
            <w:shd w:val="clear" w:color="auto" w:fill="auto"/>
            <w:vAlign w:val="center"/>
          </w:tcPr>
          <w:p>
            <w:pPr>
              <w:pStyle w:val="42"/>
            </w:pPr>
            <w:r>
              <w:t>定期维护确保正常运行</w:t>
            </w:r>
          </w:p>
        </w:tc>
        <w:tc>
          <w:tcPr>
            <w:tcW w:w="316" w:type="pct"/>
            <w:vMerge w:val="restart"/>
            <w:shd w:val="clear" w:color="auto" w:fill="auto"/>
            <w:vAlign w:val="center"/>
          </w:tcPr>
          <w:p>
            <w:pPr>
              <w:pStyle w:val="42"/>
            </w:pPr>
            <w:r>
              <w:t>是</w:t>
            </w:r>
          </w:p>
        </w:tc>
        <w:tc>
          <w:tcPr>
            <w:tcW w:w="316" w:type="pct"/>
            <w:vMerge w:val="restart"/>
            <w:shd w:val="clear" w:color="auto" w:fill="auto"/>
            <w:vAlign w:val="center"/>
          </w:tcPr>
          <w:p>
            <w:pPr>
              <w:pStyle w:val="42"/>
            </w:pPr>
            <w:r>
              <w:t>/</w:t>
            </w:r>
          </w:p>
        </w:tc>
        <w:tc>
          <w:tcPr>
            <w:tcW w:w="482" w:type="pct"/>
            <w:vMerge w:val="restart"/>
            <w:shd w:val="clear" w:color="auto" w:fill="auto"/>
            <w:vAlign w:val="center"/>
          </w:tcPr>
          <w:p>
            <w:pPr>
              <w:pStyle w:val="42"/>
            </w:pPr>
            <w:r>
              <w:t>瞬时</w:t>
            </w:r>
          </w:p>
          <w:p>
            <w:pPr>
              <w:pStyle w:val="42"/>
            </w:pPr>
            <w:r>
              <w:t>采样</w:t>
            </w:r>
          </w:p>
        </w:tc>
        <w:tc>
          <w:tcPr>
            <w:tcW w:w="444" w:type="pct"/>
            <w:vMerge w:val="restart"/>
            <w:shd w:val="clear" w:color="auto" w:fill="auto"/>
            <w:vAlign w:val="center"/>
          </w:tcPr>
          <w:p>
            <w:pPr>
              <w:pStyle w:val="42"/>
            </w:pPr>
            <w:r>
              <w:t>1次/月</w:t>
            </w:r>
          </w:p>
        </w:tc>
        <w:tc>
          <w:tcPr>
            <w:tcW w:w="825" w:type="pct"/>
            <w:shd w:val="clear" w:color="auto" w:fill="auto"/>
            <w:vAlign w:val="center"/>
          </w:tcPr>
          <w:p>
            <w:pPr>
              <w:pStyle w:val="42"/>
            </w:pPr>
            <w:r>
              <w:t>便携式pH计法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continue"/>
            <w:shd w:val="clear" w:color="auto" w:fill="auto"/>
            <w:vAlign w:val="center"/>
          </w:tcPr>
          <w:p>
            <w:pPr>
              <w:pStyle w:val="42"/>
            </w:pPr>
          </w:p>
        </w:tc>
        <w:tc>
          <w:tcPr>
            <w:tcW w:w="432" w:type="pct"/>
            <w:vMerge w:val="continue"/>
            <w:shd w:val="clear" w:color="auto" w:fill="auto"/>
            <w:vAlign w:val="center"/>
          </w:tcPr>
          <w:p>
            <w:pPr>
              <w:pStyle w:val="42"/>
            </w:pPr>
          </w:p>
        </w:tc>
        <w:tc>
          <w:tcPr>
            <w:tcW w:w="579" w:type="pct"/>
            <w:shd w:val="clear" w:color="auto" w:fill="auto"/>
            <w:vAlign w:val="center"/>
          </w:tcPr>
          <w:p>
            <w:pPr>
              <w:pStyle w:val="42"/>
            </w:pPr>
            <w:r>
              <w:t>COD</w:t>
            </w:r>
          </w:p>
        </w:tc>
        <w:tc>
          <w:tcPr>
            <w:tcW w:w="331" w:type="pct"/>
            <w:vMerge w:val="continue"/>
            <w:shd w:val="clear" w:color="auto" w:fill="auto"/>
            <w:vAlign w:val="center"/>
          </w:tcPr>
          <w:p>
            <w:pPr>
              <w:pStyle w:val="42"/>
            </w:pPr>
          </w:p>
        </w:tc>
        <w:tc>
          <w:tcPr>
            <w:tcW w:w="373" w:type="pct"/>
            <w:vMerge w:val="continue"/>
            <w:shd w:val="clear" w:color="auto" w:fill="auto"/>
            <w:vAlign w:val="center"/>
          </w:tcPr>
          <w:p>
            <w:pPr>
              <w:pStyle w:val="42"/>
            </w:pPr>
          </w:p>
        </w:tc>
        <w:tc>
          <w:tcPr>
            <w:tcW w:w="66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482" w:type="pct"/>
            <w:vMerge w:val="continue"/>
            <w:shd w:val="clear" w:color="auto" w:fill="auto"/>
            <w:vAlign w:val="center"/>
          </w:tcPr>
          <w:p>
            <w:pPr>
              <w:pStyle w:val="42"/>
            </w:pPr>
          </w:p>
        </w:tc>
        <w:tc>
          <w:tcPr>
            <w:tcW w:w="444" w:type="pct"/>
            <w:vMerge w:val="continue"/>
            <w:shd w:val="clear" w:color="auto" w:fill="auto"/>
            <w:vAlign w:val="center"/>
          </w:tcPr>
          <w:p>
            <w:pPr>
              <w:pStyle w:val="42"/>
            </w:pPr>
          </w:p>
        </w:tc>
        <w:tc>
          <w:tcPr>
            <w:tcW w:w="825" w:type="pct"/>
            <w:shd w:val="clear" w:color="auto" w:fill="auto"/>
            <w:vAlign w:val="center"/>
          </w:tcPr>
          <w:p>
            <w:pPr>
              <w:pStyle w:val="42"/>
            </w:pPr>
            <w:r>
              <w:t>重铬酸盐法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continue"/>
            <w:shd w:val="clear" w:color="auto" w:fill="auto"/>
            <w:vAlign w:val="center"/>
          </w:tcPr>
          <w:p>
            <w:pPr>
              <w:pStyle w:val="42"/>
            </w:pPr>
          </w:p>
        </w:tc>
        <w:tc>
          <w:tcPr>
            <w:tcW w:w="432" w:type="pct"/>
            <w:vMerge w:val="continue"/>
            <w:shd w:val="clear" w:color="auto" w:fill="auto"/>
            <w:vAlign w:val="center"/>
          </w:tcPr>
          <w:p>
            <w:pPr>
              <w:pStyle w:val="42"/>
            </w:pPr>
          </w:p>
        </w:tc>
        <w:tc>
          <w:tcPr>
            <w:tcW w:w="579" w:type="pct"/>
            <w:shd w:val="clear" w:color="auto" w:fill="auto"/>
            <w:vAlign w:val="center"/>
          </w:tcPr>
          <w:p>
            <w:pPr>
              <w:pStyle w:val="42"/>
            </w:pPr>
            <w:r>
              <w:t>NH</w:t>
            </w:r>
            <w:r>
              <w:rPr>
                <w:vertAlign w:val="subscript"/>
              </w:rPr>
              <w:t>3</w:t>
            </w:r>
            <w:r>
              <w:t>-N</w:t>
            </w:r>
          </w:p>
        </w:tc>
        <w:tc>
          <w:tcPr>
            <w:tcW w:w="331" w:type="pct"/>
            <w:vMerge w:val="continue"/>
            <w:shd w:val="clear" w:color="auto" w:fill="auto"/>
            <w:vAlign w:val="center"/>
          </w:tcPr>
          <w:p>
            <w:pPr>
              <w:pStyle w:val="42"/>
            </w:pPr>
          </w:p>
        </w:tc>
        <w:tc>
          <w:tcPr>
            <w:tcW w:w="373" w:type="pct"/>
            <w:vMerge w:val="continue"/>
            <w:shd w:val="clear" w:color="auto" w:fill="auto"/>
            <w:vAlign w:val="center"/>
          </w:tcPr>
          <w:p>
            <w:pPr>
              <w:pStyle w:val="42"/>
            </w:pPr>
          </w:p>
        </w:tc>
        <w:tc>
          <w:tcPr>
            <w:tcW w:w="66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482" w:type="pct"/>
            <w:vMerge w:val="continue"/>
            <w:shd w:val="clear" w:color="auto" w:fill="auto"/>
            <w:vAlign w:val="center"/>
          </w:tcPr>
          <w:p>
            <w:pPr>
              <w:pStyle w:val="42"/>
            </w:pPr>
          </w:p>
        </w:tc>
        <w:tc>
          <w:tcPr>
            <w:tcW w:w="444" w:type="pct"/>
            <w:vMerge w:val="continue"/>
            <w:shd w:val="clear" w:color="auto" w:fill="auto"/>
            <w:vAlign w:val="center"/>
          </w:tcPr>
          <w:p>
            <w:pPr>
              <w:pStyle w:val="42"/>
            </w:pPr>
          </w:p>
        </w:tc>
        <w:tc>
          <w:tcPr>
            <w:tcW w:w="825" w:type="pct"/>
            <w:shd w:val="clear" w:color="auto" w:fill="auto"/>
            <w:vAlign w:val="center"/>
          </w:tcPr>
          <w:p>
            <w:pPr>
              <w:pStyle w:val="42"/>
            </w:pPr>
            <w: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continue"/>
            <w:shd w:val="clear" w:color="auto" w:fill="auto"/>
            <w:vAlign w:val="center"/>
          </w:tcPr>
          <w:p>
            <w:pPr>
              <w:pStyle w:val="42"/>
            </w:pPr>
          </w:p>
        </w:tc>
        <w:tc>
          <w:tcPr>
            <w:tcW w:w="432" w:type="pct"/>
            <w:vMerge w:val="continue"/>
            <w:shd w:val="clear" w:color="auto" w:fill="auto"/>
            <w:vAlign w:val="center"/>
          </w:tcPr>
          <w:p>
            <w:pPr>
              <w:pStyle w:val="42"/>
            </w:pPr>
          </w:p>
        </w:tc>
        <w:tc>
          <w:tcPr>
            <w:tcW w:w="579" w:type="pct"/>
            <w:shd w:val="clear" w:color="auto" w:fill="auto"/>
            <w:vAlign w:val="center"/>
          </w:tcPr>
          <w:p>
            <w:pPr>
              <w:pStyle w:val="42"/>
              <w:rPr>
                <w:rFonts w:eastAsiaTheme="minorEastAsia"/>
              </w:rPr>
            </w:pPr>
            <w:r>
              <w:rPr>
                <w:rFonts w:eastAsiaTheme="minorEastAsia"/>
              </w:rPr>
              <w:t>SS</w:t>
            </w:r>
          </w:p>
        </w:tc>
        <w:tc>
          <w:tcPr>
            <w:tcW w:w="331" w:type="pct"/>
            <w:vMerge w:val="restart"/>
            <w:shd w:val="clear" w:color="auto" w:fill="auto"/>
            <w:vAlign w:val="center"/>
          </w:tcPr>
          <w:p>
            <w:pPr>
              <w:pStyle w:val="42"/>
            </w:pPr>
            <w:r>
              <w:t>手动</w:t>
            </w:r>
          </w:p>
        </w:tc>
        <w:tc>
          <w:tcPr>
            <w:tcW w:w="373" w:type="pct"/>
            <w:vMerge w:val="restart"/>
            <w:shd w:val="clear" w:color="auto" w:fill="auto"/>
            <w:vAlign w:val="center"/>
          </w:tcPr>
          <w:p>
            <w:pPr>
              <w:pStyle w:val="42"/>
            </w:pPr>
            <w:r>
              <w:t>全厂废水总排口</w:t>
            </w:r>
          </w:p>
        </w:tc>
        <w:tc>
          <w:tcPr>
            <w:tcW w:w="666" w:type="pct"/>
            <w:vMerge w:val="restart"/>
            <w:shd w:val="clear" w:color="auto" w:fill="auto"/>
            <w:vAlign w:val="center"/>
          </w:tcPr>
          <w:p>
            <w:pPr>
              <w:pStyle w:val="42"/>
            </w:pPr>
            <w:r>
              <w:t>/</w:t>
            </w:r>
          </w:p>
        </w:tc>
        <w:tc>
          <w:tcPr>
            <w:tcW w:w="316" w:type="pct"/>
            <w:vMerge w:val="restart"/>
            <w:shd w:val="clear" w:color="auto" w:fill="auto"/>
            <w:vAlign w:val="center"/>
          </w:tcPr>
          <w:p>
            <w:pPr>
              <w:pStyle w:val="42"/>
            </w:pPr>
            <w:r>
              <w:t>/</w:t>
            </w:r>
          </w:p>
        </w:tc>
        <w:tc>
          <w:tcPr>
            <w:tcW w:w="316" w:type="pct"/>
            <w:vMerge w:val="restart"/>
            <w:shd w:val="clear" w:color="auto" w:fill="auto"/>
            <w:vAlign w:val="center"/>
          </w:tcPr>
          <w:p>
            <w:pPr>
              <w:pStyle w:val="42"/>
            </w:pPr>
            <w:r>
              <w:t>/</w:t>
            </w:r>
          </w:p>
        </w:tc>
        <w:tc>
          <w:tcPr>
            <w:tcW w:w="482" w:type="pct"/>
            <w:vMerge w:val="restart"/>
            <w:shd w:val="clear" w:color="auto" w:fill="auto"/>
            <w:vAlign w:val="center"/>
          </w:tcPr>
          <w:p>
            <w:pPr>
              <w:pStyle w:val="42"/>
            </w:pPr>
            <w:r>
              <w:t>瞬时</w:t>
            </w:r>
          </w:p>
          <w:p>
            <w:pPr>
              <w:pStyle w:val="42"/>
            </w:pPr>
            <w:r>
              <w:t>采样</w:t>
            </w:r>
          </w:p>
        </w:tc>
        <w:tc>
          <w:tcPr>
            <w:tcW w:w="444" w:type="pct"/>
            <w:vMerge w:val="restart"/>
            <w:shd w:val="clear" w:color="auto" w:fill="auto"/>
            <w:vAlign w:val="center"/>
          </w:tcPr>
          <w:p>
            <w:pPr>
              <w:pStyle w:val="42"/>
            </w:pPr>
            <w:r>
              <w:t>1次/季</w:t>
            </w:r>
          </w:p>
        </w:tc>
        <w:tc>
          <w:tcPr>
            <w:tcW w:w="825" w:type="pct"/>
            <w:shd w:val="clear" w:color="auto" w:fill="auto"/>
            <w:vAlign w:val="center"/>
          </w:tcPr>
          <w:p>
            <w:pPr>
              <w:pStyle w:val="42"/>
              <w:rPr>
                <w:rFonts w:eastAsiaTheme="minorEastAsia"/>
              </w:rPr>
            </w:pPr>
            <w:r>
              <w:rPr>
                <w:rFonts w:eastAsiaTheme="minorEastAsia"/>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continue"/>
            <w:shd w:val="clear" w:color="auto" w:fill="auto"/>
            <w:vAlign w:val="center"/>
          </w:tcPr>
          <w:p>
            <w:pPr>
              <w:pStyle w:val="42"/>
            </w:pPr>
          </w:p>
        </w:tc>
        <w:tc>
          <w:tcPr>
            <w:tcW w:w="432" w:type="pct"/>
            <w:vMerge w:val="continue"/>
            <w:shd w:val="clear" w:color="auto" w:fill="auto"/>
            <w:vAlign w:val="center"/>
          </w:tcPr>
          <w:p>
            <w:pPr>
              <w:pStyle w:val="42"/>
            </w:pPr>
          </w:p>
        </w:tc>
        <w:tc>
          <w:tcPr>
            <w:tcW w:w="579" w:type="pct"/>
            <w:shd w:val="clear" w:color="auto" w:fill="auto"/>
            <w:vAlign w:val="center"/>
          </w:tcPr>
          <w:p>
            <w:pPr>
              <w:pStyle w:val="42"/>
              <w:rPr>
                <w:rFonts w:eastAsiaTheme="minorEastAsia"/>
              </w:rPr>
            </w:pPr>
            <w:r>
              <w:rPr>
                <w:rFonts w:eastAsiaTheme="minorEastAsia"/>
              </w:rPr>
              <w:t>石油类</w:t>
            </w:r>
          </w:p>
        </w:tc>
        <w:tc>
          <w:tcPr>
            <w:tcW w:w="331" w:type="pct"/>
            <w:vMerge w:val="continue"/>
            <w:shd w:val="clear" w:color="auto" w:fill="auto"/>
            <w:vAlign w:val="center"/>
          </w:tcPr>
          <w:p>
            <w:pPr>
              <w:pStyle w:val="42"/>
            </w:pPr>
          </w:p>
        </w:tc>
        <w:tc>
          <w:tcPr>
            <w:tcW w:w="373" w:type="pct"/>
            <w:vMerge w:val="continue"/>
            <w:shd w:val="clear" w:color="auto" w:fill="auto"/>
            <w:vAlign w:val="center"/>
          </w:tcPr>
          <w:p>
            <w:pPr>
              <w:pStyle w:val="42"/>
            </w:pPr>
          </w:p>
        </w:tc>
        <w:tc>
          <w:tcPr>
            <w:tcW w:w="66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482" w:type="pct"/>
            <w:vMerge w:val="continue"/>
            <w:shd w:val="clear" w:color="auto" w:fill="auto"/>
            <w:vAlign w:val="center"/>
          </w:tcPr>
          <w:p>
            <w:pPr>
              <w:pStyle w:val="42"/>
            </w:pPr>
          </w:p>
        </w:tc>
        <w:tc>
          <w:tcPr>
            <w:tcW w:w="444" w:type="pct"/>
            <w:vMerge w:val="continue"/>
            <w:shd w:val="clear" w:color="auto" w:fill="auto"/>
            <w:vAlign w:val="center"/>
          </w:tcPr>
          <w:p>
            <w:pPr>
              <w:pStyle w:val="42"/>
            </w:pPr>
          </w:p>
        </w:tc>
        <w:tc>
          <w:tcPr>
            <w:tcW w:w="825" w:type="pct"/>
            <w:shd w:val="clear" w:color="auto" w:fill="auto"/>
            <w:vAlign w:val="center"/>
          </w:tcPr>
          <w:p>
            <w:pPr>
              <w:pStyle w:val="42"/>
              <w:rPr>
                <w:rFonts w:eastAsiaTheme="minorEastAsia"/>
              </w:rPr>
            </w:pPr>
            <w:r>
              <w:rPr>
                <w:rFonts w:eastAsiaTheme="minorEastAsia"/>
              </w:rPr>
              <w:t>红外光度法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36" w:type="pct"/>
            <w:vMerge w:val="continue"/>
            <w:shd w:val="clear" w:color="auto" w:fill="auto"/>
            <w:vAlign w:val="center"/>
          </w:tcPr>
          <w:p>
            <w:pPr>
              <w:pStyle w:val="42"/>
            </w:pPr>
          </w:p>
        </w:tc>
        <w:tc>
          <w:tcPr>
            <w:tcW w:w="432" w:type="pct"/>
            <w:vMerge w:val="continue"/>
            <w:shd w:val="clear" w:color="auto" w:fill="auto"/>
            <w:vAlign w:val="center"/>
          </w:tcPr>
          <w:p>
            <w:pPr>
              <w:pStyle w:val="42"/>
            </w:pPr>
          </w:p>
        </w:tc>
        <w:tc>
          <w:tcPr>
            <w:tcW w:w="579" w:type="pct"/>
            <w:shd w:val="clear" w:color="auto" w:fill="auto"/>
            <w:vAlign w:val="center"/>
          </w:tcPr>
          <w:p>
            <w:pPr>
              <w:pStyle w:val="42"/>
              <w:rPr>
                <w:rFonts w:eastAsiaTheme="minorEastAsia"/>
              </w:rPr>
            </w:pPr>
            <w:r>
              <w:rPr>
                <w:rFonts w:hint="eastAsia" w:eastAsiaTheme="minorEastAsia"/>
              </w:rPr>
              <w:t>BOD</w:t>
            </w:r>
            <w:r>
              <w:rPr>
                <w:rFonts w:hint="eastAsia" w:eastAsiaTheme="minorEastAsia"/>
                <w:vertAlign w:val="subscript"/>
              </w:rPr>
              <w:t>5</w:t>
            </w:r>
          </w:p>
        </w:tc>
        <w:tc>
          <w:tcPr>
            <w:tcW w:w="331" w:type="pct"/>
            <w:vMerge w:val="continue"/>
            <w:shd w:val="clear" w:color="auto" w:fill="auto"/>
            <w:vAlign w:val="center"/>
          </w:tcPr>
          <w:p>
            <w:pPr>
              <w:pStyle w:val="42"/>
            </w:pPr>
          </w:p>
        </w:tc>
        <w:tc>
          <w:tcPr>
            <w:tcW w:w="373" w:type="pct"/>
            <w:vMerge w:val="continue"/>
            <w:shd w:val="clear" w:color="auto" w:fill="auto"/>
            <w:vAlign w:val="center"/>
          </w:tcPr>
          <w:p>
            <w:pPr>
              <w:pStyle w:val="42"/>
            </w:pPr>
          </w:p>
        </w:tc>
        <w:tc>
          <w:tcPr>
            <w:tcW w:w="66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316" w:type="pct"/>
            <w:vMerge w:val="continue"/>
            <w:shd w:val="clear" w:color="auto" w:fill="auto"/>
            <w:vAlign w:val="center"/>
          </w:tcPr>
          <w:p>
            <w:pPr>
              <w:pStyle w:val="42"/>
            </w:pPr>
          </w:p>
        </w:tc>
        <w:tc>
          <w:tcPr>
            <w:tcW w:w="482" w:type="pct"/>
            <w:vMerge w:val="continue"/>
            <w:shd w:val="clear" w:color="auto" w:fill="auto"/>
            <w:vAlign w:val="center"/>
          </w:tcPr>
          <w:p>
            <w:pPr>
              <w:pStyle w:val="42"/>
            </w:pPr>
          </w:p>
        </w:tc>
        <w:tc>
          <w:tcPr>
            <w:tcW w:w="444" w:type="pct"/>
            <w:vMerge w:val="continue"/>
            <w:shd w:val="clear" w:color="auto" w:fill="auto"/>
            <w:vAlign w:val="center"/>
          </w:tcPr>
          <w:p>
            <w:pPr>
              <w:pStyle w:val="42"/>
            </w:pPr>
          </w:p>
        </w:tc>
        <w:tc>
          <w:tcPr>
            <w:tcW w:w="825" w:type="pct"/>
            <w:shd w:val="clear" w:color="auto" w:fill="auto"/>
            <w:vAlign w:val="center"/>
          </w:tcPr>
          <w:p>
            <w:pPr>
              <w:pStyle w:val="42"/>
              <w:rPr>
                <w:rFonts w:eastAsiaTheme="minorEastAsia"/>
              </w:rPr>
            </w:pPr>
            <w:r>
              <w:rPr>
                <w:rFonts w:hint="eastAsia" w:eastAsiaTheme="minorEastAsia"/>
              </w:rPr>
              <w:t>稀释接种法</w:t>
            </w:r>
          </w:p>
        </w:tc>
      </w:tr>
    </w:tbl>
    <w:p>
      <w:pPr>
        <w:pStyle w:val="4"/>
        <w:spacing w:before="163" w:after="163"/>
      </w:pPr>
      <w:bookmarkStart w:id="122" w:name="_Toc84844292"/>
      <w:r>
        <w:rPr>
          <w:rFonts w:hint="eastAsia"/>
        </w:rPr>
        <w:t>5.2.3噪声</w:t>
      </w:r>
      <w:bookmarkEnd w:id="122"/>
    </w:p>
    <w:p>
      <w:pPr>
        <w:pStyle w:val="5"/>
        <w:spacing w:before="163" w:after="163"/>
      </w:pPr>
      <w:r>
        <w:rPr>
          <w:rFonts w:hint="eastAsia"/>
        </w:rPr>
        <w:t>5.2.3.1项目噪声源强</w:t>
      </w:r>
    </w:p>
    <w:p>
      <w:pPr>
        <w:ind w:firstLine="480"/>
      </w:pPr>
      <w:r>
        <w:rPr>
          <w:rFonts w:hint="eastAsia"/>
        </w:rPr>
        <w:t>拟建项目主要的噪声源有各类泵、风机、压缩机和制冷机组等机械设备，噪声值在85～100dB（A）。经选用低噪声设备、建筑隔声、基础隔振等措施治理后可降至75dB以下。拟建项目主要产噪设备的噪声源强及距厂界距离见下表。</w:t>
      </w:r>
    </w:p>
    <w:p>
      <w:pPr>
        <w:pStyle w:val="42"/>
        <w:ind w:firstLine="480"/>
      </w:pPr>
      <w:r>
        <w:rPr>
          <w:rFonts w:hint="eastAsia"/>
        </w:rPr>
        <w:t>表5.2.3-1   拟建项目噪声源强及距厂界最近距离   单位：dB（A）</w:t>
      </w:r>
    </w:p>
    <w:tbl>
      <w:tblPr>
        <w:tblStyle w:val="33"/>
        <w:tblW w:w="476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789"/>
        <w:gridCol w:w="1275"/>
        <w:gridCol w:w="710"/>
        <w:gridCol w:w="851"/>
        <w:gridCol w:w="1054"/>
        <w:gridCol w:w="690"/>
        <w:gridCol w:w="690"/>
        <w:gridCol w:w="692"/>
        <w:gridCol w:w="69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7" w:type="pct"/>
            <w:vMerge w:val="restart"/>
            <w:tcBorders>
              <w:top w:val="single" w:color="auto" w:sz="6" w:space="0"/>
            </w:tcBorders>
            <w:vAlign w:val="center"/>
          </w:tcPr>
          <w:p>
            <w:pPr>
              <w:pStyle w:val="42"/>
            </w:pPr>
            <w:r>
              <w:rPr>
                <w:rFonts w:hint="eastAsia"/>
              </w:rPr>
              <w:t>序号</w:t>
            </w:r>
          </w:p>
        </w:tc>
        <w:tc>
          <w:tcPr>
            <w:tcW w:w="1271" w:type="pct"/>
            <w:gridSpan w:val="2"/>
            <w:vMerge w:val="restart"/>
            <w:tcBorders>
              <w:top w:val="single" w:color="auto" w:sz="6" w:space="0"/>
            </w:tcBorders>
            <w:vAlign w:val="center"/>
          </w:tcPr>
          <w:p>
            <w:pPr>
              <w:pStyle w:val="42"/>
            </w:pPr>
            <w:r>
              <w:rPr>
                <w:rFonts w:hint="eastAsia"/>
              </w:rPr>
              <w:t>噪声源</w:t>
            </w:r>
          </w:p>
        </w:tc>
        <w:tc>
          <w:tcPr>
            <w:tcW w:w="437" w:type="pct"/>
            <w:vMerge w:val="restart"/>
            <w:tcBorders>
              <w:top w:val="single" w:color="auto" w:sz="6" w:space="0"/>
            </w:tcBorders>
            <w:vAlign w:val="center"/>
          </w:tcPr>
          <w:p>
            <w:pPr>
              <w:pStyle w:val="42"/>
            </w:pPr>
            <w:r>
              <w:rPr>
                <w:rFonts w:hint="eastAsia"/>
              </w:rPr>
              <w:t>台数</w:t>
            </w:r>
          </w:p>
        </w:tc>
        <w:tc>
          <w:tcPr>
            <w:tcW w:w="524" w:type="pct"/>
            <w:vMerge w:val="restart"/>
            <w:tcBorders>
              <w:top w:val="single" w:color="auto" w:sz="6" w:space="0"/>
            </w:tcBorders>
            <w:vAlign w:val="center"/>
          </w:tcPr>
          <w:p>
            <w:pPr>
              <w:pStyle w:val="42"/>
            </w:pPr>
            <w:r>
              <w:rPr>
                <w:rFonts w:hint="eastAsia"/>
              </w:rPr>
              <w:t>运行情况</w:t>
            </w:r>
          </w:p>
        </w:tc>
        <w:tc>
          <w:tcPr>
            <w:tcW w:w="649" w:type="pct"/>
            <w:vMerge w:val="restart"/>
            <w:tcBorders>
              <w:top w:val="single" w:color="auto" w:sz="6" w:space="0"/>
            </w:tcBorders>
            <w:vAlign w:val="center"/>
          </w:tcPr>
          <w:p>
            <w:pPr>
              <w:pStyle w:val="42"/>
            </w:pPr>
            <w:r>
              <w:rPr>
                <w:rFonts w:hint="eastAsia"/>
              </w:rPr>
              <w:t>治理后声值</w:t>
            </w:r>
          </w:p>
        </w:tc>
        <w:tc>
          <w:tcPr>
            <w:tcW w:w="1702" w:type="pct"/>
            <w:gridSpan w:val="4"/>
            <w:tcBorders>
              <w:top w:val="single" w:color="auto" w:sz="6" w:space="0"/>
            </w:tcBorders>
            <w:vAlign w:val="center"/>
          </w:tcPr>
          <w:p>
            <w:pPr>
              <w:pStyle w:val="42"/>
            </w:pPr>
            <w:r>
              <w:rPr>
                <w:rFonts w:hint="eastAsia"/>
              </w:rPr>
              <w:t>距各厂界最近距离（</w:t>
            </w:r>
            <w:r>
              <w:t>m</w:t>
            </w: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7" w:type="pct"/>
            <w:vMerge w:val="continue"/>
            <w:vAlign w:val="center"/>
          </w:tcPr>
          <w:p>
            <w:pPr>
              <w:pStyle w:val="42"/>
            </w:pPr>
          </w:p>
        </w:tc>
        <w:tc>
          <w:tcPr>
            <w:tcW w:w="1271" w:type="pct"/>
            <w:gridSpan w:val="2"/>
            <w:vMerge w:val="continue"/>
            <w:vAlign w:val="center"/>
          </w:tcPr>
          <w:p>
            <w:pPr>
              <w:pStyle w:val="42"/>
            </w:pPr>
          </w:p>
        </w:tc>
        <w:tc>
          <w:tcPr>
            <w:tcW w:w="437" w:type="pct"/>
            <w:vMerge w:val="continue"/>
            <w:vAlign w:val="center"/>
          </w:tcPr>
          <w:p>
            <w:pPr>
              <w:pStyle w:val="42"/>
            </w:pPr>
          </w:p>
        </w:tc>
        <w:tc>
          <w:tcPr>
            <w:tcW w:w="524" w:type="pct"/>
            <w:vMerge w:val="continue"/>
            <w:vAlign w:val="center"/>
          </w:tcPr>
          <w:p>
            <w:pPr>
              <w:pStyle w:val="42"/>
            </w:pPr>
          </w:p>
        </w:tc>
        <w:tc>
          <w:tcPr>
            <w:tcW w:w="649" w:type="pct"/>
            <w:vMerge w:val="continue"/>
            <w:vAlign w:val="center"/>
          </w:tcPr>
          <w:p>
            <w:pPr>
              <w:pStyle w:val="42"/>
            </w:pPr>
          </w:p>
        </w:tc>
        <w:tc>
          <w:tcPr>
            <w:tcW w:w="425" w:type="pct"/>
            <w:vAlign w:val="center"/>
          </w:tcPr>
          <w:p>
            <w:pPr>
              <w:pStyle w:val="42"/>
            </w:pPr>
            <w:r>
              <w:rPr>
                <w:rFonts w:hint="eastAsia"/>
              </w:rPr>
              <w:t>东</w:t>
            </w:r>
          </w:p>
        </w:tc>
        <w:tc>
          <w:tcPr>
            <w:tcW w:w="425" w:type="pct"/>
            <w:vAlign w:val="center"/>
          </w:tcPr>
          <w:p>
            <w:pPr>
              <w:pStyle w:val="42"/>
            </w:pPr>
            <w:r>
              <w:rPr>
                <w:rFonts w:hint="eastAsia"/>
              </w:rPr>
              <w:t>南</w:t>
            </w:r>
          </w:p>
        </w:tc>
        <w:tc>
          <w:tcPr>
            <w:tcW w:w="426" w:type="pct"/>
            <w:vAlign w:val="center"/>
          </w:tcPr>
          <w:p>
            <w:pPr>
              <w:pStyle w:val="42"/>
            </w:pPr>
            <w:r>
              <w:rPr>
                <w:rFonts w:hint="eastAsia"/>
              </w:rPr>
              <w:t>西</w:t>
            </w:r>
          </w:p>
        </w:tc>
        <w:tc>
          <w:tcPr>
            <w:tcW w:w="426" w:type="pct"/>
            <w:vAlign w:val="center"/>
          </w:tcPr>
          <w:p>
            <w:pPr>
              <w:pStyle w:val="42"/>
            </w:pPr>
            <w:r>
              <w:rPr>
                <w:rFonts w:hint="eastAsia"/>
              </w:rPr>
              <w:t>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42"/>
            </w:pPr>
            <w:r>
              <w:t>1</w:t>
            </w:r>
          </w:p>
        </w:tc>
        <w:tc>
          <w:tcPr>
            <w:tcW w:w="486" w:type="pct"/>
            <w:vMerge w:val="restart"/>
            <w:vAlign w:val="center"/>
          </w:tcPr>
          <w:p>
            <w:pPr>
              <w:pStyle w:val="42"/>
            </w:pPr>
            <w:r>
              <w:rPr>
                <w:rFonts w:hint="eastAsia"/>
              </w:rPr>
              <w:t>合成氨装置区</w:t>
            </w:r>
          </w:p>
        </w:tc>
        <w:tc>
          <w:tcPr>
            <w:tcW w:w="785" w:type="pct"/>
            <w:vAlign w:val="center"/>
          </w:tcPr>
          <w:p>
            <w:pPr>
              <w:pStyle w:val="42"/>
            </w:pPr>
            <w:r>
              <w:rPr>
                <w:rFonts w:hint="eastAsia"/>
              </w:rPr>
              <w:t>废热锅炉</w:t>
            </w:r>
          </w:p>
        </w:tc>
        <w:tc>
          <w:tcPr>
            <w:tcW w:w="437" w:type="pct"/>
            <w:vAlign w:val="center"/>
          </w:tcPr>
          <w:p>
            <w:pPr>
              <w:pStyle w:val="42"/>
            </w:pPr>
            <w:r>
              <w:rPr>
                <w:rFonts w:hint="eastAsia"/>
              </w:rPr>
              <w:t>3</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restart"/>
            <w:vAlign w:val="center"/>
          </w:tcPr>
          <w:p>
            <w:pPr>
              <w:pStyle w:val="42"/>
            </w:pPr>
            <w:r>
              <w:rPr>
                <w:rFonts w:hint="eastAsia"/>
              </w:rPr>
              <w:t>20</w:t>
            </w:r>
          </w:p>
        </w:tc>
        <w:tc>
          <w:tcPr>
            <w:tcW w:w="425" w:type="pct"/>
            <w:vMerge w:val="restart"/>
            <w:vAlign w:val="center"/>
          </w:tcPr>
          <w:p>
            <w:pPr>
              <w:pStyle w:val="42"/>
            </w:pPr>
            <w:r>
              <w:rPr>
                <w:rFonts w:hint="eastAsia"/>
              </w:rPr>
              <w:t>20</w:t>
            </w:r>
          </w:p>
        </w:tc>
        <w:tc>
          <w:tcPr>
            <w:tcW w:w="426" w:type="pct"/>
            <w:vMerge w:val="restart"/>
            <w:vAlign w:val="center"/>
          </w:tcPr>
          <w:p>
            <w:pPr>
              <w:pStyle w:val="42"/>
            </w:pPr>
            <w:r>
              <w:rPr>
                <w:rFonts w:hint="eastAsia"/>
              </w:rPr>
              <w:t>25</w:t>
            </w:r>
          </w:p>
        </w:tc>
        <w:tc>
          <w:tcPr>
            <w:tcW w:w="426" w:type="pct"/>
            <w:vMerge w:val="restart"/>
            <w:vAlign w:val="center"/>
          </w:tcPr>
          <w:p>
            <w:pPr>
              <w:pStyle w:val="42"/>
            </w:pPr>
            <w:r>
              <w:rPr>
                <w:rFonts w:hint="eastAsia"/>
              </w:rPr>
              <w:t>115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42"/>
            </w:pPr>
            <w:r>
              <w:t>2</w:t>
            </w:r>
          </w:p>
        </w:tc>
        <w:tc>
          <w:tcPr>
            <w:tcW w:w="486" w:type="pct"/>
            <w:vMerge w:val="continue"/>
            <w:vAlign w:val="center"/>
          </w:tcPr>
          <w:p>
            <w:pPr>
              <w:pStyle w:val="42"/>
            </w:pPr>
          </w:p>
        </w:tc>
        <w:tc>
          <w:tcPr>
            <w:tcW w:w="785" w:type="pct"/>
            <w:vAlign w:val="center"/>
          </w:tcPr>
          <w:p>
            <w:pPr>
              <w:pStyle w:val="42"/>
            </w:pPr>
            <w:r>
              <w:rPr>
                <w:rFonts w:hint="eastAsia"/>
              </w:rPr>
              <w:t>余热回收发电装置</w:t>
            </w:r>
          </w:p>
        </w:tc>
        <w:tc>
          <w:tcPr>
            <w:tcW w:w="437" w:type="pct"/>
            <w:vAlign w:val="center"/>
          </w:tcPr>
          <w:p>
            <w:pPr>
              <w:pStyle w:val="42"/>
            </w:pPr>
            <w:r>
              <w:rPr>
                <w:rFonts w:hint="eastAsia"/>
              </w:rPr>
              <w:t>1</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continue"/>
            <w:vAlign w:val="center"/>
          </w:tcPr>
          <w:p>
            <w:pPr>
              <w:pStyle w:val="42"/>
            </w:pPr>
          </w:p>
        </w:tc>
        <w:tc>
          <w:tcPr>
            <w:tcW w:w="425" w:type="pct"/>
            <w:vMerge w:val="continue"/>
            <w:vAlign w:val="center"/>
          </w:tcPr>
          <w:p>
            <w:pPr>
              <w:pStyle w:val="42"/>
            </w:pPr>
          </w:p>
        </w:tc>
        <w:tc>
          <w:tcPr>
            <w:tcW w:w="426" w:type="pct"/>
            <w:vMerge w:val="continue"/>
            <w:vAlign w:val="center"/>
          </w:tcPr>
          <w:p>
            <w:pPr>
              <w:pStyle w:val="42"/>
            </w:pPr>
          </w:p>
        </w:tc>
        <w:tc>
          <w:tcPr>
            <w:tcW w:w="426"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vAlign w:val="center"/>
          </w:tcPr>
          <w:p>
            <w:pPr>
              <w:pStyle w:val="42"/>
            </w:pPr>
            <w:r>
              <w:t>3</w:t>
            </w:r>
          </w:p>
        </w:tc>
        <w:tc>
          <w:tcPr>
            <w:tcW w:w="486" w:type="pct"/>
            <w:vMerge w:val="continue"/>
            <w:vAlign w:val="center"/>
          </w:tcPr>
          <w:p>
            <w:pPr>
              <w:pStyle w:val="42"/>
            </w:pPr>
          </w:p>
        </w:tc>
        <w:tc>
          <w:tcPr>
            <w:tcW w:w="785" w:type="pct"/>
            <w:vAlign w:val="center"/>
          </w:tcPr>
          <w:p>
            <w:pPr>
              <w:pStyle w:val="42"/>
            </w:pPr>
            <w:r>
              <w:rPr>
                <w:rFonts w:hint="eastAsia"/>
              </w:rPr>
              <w:t>风机</w:t>
            </w:r>
          </w:p>
        </w:tc>
        <w:tc>
          <w:tcPr>
            <w:tcW w:w="437" w:type="pct"/>
            <w:vAlign w:val="center"/>
          </w:tcPr>
          <w:p>
            <w:pPr>
              <w:pStyle w:val="42"/>
            </w:pPr>
            <w:r>
              <w:rPr>
                <w:rFonts w:hint="eastAsia"/>
              </w:rPr>
              <w:t>2</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continue"/>
            <w:vAlign w:val="center"/>
          </w:tcPr>
          <w:p>
            <w:pPr>
              <w:pStyle w:val="42"/>
            </w:pPr>
          </w:p>
        </w:tc>
        <w:tc>
          <w:tcPr>
            <w:tcW w:w="425" w:type="pct"/>
            <w:vMerge w:val="continue"/>
            <w:vAlign w:val="center"/>
          </w:tcPr>
          <w:p>
            <w:pPr>
              <w:pStyle w:val="42"/>
            </w:pPr>
          </w:p>
        </w:tc>
        <w:tc>
          <w:tcPr>
            <w:tcW w:w="426" w:type="pct"/>
            <w:vMerge w:val="continue"/>
            <w:vAlign w:val="center"/>
          </w:tcPr>
          <w:p>
            <w:pPr>
              <w:pStyle w:val="42"/>
            </w:pPr>
          </w:p>
        </w:tc>
        <w:tc>
          <w:tcPr>
            <w:tcW w:w="426"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vAlign w:val="center"/>
          </w:tcPr>
          <w:p>
            <w:pPr>
              <w:pStyle w:val="42"/>
            </w:pPr>
            <w:r>
              <w:t>4</w:t>
            </w:r>
          </w:p>
        </w:tc>
        <w:tc>
          <w:tcPr>
            <w:tcW w:w="486" w:type="pct"/>
            <w:vMerge w:val="continue"/>
            <w:vAlign w:val="center"/>
          </w:tcPr>
          <w:p>
            <w:pPr>
              <w:pStyle w:val="42"/>
            </w:pPr>
          </w:p>
        </w:tc>
        <w:tc>
          <w:tcPr>
            <w:tcW w:w="785" w:type="pct"/>
            <w:vAlign w:val="center"/>
          </w:tcPr>
          <w:p>
            <w:pPr>
              <w:pStyle w:val="42"/>
            </w:pPr>
            <w:r>
              <w:rPr>
                <w:rFonts w:hint="eastAsia"/>
              </w:rPr>
              <w:t>各类泵</w:t>
            </w:r>
          </w:p>
        </w:tc>
        <w:tc>
          <w:tcPr>
            <w:tcW w:w="437" w:type="pct"/>
            <w:vAlign w:val="center"/>
          </w:tcPr>
          <w:p>
            <w:pPr>
              <w:pStyle w:val="42"/>
            </w:pPr>
            <w:r>
              <w:rPr>
                <w:rFonts w:hint="eastAsia"/>
              </w:rPr>
              <w:t>7</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60</w:t>
            </w:r>
          </w:p>
        </w:tc>
        <w:tc>
          <w:tcPr>
            <w:tcW w:w="425" w:type="pct"/>
            <w:vMerge w:val="continue"/>
            <w:vAlign w:val="center"/>
          </w:tcPr>
          <w:p>
            <w:pPr>
              <w:pStyle w:val="42"/>
            </w:pPr>
          </w:p>
        </w:tc>
        <w:tc>
          <w:tcPr>
            <w:tcW w:w="425" w:type="pct"/>
            <w:vMerge w:val="continue"/>
            <w:vAlign w:val="center"/>
          </w:tcPr>
          <w:p>
            <w:pPr>
              <w:pStyle w:val="42"/>
            </w:pPr>
          </w:p>
        </w:tc>
        <w:tc>
          <w:tcPr>
            <w:tcW w:w="426" w:type="pct"/>
            <w:vMerge w:val="continue"/>
            <w:vAlign w:val="center"/>
          </w:tcPr>
          <w:p>
            <w:pPr>
              <w:pStyle w:val="42"/>
            </w:pPr>
          </w:p>
        </w:tc>
        <w:tc>
          <w:tcPr>
            <w:tcW w:w="426"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vAlign w:val="center"/>
          </w:tcPr>
          <w:p>
            <w:pPr>
              <w:pStyle w:val="42"/>
            </w:pPr>
            <w:r>
              <w:rPr>
                <w:rFonts w:hint="eastAsia"/>
              </w:rPr>
              <w:t>5</w:t>
            </w:r>
          </w:p>
        </w:tc>
        <w:tc>
          <w:tcPr>
            <w:tcW w:w="486" w:type="pct"/>
            <w:vMerge w:val="continue"/>
            <w:vAlign w:val="center"/>
          </w:tcPr>
          <w:p>
            <w:pPr>
              <w:pStyle w:val="42"/>
            </w:pPr>
          </w:p>
        </w:tc>
        <w:tc>
          <w:tcPr>
            <w:tcW w:w="785" w:type="pct"/>
            <w:vAlign w:val="center"/>
          </w:tcPr>
          <w:p>
            <w:pPr>
              <w:pStyle w:val="42"/>
            </w:pPr>
            <w:r>
              <w:rPr>
                <w:rFonts w:hint="eastAsia"/>
              </w:rPr>
              <w:t>压缩机</w:t>
            </w:r>
          </w:p>
        </w:tc>
        <w:tc>
          <w:tcPr>
            <w:tcW w:w="437" w:type="pct"/>
            <w:vAlign w:val="center"/>
          </w:tcPr>
          <w:p>
            <w:pPr>
              <w:pStyle w:val="42"/>
            </w:pPr>
            <w:r>
              <w:rPr>
                <w:rFonts w:hint="eastAsia"/>
              </w:rPr>
              <w:t>5</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continue"/>
            <w:vAlign w:val="center"/>
          </w:tcPr>
          <w:p>
            <w:pPr>
              <w:pStyle w:val="42"/>
            </w:pPr>
          </w:p>
        </w:tc>
        <w:tc>
          <w:tcPr>
            <w:tcW w:w="425" w:type="pct"/>
            <w:vMerge w:val="continue"/>
            <w:vAlign w:val="center"/>
          </w:tcPr>
          <w:p>
            <w:pPr>
              <w:pStyle w:val="42"/>
            </w:pPr>
          </w:p>
        </w:tc>
        <w:tc>
          <w:tcPr>
            <w:tcW w:w="426" w:type="pct"/>
            <w:vMerge w:val="continue"/>
            <w:vAlign w:val="center"/>
          </w:tcPr>
          <w:p>
            <w:pPr>
              <w:pStyle w:val="42"/>
            </w:pPr>
          </w:p>
        </w:tc>
        <w:tc>
          <w:tcPr>
            <w:tcW w:w="426"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vAlign w:val="center"/>
          </w:tcPr>
          <w:p>
            <w:pPr>
              <w:pStyle w:val="42"/>
            </w:pPr>
            <w:r>
              <w:rPr>
                <w:rFonts w:hint="eastAsia"/>
              </w:rPr>
              <w:t>6</w:t>
            </w:r>
          </w:p>
        </w:tc>
        <w:tc>
          <w:tcPr>
            <w:tcW w:w="486" w:type="pct"/>
            <w:vMerge w:val="restart"/>
            <w:vAlign w:val="center"/>
          </w:tcPr>
          <w:p>
            <w:pPr>
              <w:pStyle w:val="42"/>
            </w:pPr>
            <w:r>
              <w:rPr>
                <w:rFonts w:hint="eastAsia"/>
              </w:rPr>
              <w:t>CO</w:t>
            </w:r>
            <w:r>
              <w:rPr>
                <w:rFonts w:hint="eastAsia"/>
                <w:vertAlign w:val="subscript"/>
              </w:rPr>
              <w:t>2</w:t>
            </w:r>
            <w:r>
              <w:rPr>
                <w:rFonts w:hint="eastAsia"/>
              </w:rPr>
              <w:t>液化装置区</w:t>
            </w:r>
          </w:p>
        </w:tc>
        <w:tc>
          <w:tcPr>
            <w:tcW w:w="785" w:type="pct"/>
            <w:vAlign w:val="center"/>
          </w:tcPr>
          <w:p>
            <w:pPr>
              <w:pStyle w:val="42"/>
            </w:pPr>
            <w:r>
              <w:rPr>
                <w:rFonts w:hint="eastAsia"/>
              </w:rPr>
              <w:t>压缩机组</w:t>
            </w:r>
          </w:p>
        </w:tc>
        <w:tc>
          <w:tcPr>
            <w:tcW w:w="437" w:type="pct"/>
            <w:vAlign w:val="center"/>
          </w:tcPr>
          <w:p>
            <w:pPr>
              <w:pStyle w:val="42"/>
            </w:pPr>
            <w:r>
              <w:rPr>
                <w:rFonts w:hint="eastAsia"/>
              </w:rPr>
              <w:t>2</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restart"/>
            <w:vAlign w:val="center"/>
          </w:tcPr>
          <w:p>
            <w:pPr>
              <w:pStyle w:val="42"/>
            </w:pPr>
            <w:r>
              <w:rPr>
                <w:rFonts w:hint="eastAsia"/>
              </w:rPr>
              <w:t>25</w:t>
            </w:r>
          </w:p>
        </w:tc>
        <w:tc>
          <w:tcPr>
            <w:tcW w:w="425" w:type="pct"/>
            <w:vMerge w:val="restart"/>
            <w:vAlign w:val="center"/>
          </w:tcPr>
          <w:p>
            <w:pPr>
              <w:pStyle w:val="42"/>
            </w:pPr>
            <w:r>
              <w:rPr>
                <w:rFonts w:hint="eastAsia"/>
              </w:rPr>
              <w:t>208</w:t>
            </w:r>
          </w:p>
        </w:tc>
        <w:tc>
          <w:tcPr>
            <w:tcW w:w="426" w:type="pct"/>
            <w:vMerge w:val="restart"/>
            <w:vAlign w:val="center"/>
          </w:tcPr>
          <w:p>
            <w:pPr>
              <w:pStyle w:val="42"/>
            </w:pPr>
            <w:r>
              <w:rPr>
                <w:rFonts w:hint="eastAsia"/>
              </w:rPr>
              <w:t>120</w:t>
            </w:r>
          </w:p>
        </w:tc>
        <w:tc>
          <w:tcPr>
            <w:tcW w:w="426" w:type="pct"/>
            <w:vMerge w:val="restart"/>
            <w:vAlign w:val="center"/>
          </w:tcPr>
          <w:p>
            <w:pPr>
              <w:pStyle w:val="42"/>
            </w:pPr>
            <w:r>
              <w:rPr>
                <w:rFonts w:hint="eastAsia"/>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vAlign w:val="center"/>
          </w:tcPr>
          <w:p>
            <w:pPr>
              <w:pStyle w:val="42"/>
            </w:pPr>
            <w:r>
              <w:rPr>
                <w:rFonts w:hint="eastAsia"/>
              </w:rPr>
              <w:t>7</w:t>
            </w:r>
          </w:p>
        </w:tc>
        <w:tc>
          <w:tcPr>
            <w:tcW w:w="486" w:type="pct"/>
            <w:vMerge w:val="continue"/>
            <w:vAlign w:val="center"/>
          </w:tcPr>
          <w:p>
            <w:pPr>
              <w:pStyle w:val="42"/>
            </w:pPr>
          </w:p>
        </w:tc>
        <w:tc>
          <w:tcPr>
            <w:tcW w:w="785" w:type="pct"/>
            <w:vAlign w:val="center"/>
          </w:tcPr>
          <w:p>
            <w:pPr>
              <w:pStyle w:val="42"/>
            </w:pPr>
            <w:r>
              <w:rPr>
                <w:rFonts w:hint="eastAsia"/>
              </w:rPr>
              <w:t>制冷机组</w:t>
            </w:r>
          </w:p>
        </w:tc>
        <w:tc>
          <w:tcPr>
            <w:tcW w:w="437" w:type="pct"/>
            <w:vAlign w:val="center"/>
          </w:tcPr>
          <w:p>
            <w:pPr>
              <w:pStyle w:val="42"/>
            </w:pPr>
            <w:r>
              <w:rPr>
                <w:rFonts w:hint="eastAsia"/>
              </w:rPr>
              <w:t>1</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65</w:t>
            </w:r>
          </w:p>
        </w:tc>
        <w:tc>
          <w:tcPr>
            <w:tcW w:w="425" w:type="pct"/>
            <w:vMerge w:val="continue"/>
            <w:vAlign w:val="center"/>
          </w:tcPr>
          <w:p>
            <w:pPr>
              <w:pStyle w:val="42"/>
            </w:pPr>
          </w:p>
        </w:tc>
        <w:tc>
          <w:tcPr>
            <w:tcW w:w="425" w:type="pct"/>
            <w:vMerge w:val="continue"/>
            <w:vAlign w:val="center"/>
          </w:tcPr>
          <w:p>
            <w:pPr>
              <w:pStyle w:val="42"/>
            </w:pPr>
          </w:p>
        </w:tc>
        <w:tc>
          <w:tcPr>
            <w:tcW w:w="426" w:type="pct"/>
            <w:vMerge w:val="continue"/>
            <w:vAlign w:val="center"/>
          </w:tcPr>
          <w:p>
            <w:pPr>
              <w:pStyle w:val="42"/>
            </w:pPr>
          </w:p>
        </w:tc>
        <w:tc>
          <w:tcPr>
            <w:tcW w:w="426"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vAlign w:val="center"/>
          </w:tcPr>
          <w:p>
            <w:pPr>
              <w:pStyle w:val="42"/>
            </w:pPr>
            <w:r>
              <w:rPr>
                <w:rFonts w:hint="eastAsia"/>
              </w:rPr>
              <w:t>8</w:t>
            </w:r>
          </w:p>
        </w:tc>
        <w:tc>
          <w:tcPr>
            <w:tcW w:w="486" w:type="pct"/>
            <w:vMerge w:val="restart"/>
            <w:vAlign w:val="center"/>
          </w:tcPr>
          <w:p>
            <w:pPr>
              <w:pStyle w:val="42"/>
            </w:pPr>
            <w:r>
              <w:rPr>
                <w:rFonts w:hint="eastAsia"/>
              </w:rPr>
              <w:t>废水处理站</w:t>
            </w:r>
          </w:p>
        </w:tc>
        <w:tc>
          <w:tcPr>
            <w:tcW w:w="785" w:type="pct"/>
            <w:vAlign w:val="center"/>
          </w:tcPr>
          <w:p>
            <w:pPr>
              <w:pStyle w:val="42"/>
            </w:pPr>
            <w:r>
              <w:rPr>
                <w:rFonts w:hint="eastAsia"/>
              </w:rPr>
              <w:t>泵</w:t>
            </w:r>
          </w:p>
        </w:tc>
        <w:tc>
          <w:tcPr>
            <w:tcW w:w="437" w:type="pct"/>
            <w:vAlign w:val="center"/>
          </w:tcPr>
          <w:p>
            <w:pPr>
              <w:pStyle w:val="42"/>
            </w:pPr>
            <w:r>
              <w:rPr>
                <w:rFonts w:hint="eastAsia"/>
              </w:rPr>
              <w:t>若干</w:t>
            </w:r>
          </w:p>
        </w:tc>
        <w:tc>
          <w:tcPr>
            <w:tcW w:w="524" w:type="pct"/>
            <w:vAlign w:val="center"/>
          </w:tcPr>
          <w:p>
            <w:pPr>
              <w:pStyle w:val="42"/>
            </w:pPr>
            <w:r>
              <w:rPr>
                <w:rFonts w:hint="eastAsia"/>
              </w:rPr>
              <w:t>连续</w:t>
            </w:r>
          </w:p>
        </w:tc>
        <w:tc>
          <w:tcPr>
            <w:tcW w:w="649" w:type="pct"/>
            <w:vAlign w:val="center"/>
          </w:tcPr>
          <w:p>
            <w:pPr>
              <w:pStyle w:val="42"/>
            </w:pPr>
            <w:r>
              <w:rPr>
                <w:rFonts w:hint="eastAsia" w:ascii="宋体" w:hAnsi="宋体"/>
              </w:rPr>
              <w:t>≤</w:t>
            </w:r>
            <w:r>
              <w:rPr>
                <w:rFonts w:hint="eastAsia"/>
              </w:rPr>
              <w:t>60</w:t>
            </w:r>
          </w:p>
        </w:tc>
        <w:tc>
          <w:tcPr>
            <w:tcW w:w="425" w:type="pct"/>
            <w:vMerge w:val="restart"/>
            <w:vAlign w:val="center"/>
          </w:tcPr>
          <w:p>
            <w:pPr>
              <w:pStyle w:val="42"/>
            </w:pPr>
            <w:r>
              <w:rPr>
                <w:rFonts w:hint="eastAsia"/>
              </w:rPr>
              <w:t>20</w:t>
            </w:r>
          </w:p>
        </w:tc>
        <w:tc>
          <w:tcPr>
            <w:tcW w:w="425" w:type="pct"/>
            <w:vMerge w:val="restart"/>
            <w:vAlign w:val="center"/>
          </w:tcPr>
          <w:p>
            <w:pPr>
              <w:pStyle w:val="42"/>
            </w:pPr>
            <w:r>
              <w:rPr>
                <w:rFonts w:hint="eastAsia"/>
              </w:rPr>
              <w:t>133</w:t>
            </w:r>
          </w:p>
        </w:tc>
        <w:tc>
          <w:tcPr>
            <w:tcW w:w="426" w:type="pct"/>
            <w:vMerge w:val="restart"/>
            <w:vAlign w:val="center"/>
          </w:tcPr>
          <w:p>
            <w:pPr>
              <w:pStyle w:val="42"/>
            </w:pPr>
            <w:r>
              <w:rPr>
                <w:rFonts w:hint="eastAsia"/>
              </w:rPr>
              <w:t>155</w:t>
            </w:r>
          </w:p>
        </w:tc>
        <w:tc>
          <w:tcPr>
            <w:tcW w:w="426" w:type="pct"/>
            <w:vMerge w:val="restart"/>
            <w:vAlign w:val="center"/>
          </w:tcPr>
          <w:p>
            <w:pPr>
              <w:pStyle w:val="42"/>
            </w:pPr>
            <w:r>
              <w:rPr>
                <w:rFonts w:hint="eastAsia"/>
              </w:rPr>
              <w:t>110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7" w:type="pct"/>
            <w:tcBorders>
              <w:bottom w:val="single" w:color="auto" w:sz="6" w:space="0"/>
            </w:tcBorders>
            <w:vAlign w:val="center"/>
          </w:tcPr>
          <w:p>
            <w:pPr>
              <w:pStyle w:val="42"/>
            </w:pPr>
            <w:r>
              <w:rPr>
                <w:rFonts w:hint="eastAsia"/>
              </w:rPr>
              <w:t>9</w:t>
            </w:r>
          </w:p>
        </w:tc>
        <w:tc>
          <w:tcPr>
            <w:tcW w:w="486" w:type="pct"/>
            <w:vMerge w:val="continue"/>
            <w:tcBorders>
              <w:bottom w:val="single" w:color="auto" w:sz="6" w:space="0"/>
            </w:tcBorders>
            <w:vAlign w:val="center"/>
          </w:tcPr>
          <w:p>
            <w:pPr>
              <w:pStyle w:val="42"/>
            </w:pPr>
          </w:p>
        </w:tc>
        <w:tc>
          <w:tcPr>
            <w:tcW w:w="785" w:type="pct"/>
            <w:tcBorders>
              <w:bottom w:val="single" w:color="auto" w:sz="6" w:space="0"/>
            </w:tcBorders>
            <w:vAlign w:val="center"/>
          </w:tcPr>
          <w:p>
            <w:pPr>
              <w:pStyle w:val="42"/>
            </w:pPr>
            <w:r>
              <w:rPr>
                <w:rFonts w:hint="eastAsia"/>
              </w:rPr>
              <w:t>风机</w:t>
            </w:r>
          </w:p>
        </w:tc>
        <w:tc>
          <w:tcPr>
            <w:tcW w:w="437" w:type="pct"/>
            <w:tcBorders>
              <w:bottom w:val="single" w:color="auto" w:sz="6" w:space="0"/>
            </w:tcBorders>
            <w:vAlign w:val="center"/>
          </w:tcPr>
          <w:p>
            <w:pPr>
              <w:pStyle w:val="42"/>
            </w:pPr>
            <w:r>
              <w:rPr>
                <w:rFonts w:hint="eastAsia"/>
              </w:rPr>
              <w:t>1</w:t>
            </w:r>
          </w:p>
        </w:tc>
        <w:tc>
          <w:tcPr>
            <w:tcW w:w="524" w:type="pct"/>
            <w:tcBorders>
              <w:bottom w:val="single" w:color="auto" w:sz="6" w:space="0"/>
            </w:tcBorders>
            <w:vAlign w:val="center"/>
          </w:tcPr>
          <w:p>
            <w:pPr>
              <w:pStyle w:val="42"/>
            </w:pPr>
            <w:r>
              <w:rPr>
                <w:rFonts w:hint="eastAsia"/>
              </w:rPr>
              <w:t>连续</w:t>
            </w:r>
          </w:p>
        </w:tc>
        <w:tc>
          <w:tcPr>
            <w:tcW w:w="649" w:type="pct"/>
            <w:tcBorders>
              <w:bottom w:val="single" w:color="auto" w:sz="6" w:space="0"/>
            </w:tcBorders>
            <w:vAlign w:val="center"/>
          </w:tcPr>
          <w:p>
            <w:pPr>
              <w:pStyle w:val="42"/>
            </w:pPr>
            <w:r>
              <w:rPr>
                <w:rFonts w:hint="eastAsia" w:ascii="宋体" w:hAnsi="宋体"/>
              </w:rPr>
              <w:t>≤</w:t>
            </w:r>
            <w:r>
              <w:rPr>
                <w:rFonts w:hint="eastAsia"/>
              </w:rPr>
              <w:t>65</w:t>
            </w:r>
          </w:p>
        </w:tc>
        <w:tc>
          <w:tcPr>
            <w:tcW w:w="425" w:type="pct"/>
            <w:vMerge w:val="continue"/>
            <w:tcBorders>
              <w:bottom w:val="single" w:color="auto" w:sz="6" w:space="0"/>
            </w:tcBorders>
            <w:vAlign w:val="center"/>
          </w:tcPr>
          <w:p>
            <w:pPr>
              <w:pStyle w:val="42"/>
            </w:pPr>
          </w:p>
        </w:tc>
        <w:tc>
          <w:tcPr>
            <w:tcW w:w="425" w:type="pct"/>
            <w:vMerge w:val="continue"/>
            <w:tcBorders>
              <w:bottom w:val="single" w:color="auto" w:sz="6" w:space="0"/>
            </w:tcBorders>
            <w:vAlign w:val="center"/>
          </w:tcPr>
          <w:p>
            <w:pPr>
              <w:pStyle w:val="42"/>
            </w:pPr>
          </w:p>
        </w:tc>
        <w:tc>
          <w:tcPr>
            <w:tcW w:w="426" w:type="pct"/>
            <w:vMerge w:val="continue"/>
            <w:tcBorders>
              <w:bottom w:val="single" w:color="auto" w:sz="6" w:space="0"/>
            </w:tcBorders>
            <w:vAlign w:val="center"/>
          </w:tcPr>
          <w:p>
            <w:pPr>
              <w:pStyle w:val="42"/>
            </w:pPr>
          </w:p>
        </w:tc>
        <w:tc>
          <w:tcPr>
            <w:tcW w:w="426" w:type="pct"/>
            <w:vMerge w:val="continue"/>
            <w:tcBorders>
              <w:bottom w:val="single" w:color="auto" w:sz="6" w:space="0"/>
            </w:tcBorders>
            <w:vAlign w:val="center"/>
          </w:tcPr>
          <w:p>
            <w:pPr>
              <w:pStyle w:val="42"/>
            </w:pPr>
          </w:p>
        </w:tc>
      </w:tr>
    </w:tbl>
    <w:p>
      <w:pPr>
        <w:pStyle w:val="5"/>
        <w:spacing w:before="163" w:after="163"/>
      </w:pPr>
      <w:r>
        <w:rPr>
          <w:rFonts w:hint="eastAsia"/>
        </w:rPr>
        <w:t>5.2.3.2预测模式</w:t>
      </w:r>
    </w:p>
    <w:p>
      <w:pPr>
        <w:ind w:firstLine="480"/>
      </w:pPr>
      <w:r>
        <w:rPr>
          <w:rFonts w:hint="eastAsia"/>
        </w:rPr>
        <w:t>根据《环境影响评价技术导则</w:t>
      </w:r>
      <w:r>
        <w:t>-</w:t>
      </w:r>
      <w:r>
        <w:rPr>
          <w:rFonts w:hint="eastAsia"/>
        </w:rPr>
        <w:t>声环境》（</w:t>
      </w:r>
      <w:r>
        <w:t>HJ 2.4-2009</w:t>
      </w:r>
      <w:r>
        <w:rPr>
          <w:rFonts w:hint="eastAsia"/>
        </w:rPr>
        <w:t>）的技术要求，本次评价采用导则推荐模式。</w:t>
      </w:r>
    </w:p>
    <w:p>
      <w:pPr>
        <w:ind w:firstLine="480"/>
      </w:pPr>
      <w:r>
        <w:rPr>
          <w:rFonts w:hint="eastAsia"/>
        </w:rPr>
        <w:t>（</w:t>
      </w:r>
      <w:r>
        <w:t>1</w:t>
      </w:r>
      <w:r>
        <w:rPr>
          <w:rFonts w:hint="eastAsia"/>
        </w:rPr>
        <w:t>）声级计算</w:t>
      </w:r>
    </w:p>
    <w:p>
      <w:pPr>
        <w:ind w:firstLine="480"/>
      </w:pPr>
      <w:r>
        <w:rPr>
          <w:rFonts w:hint="eastAsia"/>
        </w:rPr>
        <w:t>建设项目声源在预测点产生的等效声级贡献值</w:t>
      </w:r>
      <w:r>
        <w:t>(Leq g)</w:t>
      </w:r>
      <w:r>
        <w:rPr>
          <w:rFonts w:hint="eastAsia"/>
        </w:rPr>
        <w:t>计算公式：</w:t>
      </w:r>
    </w:p>
    <w:p>
      <w:pPr>
        <w:spacing w:before="120" w:after="120"/>
        <w:ind w:firstLine="2400" w:firstLineChars="1000"/>
        <w:rPr>
          <w:position w:val="-28"/>
        </w:rPr>
      </w:pPr>
      <w:r>
        <w:rPr>
          <w:position w:val="-28"/>
        </w:rPr>
        <w:object>
          <v:shape id="_x0000_i1037" o:spt="75" type="#_x0000_t75" style="height:34.65pt;width:130.4pt;" o:ole="t" filled="f" coordsize="21600,21600">
            <v:path/>
            <v:fill on="f" focussize="0,0"/>
            <v:stroke/>
            <v:imagedata r:id="rId77" o:title=""/>
            <o:lock v:ext="edit" aspectratio="t"/>
            <w10:wrap type="none"/>
            <w10:anchorlock/>
          </v:shape>
          <o:OLEObject Type="Embed" ProgID="Equation.3" ShapeID="_x0000_i1037" DrawAspect="Content" ObjectID="_1468075738" r:id="rId76">
            <o:LockedField>false</o:LockedField>
          </o:OLEObject>
        </w:object>
      </w:r>
    </w:p>
    <w:p>
      <w:pPr>
        <w:ind w:firstLine="480"/>
      </w:pPr>
      <w:r>
        <w:rPr>
          <w:rFonts w:hint="eastAsia"/>
        </w:rPr>
        <w:t>式中：</w:t>
      </w:r>
      <w:r>
        <w:t>Leqg—</w:t>
      </w:r>
      <w:r>
        <w:rPr>
          <w:rFonts w:hint="eastAsia"/>
        </w:rPr>
        <w:t>建设项目声源在预测点的等效声级贡献值，</w:t>
      </w:r>
      <w:r>
        <w:t>dB(A)</w:t>
      </w:r>
      <w:r>
        <w:rPr>
          <w:rFonts w:hint="eastAsia"/>
        </w:rPr>
        <w:t>；</w:t>
      </w:r>
    </w:p>
    <w:p>
      <w:pPr>
        <w:ind w:firstLine="1200" w:firstLineChars="500"/>
      </w:pPr>
      <w:r>
        <w:t>LAi — i</w:t>
      </w:r>
      <w:r>
        <w:rPr>
          <w:rFonts w:hint="eastAsia"/>
        </w:rPr>
        <w:t>声源在预测点产生的</w:t>
      </w:r>
      <w:r>
        <w:t xml:space="preserve">A </w:t>
      </w:r>
      <w:r>
        <w:rPr>
          <w:rFonts w:hint="eastAsia"/>
        </w:rPr>
        <w:t>声级，</w:t>
      </w:r>
      <w:r>
        <w:t>dB(A)</w:t>
      </w:r>
      <w:r>
        <w:rPr>
          <w:rFonts w:hint="eastAsia"/>
        </w:rPr>
        <w:t>；</w:t>
      </w:r>
    </w:p>
    <w:p>
      <w:pPr>
        <w:ind w:firstLine="1200" w:firstLineChars="500"/>
      </w:pPr>
      <w:r>
        <w:t>T—</w:t>
      </w:r>
      <w:r>
        <w:rPr>
          <w:rFonts w:hint="eastAsia"/>
        </w:rPr>
        <w:t>预测计算的时间段，</w:t>
      </w:r>
      <w:r>
        <w:t>s</w:t>
      </w:r>
      <w:r>
        <w:rPr>
          <w:rFonts w:hint="eastAsia"/>
        </w:rPr>
        <w:t>；</w:t>
      </w:r>
    </w:p>
    <w:p>
      <w:pPr>
        <w:ind w:firstLine="1200" w:firstLineChars="500"/>
      </w:pPr>
      <w:r>
        <w:t>ti— i</w:t>
      </w:r>
      <w:r>
        <w:rPr>
          <w:rFonts w:hint="eastAsia"/>
        </w:rPr>
        <w:t>声源在</w:t>
      </w:r>
      <w:r>
        <w:t xml:space="preserve">T </w:t>
      </w:r>
      <w:r>
        <w:rPr>
          <w:rFonts w:hint="eastAsia"/>
        </w:rPr>
        <w:t>时段内的运行时间，</w:t>
      </w:r>
      <w:r>
        <w:t>s</w:t>
      </w:r>
      <w:r>
        <w:rPr>
          <w:rFonts w:hint="eastAsia"/>
        </w:rPr>
        <w:t>。</w:t>
      </w:r>
    </w:p>
    <w:p>
      <w:pPr>
        <w:spacing w:before="120" w:after="120"/>
        <w:ind w:firstLine="199" w:firstLineChars="83"/>
      </w:pPr>
      <w:r>
        <w:rPr>
          <w:rFonts w:hint="eastAsia"/>
        </w:rPr>
        <w:t>（</w:t>
      </w:r>
      <w:r>
        <w:t>2</w:t>
      </w:r>
      <w:r>
        <w:rPr>
          <w:rFonts w:hint="eastAsia"/>
        </w:rPr>
        <w:t>）预测点的预测等效声级</w:t>
      </w:r>
      <w:r>
        <w:t>(Leq )</w:t>
      </w:r>
      <w:r>
        <w:rPr>
          <w:rFonts w:hint="eastAsia"/>
        </w:rPr>
        <w:t>计算公式</w:t>
      </w:r>
    </w:p>
    <w:p>
      <w:pPr>
        <w:spacing w:before="120" w:after="120"/>
        <w:ind w:firstLine="2400" w:firstLineChars="1000"/>
        <w:rPr>
          <w:position w:val="-14"/>
        </w:rPr>
      </w:pPr>
      <w:r>
        <w:rPr>
          <w:position w:val="-14"/>
        </w:rPr>
        <w:object>
          <v:shape id="_x0000_i1038" o:spt="75" type="#_x0000_t75" style="height:19.7pt;width:142.65pt;" o:ole="t" filled="f" coordsize="21600,21600">
            <v:path/>
            <v:fill on="f" focussize="0,0"/>
            <v:stroke/>
            <v:imagedata r:id="rId79" o:title=""/>
            <o:lock v:ext="edit" aspectratio="t"/>
            <w10:wrap type="none"/>
            <w10:anchorlock/>
          </v:shape>
          <o:OLEObject Type="Embed" ProgID="Equation.3" ShapeID="_x0000_i1038" DrawAspect="Content" ObjectID="_1468075739" r:id="rId78">
            <o:LockedField>false</o:LockedField>
          </o:OLEObject>
        </w:object>
      </w:r>
    </w:p>
    <w:p>
      <w:pPr>
        <w:ind w:firstLine="480"/>
      </w:pPr>
      <w:r>
        <w:rPr>
          <w:rFonts w:hint="eastAsia"/>
        </w:rPr>
        <w:t>式中：</w:t>
      </w:r>
      <w:r>
        <w:t>Leqg—</w:t>
      </w:r>
      <w:r>
        <w:rPr>
          <w:rFonts w:hint="eastAsia"/>
        </w:rPr>
        <w:t>建设项目声源在预测点的等效声级贡献值，</w:t>
      </w:r>
      <w:r>
        <w:t>dB(A)</w:t>
      </w:r>
      <w:r>
        <w:rPr>
          <w:rFonts w:hint="eastAsia"/>
        </w:rPr>
        <w:t>；</w:t>
      </w:r>
    </w:p>
    <w:p>
      <w:pPr>
        <w:ind w:firstLine="1200" w:firstLineChars="500"/>
      </w:pPr>
      <w:r>
        <w:t>Leqb—</w:t>
      </w:r>
      <w:r>
        <w:rPr>
          <w:rFonts w:hint="eastAsia"/>
        </w:rPr>
        <w:t>预测点的背景值，</w:t>
      </w:r>
      <w:r>
        <w:t>dB(A)</w:t>
      </w:r>
    </w:p>
    <w:p>
      <w:pPr>
        <w:ind w:firstLine="480"/>
      </w:pPr>
      <w:r>
        <w:rPr>
          <w:rFonts w:hint="eastAsia"/>
        </w:rPr>
        <w:t>（</w:t>
      </w:r>
      <w:r>
        <w:t>3</w:t>
      </w:r>
      <w:r>
        <w:rPr>
          <w:rFonts w:hint="eastAsia"/>
        </w:rPr>
        <w:t>）户外声传播衰减计算</w:t>
      </w:r>
    </w:p>
    <w:p>
      <w:pPr>
        <w:ind w:firstLine="480"/>
      </w:pPr>
      <w:r>
        <w:rPr>
          <w:rFonts w:hint="eastAsia"/>
        </w:rPr>
        <w:t>户外声传播衰减包括几何发散（</w:t>
      </w:r>
      <w:r>
        <w:t>Adiv</w:t>
      </w:r>
      <w:r>
        <w:rPr>
          <w:rFonts w:hint="eastAsia"/>
        </w:rPr>
        <w:t>）、大气吸收（</w:t>
      </w:r>
      <w:r>
        <w:t>Aatm</w:t>
      </w:r>
      <w:r>
        <w:rPr>
          <w:rFonts w:hint="eastAsia"/>
        </w:rPr>
        <w:t>）、地面效应（</w:t>
      </w:r>
      <w:r>
        <w:t>Agr</w:t>
      </w:r>
      <w:r>
        <w:rPr>
          <w:rFonts w:hint="eastAsia"/>
        </w:rPr>
        <w:t>）、屏障屏蔽（</w:t>
      </w:r>
      <w:r>
        <w:t>Abar</w:t>
      </w:r>
      <w:r>
        <w:rPr>
          <w:rFonts w:hint="eastAsia"/>
        </w:rPr>
        <w:t>）、其他多方面效应（</w:t>
      </w:r>
      <w:r>
        <w:t>Amisc</w:t>
      </w:r>
      <w:r>
        <w:rPr>
          <w:rFonts w:hint="eastAsia"/>
        </w:rPr>
        <w:t>）引起的衰减。</w:t>
      </w:r>
    </w:p>
    <w:p>
      <w:pPr>
        <w:ind w:firstLine="480"/>
      </w:pPr>
      <w:r>
        <w:rPr>
          <w:rFonts w:hint="eastAsia"/>
        </w:rPr>
        <w:t>距声源点</w:t>
      </w:r>
      <w:r>
        <w:t>r</w:t>
      </w:r>
      <w:r>
        <w:rPr>
          <w:rFonts w:hint="eastAsia"/>
        </w:rPr>
        <w:t>处的</w:t>
      </w:r>
      <w:r>
        <w:t>A</w:t>
      </w:r>
      <w:r>
        <w:rPr>
          <w:rFonts w:hint="eastAsia"/>
        </w:rPr>
        <w:t>声级按下式计算：</w:t>
      </w:r>
    </w:p>
    <w:p>
      <w:pPr>
        <w:pStyle w:val="41"/>
        <w:ind w:firstLine="480"/>
      </w:pPr>
      <w:r>
        <w:drawing>
          <wp:inline distT="0" distB="0" distL="0" distR="0">
            <wp:extent cx="3418840" cy="361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418840" cy="361950"/>
                    </a:xfrm>
                    <a:prstGeom prst="rect">
                      <a:avLst/>
                    </a:prstGeom>
                    <a:noFill/>
                    <a:ln>
                      <a:noFill/>
                    </a:ln>
                  </pic:spPr>
                </pic:pic>
              </a:graphicData>
            </a:graphic>
          </wp:inline>
        </w:drawing>
      </w:r>
    </w:p>
    <w:p>
      <w:pPr>
        <w:ind w:firstLine="480"/>
      </w:pPr>
      <w:r>
        <w:rPr>
          <w:rFonts w:hint="eastAsia"/>
        </w:rPr>
        <w:t>在预测中考虑反射引起的修正、屏障引起的衰减、双绕射、室内声源等效室外声源等影响和计算方法。</w:t>
      </w:r>
    </w:p>
    <w:p>
      <w:pPr>
        <w:pStyle w:val="5"/>
        <w:spacing w:before="163" w:after="163"/>
      </w:pPr>
      <w:r>
        <w:rPr>
          <w:rFonts w:hint="eastAsia"/>
        </w:rPr>
        <w:t>5.2.3.3噪声影响预测结果</w:t>
      </w:r>
    </w:p>
    <w:p>
      <w:pPr>
        <w:ind w:firstLine="480"/>
      </w:pPr>
      <w:r>
        <w:rPr>
          <w:rFonts w:hint="eastAsia"/>
        </w:rPr>
        <w:t>利用上述的预测数字模型，将有关参数代入公式计算，预测拟建工程噪声源对各向厂界的影响，预测结果可见表5.2.3-2。</w:t>
      </w:r>
    </w:p>
    <w:p>
      <w:pPr>
        <w:pStyle w:val="41"/>
      </w:pPr>
      <w:r>
        <w:rPr>
          <w:rFonts w:hint="eastAsia"/>
        </w:rPr>
        <w:t>表5.2.3-2   拟建项目厂界噪声预测结果   单位：dB（A）</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3376"/>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restart"/>
            <w:tcBorders>
              <w:top w:val="single" w:color="auto" w:sz="4" w:space="0"/>
              <w:left w:val="single" w:color="auto" w:sz="4" w:space="0"/>
              <w:right w:val="single" w:color="auto" w:sz="4" w:space="0"/>
            </w:tcBorders>
            <w:vAlign w:val="center"/>
          </w:tcPr>
          <w:p>
            <w:pPr>
              <w:pStyle w:val="42"/>
              <w:ind w:firstLine="400"/>
            </w:pPr>
            <w:r>
              <w:t>受声点位置</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pPr>
            <w:r>
              <w:t>昼间</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continue"/>
            <w:tcBorders>
              <w:left w:val="single" w:color="auto" w:sz="4" w:space="0"/>
              <w:bottom w:val="single" w:color="auto" w:sz="4" w:space="0"/>
              <w:right w:val="single" w:color="auto" w:sz="4" w:space="0"/>
            </w:tcBorders>
            <w:vAlign w:val="center"/>
          </w:tcPr>
          <w:p>
            <w:pPr>
              <w:pStyle w:val="42"/>
              <w:ind w:firstLine="400"/>
              <w:rPr>
                <w:rStyle w:val="60"/>
              </w:rPr>
            </w:pP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pPr>
            <w:r>
              <w:t>贡献值</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pPr>
            <w: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restar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t>东厂界</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51.29</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51.29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restart"/>
            <w:tcBorders>
              <w:top w:val="single" w:color="auto" w:sz="4" w:space="0"/>
              <w:left w:val="single" w:color="auto" w:sz="4" w:space="0"/>
              <w:bottom w:val="single" w:color="auto" w:sz="4" w:space="0"/>
              <w:right w:val="single" w:color="auto" w:sz="4" w:space="0"/>
            </w:tcBorders>
            <w:vAlign w:val="center"/>
          </w:tcPr>
          <w:p>
            <w:pPr>
              <w:pStyle w:val="42"/>
              <w:ind w:firstLine="400"/>
            </w:pPr>
            <w:r>
              <w:t>西厂界</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48.29</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48.29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restart"/>
            <w:tcBorders>
              <w:top w:val="single" w:color="auto" w:sz="4" w:space="0"/>
              <w:left w:val="single" w:color="auto" w:sz="4" w:space="0"/>
              <w:bottom w:val="single" w:color="auto" w:sz="4" w:space="0"/>
              <w:right w:val="single" w:color="auto" w:sz="4" w:space="0"/>
            </w:tcBorders>
            <w:vAlign w:val="center"/>
          </w:tcPr>
          <w:p>
            <w:pPr>
              <w:pStyle w:val="42"/>
              <w:ind w:firstLine="400"/>
            </w:pPr>
            <w:r>
              <w:t>北厂界</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44.39</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44.39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vMerge w:val="restart"/>
            <w:tcBorders>
              <w:top w:val="single" w:color="auto" w:sz="4" w:space="0"/>
              <w:left w:val="single" w:color="auto" w:sz="4" w:space="0"/>
              <w:bottom w:val="single" w:color="auto" w:sz="4" w:space="0"/>
              <w:right w:val="single" w:color="auto" w:sz="4" w:space="0"/>
            </w:tcBorders>
            <w:vAlign w:val="center"/>
          </w:tcPr>
          <w:p>
            <w:pPr>
              <w:pStyle w:val="42"/>
              <w:ind w:firstLine="400"/>
            </w:pPr>
            <w:r>
              <w:t>南厂界</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50.18</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rPr>
                <w:rStyle w:val="60"/>
                <w:rFonts w:hint="eastAsia"/>
              </w:rPr>
              <w:t>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9" w:type="pct"/>
            <w:tcBorders>
              <w:top w:val="single" w:color="auto" w:sz="4" w:space="0"/>
              <w:left w:val="single" w:color="auto" w:sz="4" w:space="0"/>
              <w:bottom w:val="single" w:color="auto" w:sz="4" w:space="0"/>
              <w:right w:val="single" w:color="auto" w:sz="4" w:space="0"/>
            </w:tcBorders>
            <w:vAlign w:val="center"/>
          </w:tcPr>
          <w:p>
            <w:pPr>
              <w:pStyle w:val="42"/>
              <w:ind w:firstLine="400"/>
            </w:pPr>
            <w:r>
              <w:t>标准值</w:t>
            </w:r>
          </w:p>
        </w:tc>
        <w:tc>
          <w:tcPr>
            <w:tcW w:w="1981"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t>65</w:t>
            </w:r>
          </w:p>
        </w:tc>
        <w:tc>
          <w:tcPr>
            <w:tcW w:w="1790" w:type="pct"/>
            <w:tcBorders>
              <w:top w:val="single" w:color="auto" w:sz="4" w:space="0"/>
              <w:left w:val="single" w:color="auto" w:sz="4" w:space="0"/>
              <w:bottom w:val="single" w:color="auto" w:sz="4" w:space="0"/>
              <w:right w:val="single" w:color="auto" w:sz="4" w:space="0"/>
            </w:tcBorders>
            <w:vAlign w:val="center"/>
          </w:tcPr>
          <w:p>
            <w:pPr>
              <w:pStyle w:val="42"/>
              <w:ind w:firstLine="400"/>
              <w:rPr>
                <w:rStyle w:val="60"/>
              </w:rPr>
            </w:pPr>
            <w:r>
              <w:t>55</w:t>
            </w:r>
          </w:p>
        </w:tc>
      </w:tr>
    </w:tbl>
    <w:p>
      <w:pPr>
        <w:ind w:firstLine="480"/>
      </w:pPr>
      <w:r>
        <w:rPr>
          <w:rFonts w:hint="eastAsia"/>
        </w:rPr>
        <w:t>由预测结果可知，拟建项目在采取了一系列的减振、消声和吸声等噪声防治措施后，与在建项目噪声叠加后厂界噪声值昼、夜间均可满足《工业企业厂界环境噪声排放标准》（GB12348-2008）3类标准要求，对环境的影响可接受。</w:t>
      </w:r>
    </w:p>
    <w:p>
      <w:pPr>
        <w:pStyle w:val="4"/>
        <w:spacing w:before="163" w:after="163"/>
      </w:pPr>
      <w:bookmarkStart w:id="123" w:name="_Toc84844293"/>
      <w:r>
        <w:rPr>
          <w:rFonts w:hint="eastAsia"/>
        </w:rPr>
        <w:t>5.2.4固废环境影响分析</w:t>
      </w:r>
      <w:bookmarkEnd w:id="123"/>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ind w:firstLine="480"/>
      </w:pPr>
      <w:r>
        <w:rPr>
          <w:rFonts w:hint="eastAsia"/>
        </w:rPr>
        <w:t>（1）危险废物的储存</w:t>
      </w:r>
    </w:p>
    <w:p>
      <w:pPr>
        <w:ind w:firstLine="480"/>
      </w:pPr>
      <w:r>
        <w:rPr>
          <w:rFonts w:hint="eastAsia"/>
        </w:rPr>
        <w:t>拟建项目新建建筑面积为100m</w:t>
      </w:r>
      <w:r>
        <w:rPr>
          <w:rFonts w:hint="eastAsia"/>
          <w:vertAlign w:val="superscript"/>
        </w:rPr>
        <w:t>2</w:t>
      </w:r>
      <w:r>
        <w:rPr>
          <w:rFonts w:hint="eastAsia"/>
        </w:rPr>
        <w:t>的危险废物暂存间。危险废物分类收集，采用专用桶/袋装后，分区暂存于危废暂存间，在装卸、运输、堆放过程中，应严格进行固体废物包装的检查，在运出危险废物临时暂存点时其包装应是完好和密封的，避免有害废物的泄漏等产生二次污染。</w:t>
      </w:r>
    </w:p>
    <w:p>
      <w:pPr>
        <w:ind w:firstLine="480"/>
      </w:pPr>
      <w:r>
        <w:rPr>
          <w:rFonts w:hint="eastAsia"/>
        </w:rPr>
        <w:t>危废暂存点必须遵守《危险废物贮存污染控制标准》（GB18597-2001）下列规定：</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危险废物贮存去必须防风、防雨、防晒，并且设置危险废物警示标志；</w:t>
      </w:r>
    </w:p>
    <w:p>
      <w:pPr>
        <w:ind w:firstLine="480"/>
      </w:pPr>
      <w:r>
        <w:rPr>
          <w:rFonts w:hint="eastAsia"/>
        </w:rPr>
        <w:t>②地面与裙角防腐、防渗处理，地面与裙角所围建的容积不小于最大容器的最大储存量；</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地面采取防渗处理，防渗层为至少1m厚粘土层（渗透系数≤10</w:t>
      </w:r>
      <w:r>
        <w:rPr>
          <w:rFonts w:hint="eastAsia"/>
          <w:vertAlign w:val="superscript"/>
        </w:rPr>
        <w:t>-7</w:t>
      </w:r>
      <w:r>
        <w:rPr>
          <w:rFonts w:hint="eastAsia"/>
        </w:rPr>
        <w:t>cm/s），或2mm厚高密度聚乙烯、或至少2mm厚的其他人工材料，渗透系数≤10</w:t>
      </w:r>
      <w:r>
        <w:rPr>
          <w:rFonts w:hint="eastAsia"/>
          <w:vertAlign w:val="superscript"/>
        </w:rPr>
        <w:t>-10</w:t>
      </w:r>
      <w:r>
        <w:rPr>
          <w:rFonts w:hint="eastAsia"/>
        </w:rPr>
        <w:t>cm/s。并在贮存区的四周修建防火堤，以防止流失。</w:t>
      </w:r>
    </w:p>
    <w:p>
      <w:pPr>
        <w:ind w:firstLine="480"/>
      </w:pPr>
      <w:r>
        <w:rPr>
          <w:rFonts w:hint="eastAsia"/>
        </w:rPr>
        <w:t>④必须将危险废物装入容器内。禁止将不相容（相互反应）的危险废物在同一容器内混装。更不得将其混入非危险废物中处置。</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在常温常压下易爆、易燃及排出有毒气体的危险废物必须进行预处理，使之稳定后贮存，否则，按易爆、易燃危险品贮存。</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6</w:instrText>
      </w:r>
      <w:r>
        <w:rPr>
          <w:rFonts w:hint="eastAsia"/>
        </w:rPr>
        <w:instrText xml:space="preserve">)</w:instrText>
      </w:r>
      <w:r>
        <w:fldChar w:fldCharType="end"/>
      </w:r>
      <w:r>
        <w:rPr>
          <w:rFonts w:hint="eastAsia"/>
        </w:rPr>
        <w:t>危险废物贮存前进行检查、核对，做好记录，标明危险废物名称、来源、数量、特性、入库日期、存放位置；出库时记录出库日期和接收单位。</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7</w:instrText>
      </w:r>
      <w:r>
        <w:rPr>
          <w:rFonts w:hint="eastAsia"/>
        </w:rPr>
        <w:instrText xml:space="preserve">)</w:instrText>
      </w:r>
      <w:r>
        <w:fldChar w:fldCharType="end"/>
      </w:r>
      <w:r>
        <w:rPr>
          <w:rFonts w:hint="eastAsia"/>
        </w:rPr>
        <w:t>配备通讯设备、照明设施、安全防护服及应急工具，并设应急防护设施。</w:t>
      </w:r>
    </w:p>
    <w:p>
      <w:pPr>
        <w:ind w:firstLine="480"/>
      </w:pPr>
      <w:r>
        <w:rPr>
          <w:rFonts w:hint="eastAsia"/>
        </w:rPr>
        <w:t>（2）危险废物包装、转移控制措施</w:t>
      </w:r>
    </w:p>
    <w:p>
      <w:pPr>
        <w:ind w:firstLine="480"/>
      </w:pPr>
      <w:r>
        <w:rPr>
          <w:rFonts w:hint="eastAsia"/>
        </w:rPr>
        <w:t>拟建项目各类危废均按照《危险废物贮存污染控制标准》中“4.4必须将危险废物装入容器内”、“4.5禁止将不相容（相互反应）的危险废物在同一容器内混装”“4.6无法装入常用容器的危险废物可用防漏胶袋等盛装”等危险废物包装要求实施；本项目危废主要为各种废催化剂、废脱硫剂和废吸附剂等，均定期更换，其中废脱硫剂、废催化剂和废吸附剂等定期更换，其中PSA吸附器吸附剂15年更换一次、合成氨催化剂10年更换一次、其余脱硫剂和催化剂2~3年更换一次，均由厂家负责更换，更换时可提前联系有危险废物处理资质的单位，确定转移时间，尽量缩短废催化剂、废脱硫剂、废吸附剂等在厂区内暂存时间；废活性炭产生量为0.24t/a，专用容器集中收集后在危险废物暂存间暂存。</w:t>
      </w:r>
    </w:p>
    <w:p>
      <w:pPr>
        <w:ind w:firstLine="480"/>
      </w:pPr>
      <w:r>
        <w:rPr>
          <w:rFonts w:hint="eastAsia"/>
        </w:rPr>
        <w:t>本项目采用密封包装后储存于危废暂存间内也符合《危险废物贮存污染控制标准》中相关要求，同时危险废物转移需满足以下控制措施：</w:t>
      </w:r>
    </w:p>
    <w:p>
      <w:pPr>
        <w:ind w:firstLine="480"/>
      </w:pPr>
      <w:r>
        <w:rPr>
          <w:rFonts w:hint="eastAsia"/>
        </w:rPr>
        <w:t>①企业应按国家有关规定办理危险废物申报转移的“五联单”手续，厂内暂存时间不得超过1年。</w:t>
      </w:r>
    </w:p>
    <w:p>
      <w:pPr>
        <w:ind w:firstLine="480"/>
      </w:pPr>
      <w:r>
        <w:rPr>
          <w:rFonts w:hint="eastAsia"/>
        </w:rPr>
        <w:t>②在交有资质单位处理时，应严格按照《危险废物转移联单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pPr>
        <w:ind w:firstLine="480"/>
      </w:pPr>
      <w:r>
        <w:rPr>
          <w:rFonts w:hint="eastAsia"/>
        </w:rPr>
        <w:t>③所有废物收集和封装容器应得到接收企业及当地环保部门的认可。</w:t>
      </w:r>
    </w:p>
    <w:p>
      <w:pPr>
        <w:ind w:firstLine="480"/>
      </w:pPr>
      <w:r>
        <w:rPr>
          <w:rFonts w:hint="eastAsia"/>
        </w:rPr>
        <w:t>④应指定专人负责固废和残液的收集、贮运管理工作，运输车辆的司机和押运人员应经专业培训。</w:t>
      </w:r>
    </w:p>
    <w:p>
      <w:pPr>
        <w:ind w:firstLine="480"/>
      </w:pPr>
      <w:r>
        <w:rPr>
          <w:rFonts w:hint="eastAsia"/>
        </w:rPr>
        <w:t>⑤收运车应采用密闭运输方式，防止外泄。</w:t>
      </w:r>
    </w:p>
    <w:p>
      <w:pPr>
        <w:ind w:firstLine="480"/>
      </w:pPr>
      <w:r>
        <w:rPr>
          <w:rFonts w:hint="eastAsia"/>
        </w:rPr>
        <w:t>⑥建设单位与处置单位对危险废物交接时，应按危废联单制管理要求，交接运输，要求交接和运输过程皆处于环境行政主管部门的监控之下进行。</w:t>
      </w:r>
    </w:p>
    <w:p>
      <w:pPr>
        <w:ind w:firstLine="480"/>
      </w:pPr>
      <w:r>
        <w:rPr>
          <w:rFonts w:hint="eastAsia"/>
        </w:rPr>
        <w:t>⑦危险废物运输符合《危险废物收集贮存运输技术规范》相关要求。</w:t>
      </w:r>
    </w:p>
    <w:p>
      <w:pPr>
        <w:ind w:firstLine="480"/>
      </w:pPr>
      <w:r>
        <w:rPr>
          <w:rFonts w:hint="eastAsia"/>
        </w:rPr>
        <w:t>采取以上措施后，拟建项目产生的固体废物均得到有效处置，对环境影响可接受。</w:t>
      </w:r>
    </w:p>
    <w:p>
      <w:pPr>
        <w:pStyle w:val="4"/>
        <w:spacing w:before="163" w:after="163"/>
      </w:pPr>
      <w:bookmarkStart w:id="124" w:name="_Toc84844294"/>
      <w:r>
        <w:rPr>
          <w:rFonts w:hint="eastAsia"/>
        </w:rPr>
        <w:t>5.2.5地下水环境影响分析</w:t>
      </w:r>
      <w:bookmarkEnd w:id="124"/>
    </w:p>
    <w:p>
      <w:pPr>
        <w:ind w:firstLine="480"/>
      </w:pPr>
      <w:r>
        <w:rPr>
          <w:rFonts w:hint="eastAsia"/>
        </w:rPr>
        <w:t>长寿经济技术开发区晏家组团控制性详细规划环评（以下简称“规划环评”）期间对长寿经开区的水文地质条件进行了详细调查，通过收集历史资料，并结合进行了钻孔抽水试验和试坑渗水试验，基本查明了区域内的地质结构，地下水的赋存分布特征，地下水的补给、径流、排泄条件，地下水的水化学特征。为长寿经开区项目建设地下水环境评价提供了基础资料。</w:t>
      </w:r>
    </w:p>
    <w:p>
      <w:pPr>
        <w:ind w:firstLine="480"/>
      </w:pPr>
      <w:r>
        <w:rPr>
          <w:rFonts w:hint="eastAsia"/>
        </w:rPr>
        <w:t>根据调查长寿经开区晏家组团范围内以相对独立水文地质单元为边界，可分为A、B 两个独立水文单元，拟建项目位于相对独立的水文地质单元B。相对独立水文单元B区主要河流为羊叉河，羊叉河下游河道曲折且切割较浅，充分接受区域内地表水汇集，常年有水。羊叉河靠近河泉水库的上游区域及下部局部沟深山陡区域，在降雨时雨水渗透量较小且补给基本为降雨，地势陡高，径流途径较短，地下水主要以泉的形式排泄，局部以民井形式排泄。羊叉河中部晏家区域和近长江平缓区域，在降雨时雨水渗透量较多，径流途径较长，地下水以机井、民井的形式排泄。具体见图5.2.4-1。本次评价将根据拟建项目的特点，充分利用规划环评中及现有的相关资料拟建项目的地下水环境影响评价。</w:t>
      </w:r>
    </w:p>
    <w:p>
      <w:pPr>
        <w:pStyle w:val="41"/>
      </w:pPr>
      <w:r>
        <w:rPr>
          <w:rFonts w:hint="eastAsia"/>
        </w:rPr>
        <w:drawing>
          <wp:inline distT="0" distB="0" distL="0" distR="0">
            <wp:extent cx="3029585" cy="3127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031865" cy="3130013"/>
                    </a:xfrm>
                    <a:prstGeom prst="rect">
                      <a:avLst/>
                    </a:prstGeom>
                    <a:noFill/>
                    <a:ln>
                      <a:noFill/>
                    </a:ln>
                  </pic:spPr>
                </pic:pic>
              </a:graphicData>
            </a:graphic>
          </wp:inline>
        </w:drawing>
      </w:r>
    </w:p>
    <w:p>
      <w:pPr>
        <w:pStyle w:val="41"/>
      </w:pPr>
      <w:r>
        <w:rPr>
          <w:rFonts w:hint="eastAsia"/>
        </w:rPr>
        <w:t>图5.2.4-1  拟建项目所在水文地质单元示意图</w:t>
      </w:r>
    </w:p>
    <w:p>
      <w:pPr>
        <w:pStyle w:val="5"/>
        <w:spacing w:before="163" w:after="163"/>
      </w:pPr>
      <w:r>
        <w:rPr>
          <w:rFonts w:hint="eastAsia"/>
        </w:rPr>
        <w:t>5.2.4.1水文地质参数</w:t>
      </w:r>
    </w:p>
    <w:p>
      <w:pPr>
        <w:ind w:firstLine="480"/>
      </w:pPr>
      <w:r>
        <w:rPr>
          <w:rFonts w:hint="eastAsia"/>
        </w:rPr>
        <w:t>为确定调查区水文地质参数，在调查区做了钻孔抽水试验和试坑渗水试验。根据《长寿经济技术开发区晏家组团控制性详细规划环境影响报告书》的结论，相对独立水文单元B区布设水文地质钻探孔4个，分别为ZK3、ZK4、ZK5、ZK7，选定揭露透水层的2个钻孔（ZK4、ZK7）进行了稳定流抽水试验。钻孔抽水试验均采用单孔稳定流抽水试验，主要揭露了上部浅层风化带裂隙水，依据本次勘察技术要求，并结合当地经验，对ZK4、ZK7钻孔分别进行计算，得到上部含水层水文地质参数成果如下表5.2.4-1。</w:t>
      </w:r>
    </w:p>
    <w:p>
      <w:pPr>
        <w:pStyle w:val="41"/>
      </w:pPr>
      <w:r>
        <w:rPr>
          <w:rFonts w:hint="eastAsia"/>
        </w:rPr>
        <w:t>表5.2.4-1 单孔稳定流抽水试验及水文地质参数计算成果表</w:t>
      </w:r>
    </w:p>
    <w:tbl>
      <w:tblPr>
        <w:tblStyle w:val="33"/>
        <w:tblW w:w="5000" w:type="pct"/>
        <w:jc w:val="center"/>
        <w:tblLayout w:type="fixed"/>
        <w:tblCellMar>
          <w:top w:w="0" w:type="dxa"/>
          <w:left w:w="0" w:type="dxa"/>
          <w:bottom w:w="0" w:type="dxa"/>
          <w:right w:w="0" w:type="dxa"/>
        </w:tblCellMar>
      </w:tblPr>
      <w:tblGrid>
        <w:gridCol w:w="482"/>
        <w:gridCol w:w="569"/>
        <w:gridCol w:w="652"/>
        <w:gridCol w:w="652"/>
        <w:gridCol w:w="556"/>
        <w:gridCol w:w="652"/>
        <w:gridCol w:w="554"/>
        <w:gridCol w:w="582"/>
        <w:gridCol w:w="694"/>
        <w:gridCol w:w="567"/>
        <w:gridCol w:w="956"/>
        <w:gridCol w:w="652"/>
        <w:gridCol w:w="748"/>
      </w:tblGrid>
      <w:tr>
        <w:tblPrEx>
          <w:tblCellMar>
            <w:top w:w="0" w:type="dxa"/>
            <w:left w:w="0" w:type="dxa"/>
            <w:bottom w:w="0" w:type="dxa"/>
            <w:right w:w="0" w:type="dxa"/>
          </w:tblCellMar>
        </w:tblPrEx>
        <w:trPr>
          <w:trHeight w:val="20" w:hRule="atLeast"/>
          <w:jc w:val="center"/>
        </w:trPr>
        <w:tc>
          <w:tcPr>
            <w:tcW w:w="2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地下水类型</w:t>
            </w:r>
          </w:p>
        </w:tc>
        <w:tc>
          <w:tcPr>
            <w:tcW w:w="3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孔号</w:t>
            </w:r>
          </w:p>
        </w:tc>
        <w:tc>
          <w:tcPr>
            <w:tcW w:w="1118" w:type="pct"/>
            <w:gridSpan w:val="3"/>
            <w:tcBorders>
              <w:top w:val="single" w:color="auto" w:sz="4" w:space="0"/>
              <w:left w:val="nil"/>
              <w:bottom w:val="single" w:color="auto" w:sz="4" w:space="0"/>
              <w:right w:val="single" w:color="auto" w:sz="4" w:space="0"/>
            </w:tcBorders>
            <w:shd w:val="clear" w:color="auto" w:fill="auto"/>
            <w:vAlign w:val="center"/>
          </w:tcPr>
          <w:p>
            <w:pPr>
              <w:pStyle w:val="42"/>
              <w:rPr>
                <w:sz w:val="18"/>
                <w:szCs w:val="18"/>
              </w:rPr>
            </w:pPr>
            <w:r>
              <w:rPr>
                <w:sz w:val="18"/>
                <w:szCs w:val="18"/>
              </w:rPr>
              <w:t>含水层</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静止水位埋深</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水位降深s</w:t>
            </w:r>
          </w:p>
        </w:tc>
        <w:tc>
          <w:tcPr>
            <w:tcW w:w="3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涌水量</w:t>
            </w:r>
          </w:p>
          <w:p>
            <w:pPr>
              <w:pStyle w:val="42"/>
              <w:rPr>
                <w:sz w:val="18"/>
                <w:szCs w:val="18"/>
              </w:rPr>
            </w:pPr>
            <w:r>
              <w:rPr>
                <w:sz w:val="18"/>
                <w:szCs w:val="18"/>
              </w:rPr>
              <w:t>Q</w:t>
            </w:r>
          </w:p>
        </w:tc>
        <w:tc>
          <w:tcPr>
            <w:tcW w:w="4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单位涌水量q</w:t>
            </w:r>
          </w:p>
        </w:tc>
        <w:tc>
          <w:tcPr>
            <w:tcW w:w="91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渗透系数K</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影响半径R</w:t>
            </w:r>
          </w:p>
        </w:tc>
        <w:tc>
          <w:tcPr>
            <w:tcW w:w="4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给水度μ</w:t>
            </w:r>
          </w:p>
        </w:tc>
      </w:tr>
      <w:tr>
        <w:tblPrEx>
          <w:tblCellMar>
            <w:top w:w="0" w:type="dxa"/>
            <w:left w:w="0" w:type="dxa"/>
            <w:bottom w:w="0" w:type="dxa"/>
            <w:right w:w="0" w:type="dxa"/>
          </w:tblCellMar>
        </w:tblPrEx>
        <w:trPr>
          <w:trHeight w:val="20" w:hRule="atLeast"/>
          <w:jc w:val="center"/>
        </w:trPr>
        <w:tc>
          <w:tcPr>
            <w:tcW w:w="290"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顶板埋深</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底板埋深</w:t>
            </w:r>
          </w:p>
        </w:tc>
        <w:tc>
          <w:tcPr>
            <w:tcW w:w="334"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厚度</w:t>
            </w: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33"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50"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417"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916"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r>
      <w:tr>
        <w:tblPrEx>
          <w:tblCellMar>
            <w:top w:w="0" w:type="dxa"/>
            <w:left w:w="0" w:type="dxa"/>
            <w:bottom w:w="0" w:type="dxa"/>
            <w:right w:w="0" w:type="dxa"/>
          </w:tblCellMar>
        </w:tblPrEx>
        <w:trPr>
          <w:trHeight w:val="56" w:hRule="atLeast"/>
          <w:jc w:val="center"/>
        </w:trPr>
        <w:tc>
          <w:tcPr>
            <w:tcW w:w="290"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pStyle w:val="42"/>
              <w:rPr>
                <w:sz w:val="18"/>
                <w:szCs w:val="18"/>
              </w:rPr>
            </w:pP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334"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333"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3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r>
              <w:rPr>
                <w:sz w:val="18"/>
                <w:szCs w:val="18"/>
                <w:vertAlign w:val="superscript"/>
              </w:rPr>
              <w:t>3</w:t>
            </w:r>
            <w:r>
              <w:rPr>
                <w:sz w:val="18"/>
                <w:szCs w:val="18"/>
              </w:rPr>
              <w:t>/d</w:t>
            </w:r>
          </w:p>
        </w:tc>
        <w:tc>
          <w:tcPr>
            <w:tcW w:w="417"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l/s.m</w:t>
            </w:r>
          </w:p>
        </w:tc>
        <w:tc>
          <w:tcPr>
            <w:tcW w:w="341"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m/d</w:t>
            </w:r>
          </w:p>
        </w:tc>
        <w:tc>
          <w:tcPr>
            <w:tcW w:w="575"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m/s（10</w:t>
            </w:r>
            <w:r>
              <w:rPr>
                <w:sz w:val="18"/>
                <w:szCs w:val="18"/>
                <w:vertAlign w:val="superscript"/>
              </w:rPr>
              <w:t>-6</w:t>
            </w:r>
            <w:r>
              <w:rPr>
                <w:sz w:val="18"/>
                <w:szCs w:val="18"/>
              </w:rPr>
              <w:t>）</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m</w:t>
            </w:r>
          </w:p>
        </w:tc>
        <w:tc>
          <w:tcPr>
            <w:tcW w:w="450" w:type="pct"/>
            <w:tcBorders>
              <w:top w:val="nil"/>
              <w:left w:val="nil"/>
              <w:bottom w:val="single" w:color="auto" w:sz="4" w:space="0"/>
              <w:right w:val="single" w:color="auto" w:sz="4" w:space="0"/>
            </w:tcBorders>
            <w:shd w:val="clear" w:color="auto" w:fill="auto"/>
            <w:vAlign w:val="center"/>
          </w:tcPr>
          <w:p>
            <w:pPr>
              <w:pStyle w:val="42"/>
              <w:rPr>
                <w:sz w:val="18"/>
                <w:szCs w:val="18"/>
              </w:rPr>
            </w:pPr>
          </w:p>
        </w:tc>
      </w:tr>
      <w:tr>
        <w:tblPrEx>
          <w:tblCellMar>
            <w:top w:w="0" w:type="dxa"/>
            <w:left w:w="0" w:type="dxa"/>
            <w:bottom w:w="0" w:type="dxa"/>
            <w:right w:w="0" w:type="dxa"/>
          </w:tblCellMar>
        </w:tblPrEx>
        <w:trPr>
          <w:trHeight w:val="20" w:hRule="atLeast"/>
          <w:jc w:val="center"/>
        </w:trPr>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42"/>
              <w:rPr>
                <w:sz w:val="18"/>
                <w:szCs w:val="18"/>
              </w:rPr>
            </w:pPr>
            <w:r>
              <w:rPr>
                <w:sz w:val="18"/>
                <w:szCs w:val="18"/>
              </w:rPr>
              <w:t>浅层风化带裂隙水</w:t>
            </w:r>
          </w:p>
        </w:tc>
        <w:tc>
          <w:tcPr>
            <w:tcW w:w="34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ZK4</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20.42</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27.55</w:t>
            </w:r>
          </w:p>
        </w:tc>
        <w:tc>
          <w:tcPr>
            <w:tcW w:w="334"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7.13</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20.42</w:t>
            </w:r>
          </w:p>
        </w:tc>
        <w:tc>
          <w:tcPr>
            <w:tcW w:w="333"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3.12</w:t>
            </w:r>
          </w:p>
        </w:tc>
        <w:tc>
          <w:tcPr>
            <w:tcW w:w="3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8.46</w:t>
            </w:r>
          </w:p>
        </w:tc>
        <w:tc>
          <w:tcPr>
            <w:tcW w:w="417"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0.031</w:t>
            </w:r>
          </w:p>
        </w:tc>
        <w:tc>
          <w:tcPr>
            <w:tcW w:w="341"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0.408</w:t>
            </w:r>
          </w:p>
        </w:tc>
        <w:tc>
          <w:tcPr>
            <w:tcW w:w="575"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4.72</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10.65</w:t>
            </w:r>
          </w:p>
        </w:tc>
        <w:tc>
          <w:tcPr>
            <w:tcW w:w="4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0.0021</w:t>
            </w:r>
          </w:p>
        </w:tc>
      </w:tr>
      <w:tr>
        <w:tblPrEx>
          <w:tblCellMar>
            <w:top w:w="0" w:type="dxa"/>
            <w:left w:w="0" w:type="dxa"/>
            <w:bottom w:w="0" w:type="dxa"/>
            <w:right w:w="0" w:type="dxa"/>
          </w:tblCellMar>
        </w:tblPrEx>
        <w:trPr>
          <w:trHeight w:val="20" w:hRule="atLeast"/>
          <w:jc w:val="center"/>
        </w:trPr>
        <w:tc>
          <w:tcPr>
            <w:tcW w:w="290" w:type="pct"/>
            <w:vMerge w:val="continue"/>
            <w:tcBorders>
              <w:top w:val="nil"/>
              <w:left w:val="single" w:color="auto" w:sz="4" w:space="0"/>
              <w:bottom w:val="single" w:color="auto" w:sz="4" w:space="0"/>
              <w:right w:val="single" w:color="auto" w:sz="4" w:space="0"/>
            </w:tcBorders>
            <w:vAlign w:val="center"/>
          </w:tcPr>
          <w:p>
            <w:pPr>
              <w:pStyle w:val="42"/>
              <w:rPr>
                <w:sz w:val="18"/>
                <w:szCs w:val="18"/>
              </w:rPr>
            </w:pPr>
          </w:p>
        </w:tc>
        <w:tc>
          <w:tcPr>
            <w:tcW w:w="34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ZK7</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9.2</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10.82</w:t>
            </w:r>
          </w:p>
        </w:tc>
        <w:tc>
          <w:tcPr>
            <w:tcW w:w="334"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1.62</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9.2</w:t>
            </w:r>
          </w:p>
        </w:tc>
        <w:tc>
          <w:tcPr>
            <w:tcW w:w="333"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0.62</w:t>
            </w:r>
          </w:p>
        </w:tc>
        <w:tc>
          <w:tcPr>
            <w:tcW w:w="3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0.81</w:t>
            </w:r>
          </w:p>
        </w:tc>
        <w:tc>
          <w:tcPr>
            <w:tcW w:w="417"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0.009</w:t>
            </w:r>
          </w:p>
        </w:tc>
        <w:tc>
          <w:tcPr>
            <w:tcW w:w="341"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0.394</w:t>
            </w:r>
          </w:p>
        </w:tc>
        <w:tc>
          <w:tcPr>
            <w:tcW w:w="575"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4.56</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0.99</w:t>
            </w:r>
          </w:p>
        </w:tc>
        <w:tc>
          <w:tcPr>
            <w:tcW w:w="4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0.0021</w:t>
            </w:r>
          </w:p>
        </w:tc>
      </w:tr>
      <w:tr>
        <w:tblPrEx>
          <w:tblCellMar>
            <w:top w:w="0" w:type="dxa"/>
            <w:left w:w="0" w:type="dxa"/>
            <w:bottom w:w="0" w:type="dxa"/>
            <w:right w:w="0" w:type="dxa"/>
          </w:tblCellMar>
        </w:tblPrEx>
        <w:trPr>
          <w:trHeight w:val="20" w:hRule="atLeast"/>
          <w:jc w:val="center"/>
        </w:trPr>
        <w:tc>
          <w:tcPr>
            <w:tcW w:w="290" w:type="pct"/>
            <w:vMerge w:val="continue"/>
            <w:tcBorders>
              <w:top w:val="nil"/>
              <w:left w:val="single" w:color="auto" w:sz="4" w:space="0"/>
              <w:bottom w:val="single" w:color="auto" w:sz="4" w:space="0"/>
              <w:right w:val="single" w:color="auto" w:sz="4" w:space="0"/>
            </w:tcBorders>
            <w:vAlign w:val="center"/>
          </w:tcPr>
          <w:p>
            <w:pPr>
              <w:pStyle w:val="42"/>
              <w:rPr>
                <w:sz w:val="18"/>
                <w:szCs w:val="18"/>
              </w:rPr>
            </w:pPr>
          </w:p>
        </w:tc>
        <w:tc>
          <w:tcPr>
            <w:tcW w:w="34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平均值</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334"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4.37</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333"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3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4.63</w:t>
            </w:r>
          </w:p>
        </w:tc>
        <w:tc>
          <w:tcPr>
            <w:tcW w:w="417"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341"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0.401</w:t>
            </w:r>
          </w:p>
        </w:tc>
        <w:tc>
          <w:tcPr>
            <w:tcW w:w="575"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4.61</w:t>
            </w:r>
          </w:p>
        </w:tc>
        <w:tc>
          <w:tcPr>
            <w:tcW w:w="392"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w:t>
            </w:r>
          </w:p>
        </w:tc>
        <w:tc>
          <w:tcPr>
            <w:tcW w:w="450" w:type="pct"/>
            <w:tcBorders>
              <w:top w:val="nil"/>
              <w:left w:val="nil"/>
              <w:bottom w:val="single" w:color="auto" w:sz="4" w:space="0"/>
              <w:right w:val="single" w:color="auto" w:sz="4" w:space="0"/>
            </w:tcBorders>
            <w:shd w:val="clear" w:color="auto" w:fill="auto"/>
            <w:vAlign w:val="center"/>
          </w:tcPr>
          <w:p>
            <w:pPr>
              <w:pStyle w:val="42"/>
              <w:rPr>
                <w:sz w:val="18"/>
                <w:szCs w:val="18"/>
              </w:rPr>
            </w:pPr>
            <w:r>
              <w:rPr>
                <w:sz w:val="18"/>
                <w:szCs w:val="18"/>
              </w:rPr>
              <w:t>0.0021</w:t>
            </w:r>
          </w:p>
        </w:tc>
      </w:tr>
    </w:tbl>
    <w:p>
      <w:pPr>
        <w:ind w:firstLine="480"/>
      </w:pPr>
      <w:r>
        <w:rPr>
          <w:rFonts w:hint="eastAsia"/>
        </w:rPr>
        <w:t>污染运移模型的参数设定主要是以野外试验为参考，弥散度是研究污染物在土壤及地下水中迁移转化规律的最重要参数之一，弥散系数D是反映渗流系统弥散特征的一个综合参数，忽略分子扩散时，它是介质弥散度仅和孔隙流速V的函数。水动力弥散尺度效应的存在为模拟和预测地下水中溶质在介质中的运移规律带来了困难。根据相同地质条件中地下水污染预测的参数取值，并结合国内外相关研究文献资料，本次溶质运移模拟预测的参数取值见表5.2.4-2。</w:t>
      </w:r>
    </w:p>
    <w:p>
      <w:pPr>
        <w:pStyle w:val="41"/>
      </w:pPr>
      <w:r>
        <w:rPr>
          <w:rFonts w:hint="eastAsia"/>
        </w:rPr>
        <w:t>表5.2.4-2  溶质运移模拟预测参数一览表</w:t>
      </w:r>
    </w:p>
    <w:tbl>
      <w:tblPr>
        <w:tblStyle w:val="3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40"/>
        <w:gridCol w:w="1311"/>
        <w:gridCol w:w="1312"/>
        <w:gridCol w:w="1312"/>
        <w:gridCol w:w="1312"/>
        <w:gridCol w:w="13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38" w:type="pct"/>
            <w:vMerge w:val="restart"/>
            <w:vAlign w:val="center"/>
          </w:tcPr>
          <w:p>
            <w:pPr>
              <w:pStyle w:val="42"/>
            </w:pPr>
            <w:r>
              <w:t>地下水类型</w:t>
            </w:r>
          </w:p>
        </w:tc>
        <w:tc>
          <w:tcPr>
            <w:tcW w:w="1539" w:type="pct"/>
            <w:gridSpan w:val="2"/>
            <w:tcBorders>
              <w:bottom w:val="single" w:color="auto" w:sz="4" w:space="0"/>
            </w:tcBorders>
            <w:vAlign w:val="center"/>
          </w:tcPr>
          <w:p>
            <w:pPr>
              <w:pStyle w:val="42"/>
            </w:pPr>
            <w:r>
              <w:t>弥散系数</w:t>
            </w:r>
          </w:p>
        </w:tc>
        <w:tc>
          <w:tcPr>
            <w:tcW w:w="1540" w:type="pct"/>
            <w:gridSpan w:val="2"/>
            <w:vAlign w:val="center"/>
          </w:tcPr>
          <w:p>
            <w:pPr>
              <w:pStyle w:val="42"/>
            </w:pPr>
            <w:r>
              <w:t>孔隙度</w:t>
            </w:r>
          </w:p>
        </w:tc>
        <w:tc>
          <w:tcPr>
            <w:tcW w:w="783" w:type="pct"/>
            <w:vMerge w:val="restart"/>
            <w:vAlign w:val="center"/>
          </w:tcPr>
          <w:p>
            <w:pPr>
              <w:pStyle w:val="42"/>
            </w:pPr>
            <w:r>
              <w:t>水利坡度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38" w:type="pct"/>
            <w:vMerge w:val="continue"/>
            <w:vAlign w:val="center"/>
          </w:tcPr>
          <w:p>
            <w:pPr>
              <w:pStyle w:val="42"/>
            </w:pPr>
          </w:p>
        </w:tc>
        <w:tc>
          <w:tcPr>
            <w:tcW w:w="769" w:type="pct"/>
            <w:tcBorders>
              <w:top w:val="single" w:color="auto" w:sz="4" w:space="0"/>
              <w:right w:val="single" w:color="auto" w:sz="4" w:space="0"/>
            </w:tcBorders>
            <w:vAlign w:val="center"/>
          </w:tcPr>
          <w:p>
            <w:pPr>
              <w:pStyle w:val="42"/>
            </w:pPr>
            <w:r>
              <w:t>纵向</w:t>
            </w:r>
          </w:p>
        </w:tc>
        <w:tc>
          <w:tcPr>
            <w:tcW w:w="770" w:type="pct"/>
            <w:tcBorders>
              <w:top w:val="single" w:color="auto" w:sz="4" w:space="0"/>
              <w:left w:val="single" w:color="auto" w:sz="4" w:space="0"/>
            </w:tcBorders>
            <w:vAlign w:val="center"/>
          </w:tcPr>
          <w:p>
            <w:pPr>
              <w:pStyle w:val="42"/>
            </w:pPr>
            <w:r>
              <w:t>横向</w:t>
            </w:r>
          </w:p>
        </w:tc>
        <w:tc>
          <w:tcPr>
            <w:tcW w:w="770" w:type="pct"/>
            <w:vAlign w:val="center"/>
          </w:tcPr>
          <w:p>
            <w:pPr>
              <w:pStyle w:val="42"/>
            </w:pPr>
            <w:r>
              <w:t>总孔隙度</w:t>
            </w:r>
          </w:p>
        </w:tc>
        <w:tc>
          <w:tcPr>
            <w:tcW w:w="770" w:type="pct"/>
            <w:vAlign w:val="center"/>
          </w:tcPr>
          <w:p>
            <w:pPr>
              <w:pStyle w:val="42"/>
            </w:pPr>
            <w:r>
              <w:t>有效孔隙度</w:t>
            </w:r>
          </w:p>
        </w:tc>
        <w:tc>
          <w:tcPr>
            <w:tcW w:w="783" w:type="pct"/>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38" w:type="pct"/>
            <w:vAlign w:val="center"/>
          </w:tcPr>
          <w:p>
            <w:pPr>
              <w:pStyle w:val="42"/>
            </w:pPr>
            <w:r>
              <w:t>浅层风化带裂隙水</w:t>
            </w:r>
          </w:p>
        </w:tc>
        <w:tc>
          <w:tcPr>
            <w:tcW w:w="769" w:type="pct"/>
            <w:tcBorders>
              <w:right w:val="single" w:color="auto" w:sz="4" w:space="0"/>
            </w:tcBorders>
            <w:vAlign w:val="center"/>
          </w:tcPr>
          <w:p>
            <w:pPr>
              <w:pStyle w:val="42"/>
            </w:pPr>
            <w:r>
              <w:t>0.6</w:t>
            </w:r>
          </w:p>
        </w:tc>
        <w:tc>
          <w:tcPr>
            <w:tcW w:w="770" w:type="pct"/>
            <w:tcBorders>
              <w:left w:val="single" w:color="auto" w:sz="4" w:space="0"/>
            </w:tcBorders>
            <w:vAlign w:val="center"/>
          </w:tcPr>
          <w:p>
            <w:pPr>
              <w:pStyle w:val="42"/>
            </w:pPr>
            <w:r>
              <w:t>0.33</w:t>
            </w:r>
          </w:p>
        </w:tc>
        <w:tc>
          <w:tcPr>
            <w:tcW w:w="770" w:type="pct"/>
            <w:vAlign w:val="center"/>
          </w:tcPr>
          <w:p>
            <w:pPr>
              <w:pStyle w:val="42"/>
            </w:pPr>
            <w:r>
              <w:t>0.10</w:t>
            </w:r>
          </w:p>
        </w:tc>
        <w:tc>
          <w:tcPr>
            <w:tcW w:w="770" w:type="pct"/>
            <w:vAlign w:val="center"/>
          </w:tcPr>
          <w:p>
            <w:pPr>
              <w:pStyle w:val="42"/>
            </w:pPr>
            <w:r>
              <w:t>0.05</w:t>
            </w:r>
          </w:p>
        </w:tc>
        <w:tc>
          <w:tcPr>
            <w:tcW w:w="783" w:type="pct"/>
            <w:vAlign w:val="center"/>
          </w:tcPr>
          <w:p>
            <w:pPr>
              <w:pStyle w:val="42"/>
            </w:pPr>
            <w:r>
              <w:t>0.07</w:t>
            </w:r>
          </w:p>
        </w:tc>
      </w:tr>
    </w:tbl>
    <w:p>
      <w:pPr>
        <w:pStyle w:val="5"/>
        <w:spacing w:before="163" w:after="163"/>
      </w:pPr>
      <w:r>
        <w:rPr>
          <w:rFonts w:hint="eastAsia"/>
        </w:rPr>
        <w:t>5.2.4.2地下水环境影响预测与评价</w:t>
      </w:r>
    </w:p>
    <w:p>
      <w:pPr>
        <w:ind w:firstLine="480"/>
      </w:pPr>
      <w:r>
        <w:rPr>
          <w:rFonts w:hint="eastAsia"/>
        </w:rPr>
        <w:t>按照《环境影响评价技术导则—地下水环境》（HJ610-2016）相关要求，拟建项目地下水环境影响评价等级为二级，根据建设项目自身性质及对地下水环境影响的特点，为预测和评价建设项目投产后对地下水环境可能造成的影响和危害，并针对这种影响和危害提出防治对策，从而达到预防与控制环境恶化，保护地下水资源的目的，本次将采用解析法进行预测与评价。评价从正常工况和非正常工况两种情况对地下水环境影响进行分析。</w:t>
      </w:r>
    </w:p>
    <w:p>
      <w:pPr>
        <w:ind w:firstLine="480"/>
      </w:pPr>
      <w:r>
        <w:rPr>
          <w:rFonts w:hint="eastAsia"/>
        </w:rPr>
        <w:t>（1）正常工况下地下水环境影响分析</w:t>
      </w:r>
    </w:p>
    <w:p>
      <w:pPr>
        <w:ind w:firstLine="480"/>
      </w:pPr>
      <w:r>
        <w:rPr>
          <w:rFonts w:hint="eastAsia"/>
        </w:rPr>
        <w:t>根据工程设计，拟建项目采取分区防渗：重点污染防治区如生产装置区、储罐区、废水处理站、危废暂存间和事故池等区域，防渗层的防渗性能不应低于6.0m厚渗透系数为1.0×10</w:t>
      </w:r>
      <w:r>
        <w:rPr>
          <w:rFonts w:hint="eastAsia"/>
          <w:vertAlign w:val="superscript"/>
        </w:rPr>
        <w:t>-7</w:t>
      </w:r>
      <w:r>
        <w:rPr>
          <w:rFonts w:hint="eastAsia"/>
        </w:rPr>
        <w:t>cm/s的黏土层的防渗性能，一般污染防治区如综合楼以及重点污染防治区域附近区域，防渗层的防渗性能不应低于1.5m厚渗透系数1.0×10</w:t>
      </w:r>
      <w:r>
        <w:rPr>
          <w:rFonts w:hint="eastAsia"/>
          <w:vertAlign w:val="superscript"/>
        </w:rPr>
        <w:t>-7</w:t>
      </w:r>
      <w:r>
        <w:rPr>
          <w:rFonts w:hint="eastAsia"/>
        </w:rPr>
        <w:t>cm/s的黏土层的防渗性能。另外，厂区内污水、物料输送管道均采用“可视化”设计，厂区除绿化地带以外的地面均进行硬化，正常工况下拟建项目涉及的物料洒漏、消防废水等渗入地下的几率极小，拟建项目对地下水影响甚微。</w:t>
      </w:r>
    </w:p>
    <w:p>
      <w:pPr>
        <w:ind w:firstLine="480"/>
      </w:pPr>
      <w:r>
        <w:rPr>
          <w:rFonts w:hint="eastAsia"/>
        </w:rPr>
        <w:t>（2）非正常工况下地下水环境影响分析</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地下水泄漏源强设定：非正常工况下，发生火灾爆炸事故等风险状况，造成防渗层破坏，物料经过破坏的部位进入土壤及地下水的情景。</w:t>
      </w:r>
    </w:p>
    <w:p>
      <w:pPr>
        <w:ind w:firstLine="482"/>
      </w:pPr>
      <w:r>
        <w:rPr>
          <w:rFonts w:hint="eastAsia"/>
          <w:b/>
        </w:rPr>
        <w:t>泄漏点设定</w:t>
      </w:r>
      <w:r>
        <w:rPr>
          <w:rFonts w:hint="eastAsia"/>
        </w:rPr>
        <w:t>：通过对拟建项目建设内容的分析，非正常状况下对地下水的可能影响途径主要包括：</w:t>
      </w:r>
    </w:p>
    <w:p>
      <w:pPr>
        <w:ind w:firstLine="480"/>
      </w:pPr>
      <w:r>
        <w:t>a</w:t>
      </w:r>
      <w:r>
        <w:rPr>
          <w:rFonts w:hint="eastAsia"/>
        </w:rPr>
        <w:t>、废水处理站、事故应急池底部出现破损，导致较长时间内废水通过裂口渗入地下影响地下水质；</w:t>
      </w:r>
    </w:p>
    <w:p>
      <w:pPr>
        <w:ind w:firstLine="480"/>
      </w:pPr>
      <w:r>
        <w:t>b</w:t>
      </w:r>
      <w:r>
        <w:rPr>
          <w:rFonts w:hint="eastAsia"/>
        </w:rPr>
        <w:t>、废污水输送管线发生泄漏，导致废污水渗入地下水中。</w:t>
      </w:r>
    </w:p>
    <w:p>
      <w:pPr>
        <w:ind w:firstLine="480"/>
      </w:pPr>
      <w:r>
        <w:rPr>
          <w:rFonts w:hint="eastAsia"/>
        </w:rPr>
        <w:t>非正常状况主要指废水处理站等装置硬化地面出现破损，管线因腐蚀或其它原因出现漏洞等情景。为定量评价可能的地下水影响，综合考虑废水的特性、装置设施的装备情况以及所在区域水文地质条件，本次评价非正常条件下有代表性泄漏点设定为：废水处理站调节池底部出现破损破损泄漏。</w:t>
      </w:r>
    </w:p>
    <w:p>
      <w:pPr>
        <w:ind w:firstLine="482"/>
      </w:pPr>
      <w:r>
        <w:rPr>
          <w:rFonts w:hint="eastAsia"/>
          <w:b/>
        </w:rPr>
        <w:t>源强设定</w:t>
      </w:r>
      <w:r>
        <w:rPr>
          <w:rFonts w:hint="eastAsia"/>
        </w:rPr>
        <w:t>：拟建项目废水主要为地坪清洗水和生活污水，其中地坪清洗水单次最大产生量48.26m</w:t>
      </w:r>
      <w:r>
        <w:rPr>
          <w:rFonts w:hint="eastAsia"/>
          <w:vertAlign w:val="superscript"/>
        </w:rPr>
        <w:t>3</w:t>
      </w:r>
      <w:r>
        <w:rPr>
          <w:rFonts w:hint="eastAsia"/>
        </w:rPr>
        <w:t>/次，最不利条件下调节池底部出现破损泄漏，假设</w:t>
      </w:r>
      <w:r>
        <w:t>10%</w:t>
      </w:r>
      <w:r>
        <w:rPr>
          <w:rFonts w:hint="eastAsia"/>
        </w:rPr>
        <w:t>的地坪清洗水持续泄漏进入地下，渗漏污染物直接进入包气带，向下渗透进入含水层。进入地下水污染因子源强见下表5.2.4</w:t>
      </w:r>
      <w:r>
        <w:t>-</w:t>
      </w:r>
      <w:r>
        <w:rPr>
          <w:rFonts w:hint="eastAsia"/>
        </w:rPr>
        <w:t>3。</w:t>
      </w:r>
    </w:p>
    <w:p>
      <w:pPr>
        <w:pStyle w:val="41"/>
        <w:ind w:firstLine="480"/>
      </w:pPr>
      <w:r>
        <w:rPr>
          <w:rFonts w:hint="eastAsia"/>
        </w:rPr>
        <w:t>表5.2.4</w:t>
      </w:r>
      <w:r>
        <w:t>-</w:t>
      </w:r>
      <w:r>
        <w:rPr>
          <w:rFonts w:hint="eastAsia"/>
        </w:rPr>
        <w:t>3</w:t>
      </w:r>
      <w:r>
        <w:t xml:space="preserve">  </w:t>
      </w:r>
      <w:r>
        <w:rPr>
          <w:rFonts w:hint="eastAsia"/>
        </w:rPr>
        <w:t>非正常工况下渗漏源强表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42"/>
              <w:ind w:firstLine="400"/>
            </w:pPr>
            <w:r>
              <w:rPr>
                <w:rFonts w:hint="eastAsia"/>
              </w:rPr>
              <w:t>预测情景</w:t>
            </w:r>
          </w:p>
        </w:tc>
        <w:tc>
          <w:tcPr>
            <w:tcW w:w="1250" w:type="pct"/>
            <w:vAlign w:val="center"/>
          </w:tcPr>
          <w:p>
            <w:pPr>
              <w:pStyle w:val="42"/>
              <w:ind w:firstLine="400"/>
            </w:pPr>
            <w:r>
              <w:rPr>
                <w:rFonts w:hint="eastAsia"/>
              </w:rPr>
              <w:t>泄漏点</w:t>
            </w:r>
          </w:p>
        </w:tc>
        <w:tc>
          <w:tcPr>
            <w:tcW w:w="1250" w:type="pct"/>
            <w:vAlign w:val="center"/>
          </w:tcPr>
          <w:p>
            <w:pPr>
              <w:pStyle w:val="42"/>
              <w:ind w:firstLine="400"/>
            </w:pPr>
            <w:r>
              <w:rPr>
                <w:rFonts w:hint="eastAsia"/>
              </w:rPr>
              <w:t>污染物</w:t>
            </w:r>
          </w:p>
        </w:tc>
        <w:tc>
          <w:tcPr>
            <w:tcW w:w="1250" w:type="pct"/>
            <w:vAlign w:val="center"/>
          </w:tcPr>
          <w:p>
            <w:pPr>
              <w:pStyle w:val="42"/>
              <w:ind w:firstLine="400"/>
            </w:pPr>
            <w:r>
              <w:rPr>
                <w:rFonts w:hint="eastAsia"/>
              </w:rPr>
              <w:t>浓度（</w:t>
            </w:r>
            <w:r>
              <w:t>mg/L</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50" w:type="pct"/>
            <w:vMerge w:val="restart"/>
            <w:vAlign w:val="center"/>
          </w:tcPr>
          <w:p>
            <w:pPr>
              <w:pStyle w:val="42"/>
              <w:ind w:firstLine="400"/>
            </w:pPr>
            <w:r>
              <w:rPr>
                <w:rFonts w:hint="eastAsia"/>
              </w:rPr>
              <w:t>非正常工况、防渗层破裂</w:t>
            </w:r>
          </w:p>
        </w:tc>
        <w:tc>
          <w:tcPr>
            <w:tcW w:w="1250" w:type="pct"/>
            <w:vMerge w:val="restart"/>
            <w:vAlign w:val="center"/>
          </w:tcPr>
          <w:p>
            <w:pPr>
              <w:pStyle w:val="42"/>
              <w:ind w:firstLine="400"/>
            </w:pPr>
            <w:r>
              <w:rPr>
                <w:rFonts w:hint="eastAsia"/>
              </w:rPr>
              <w:t>调节池</w:t>
            </w:r>
          </w:p>
        </w:tc>
        <w:tc>
          <w:tcPr>
            <w:tcW w:w="1250" w:type="pct"/>
            <w:vAlign w:val="center"/>
          </w:tcPr>
          <w:p>
            <w:pPr>
              <w:pStyle w:val="42"/>
              <w:ind w:firstLine="400"/>
            </w:pPr>
            <w:r>
              <w:t>COD</w:t>
            </w:r>
          </w:p>
        </w:tc>
        <w:tc>
          <w:tcPr>
            <w:tcW w:w="1250" w:type="pct"/>
            <w:vAlign w:val="center"/>
          </w:tcPr>
          <w:p>
            <w:pPr>
              <w:pStyle w:val="42"/>
              <w:ind w:firstLine="400"/>
            </w:pPr>
            <w:r>
              <w:rPr>
                <w:rFonts w:hint="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50" w:type="pct"/>
            <w:vMerge w:val="continue"/>
            <w:vAlign w:val="center"/>
          </w:tcPr>
          <w:p>
            <w:pPr>
              <w:pStyle w:val="42"/>
              <w:ind w:firstLine="400"/>
            </w:pPr>
          </w:p>
        </w:tc>
        <w:tc>
          <w:tcPr>
            <w:tcW w:w="1250" w:type="pct"/>
            <w:vMerge w:val="continue"/>
            <w:vAlign w:val="center"/>
          </w:tcPr>
          <w:p>
            <w:pPr>
              <w:pStyle w:val="42"/>
              <w:ind w:firstLine="400"/>
            </w:pPr>
          </w:p>
        </w:tc>
        <w:tc>
          <w:tcPr>
            <w:tcW w:w="1250" w:type="pct"/>
            <w:vAlign w:val="center"/>
          </w:tcPr>
          <w:p>
            <w:pPr>
              <w:pStyle w:val="42"/>
              <w:ind w:firstLine="400"/>
            </w:pPr>
            <w:r>
              <w:t>NH</w:t>
            </w:r>
            <w:r>
              <w:rPr>
                <w:vertAlign w:val="subscript"/>
              </w:rPr>
              <w:t>3</w:t>
            </w:r>
            <w:r>
              <w:t>-N</w:t>
            </w:r>
          </w:p>
        </w:tc>
        <w:tc>
          <w:tcPr>
            <w:tcW w:w="1250" w:type="pct"/>
            <w:vAlign w:val="center"/>
          </w:tcPr>
          <w:p>
            <w:pPr>
              <w:pStyle w:val="42"/>
              <w:ind w:firstLine="400"/>
            </w:pPr>
            <w:r>
              <w:rPr>
                <w:rFonts w:hint="eastAsia"/>
              </w:rPr>
              <w:t>50</w:t>
            </w:r>
          </w:p>
        </w:tc>
      </w:tr>
    </w:tbl>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地下水污染预测方法及模型选择</w:t>
      </w:r>
    </w:p>
    <w:p>
      <w:pPr>
        <w:ind w:firstLine="480"/>
      </w:pPr>
      <w:r>
        <w:rPr>
          <w:rFonts w:hint="eastAsia"/>
        </w:rPr>
        <w:t>拟建项目地下水预测主要进行饱和带污染物迁移预测，根据《环境影响评价技术导则 地下水环境》（HJ610-2016），评价采用解析法开展地下水环境影响预测，将污染物在地下水中运移的水文地质概念模型概化为一维稳定流动一维水动力弥散问题。选择解析法中“一维半无限长多孔介质柱体，一端为定浓度边界”模型，公式如下：</w:t>
      </w:r>
    </w:p>
    <w:p>
      <w:pPr>
        <w:pStyle w:val="41"/>
      </w:pPr>
      <w:r>
        <w:drawing>
          <wp:inline distT="0" distB="0" distL="0" distR="0">
            <wp:extent cx="3357245" cy="688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357245" cy="688975"/>
                    </a:xfrm>
                    <a:prstGeom prst="rect">
                      <a:avLst/>
                    </a:prstGeom>
                    <a:noFill/>
                    <a:ln>
                      <a:noFill/>
                    </a:ln>
                  </pic:spPr>
                </pic:pic>
              </a:graphicData>
            </a:graphic>
          </wp:inline>
        </w:drawing>
      </w:r>
    </w:p>
    <w:p>
      <w:pPr>
        <w:ind w:firstLine="480"/>
      </w:pPr>
      <w:r>
        <w:rPr>
          <w:rFonts w:hint="eastAsia"/>
        </w:rPr>
        <w:t>式中：</w:t>
      </w:r>
      <w:r>
        <w:rPr>
          <w:i/>
          <w:iCs/>
        </w:rPr>
        <w:t>x</w:t>
      </w:r>
      <w:r>
        <w:t>—</w:t>
      </w:r>
      <w:r>
        <w:rPr>
          <w:rFonts w:hint="eastAsia"/>
        </w:rPr>
        <w:t>距注入点的距离；</w:t>
      </w:r>
      <w:r>
        <w:t>m</w:t>
      </w:r>
      <w:r>
        <w:rPr>
          <w:rFonts w:hint="eastAsia"/>
        </w:rPr>
        <w:t>；</w:t>
      </w:r>
    </w:p>
    <w:p>
      <w:pPr>
        <w:ind w:firstLine="1200" w:firstLineChars="500"/>
      </w:pPr>
      <w:r>
        <w:rPr>
          <w:i/>
          <w:iCs/>
        </w:rPr>
        <w:t>t</w:t>
      </w:r>
      <w:r>
        <w:t>—</w:t>
      </w:r>
      <w:r>
        <w:rPr>
          <w:rFonts w:hint="eastAsia"/>
        </w:rPr>
        <w:t>时间，</w:t>
      </w:r>
      <w:r>
        <w:t>d</w:t>
      </w:r>
      <w:r>
        <w:rPr>
          <w:rFonts w:hint="eastAsia"/>
        </w:rPr>
        <w:t>；</w:t>
      </w:r>
    </w:p>
    <w:p>
      <w:pPr>
        <w:ind w:firstLine="1200" w:firstLineChars="500"/>
      </w:pPr>
      <w:r>
        <w:rPr>
          <w:i/>
          <w:iCs/>
        </w:rPr>
        <w:t>C</w:t>
      </w:r>
      <w:r>
        <w:rPr>
          <w:rFonts w:hint="eastAsia"/>
        </w:rPr>
        <w:t>（</w:t>
      </w:r>
      <w:r>
        <w:rPr>
          <w:i/>
          <w:iCs/>
        </w:rPr>
        <w:t>x</w:t>
      </w:r>
      <w:r>
        <w:rPr>
          <w:rFonts w:hint="eastAsia"/>
        </w:rPr>
        <w:t>，</w:t>
      </w:r>
      <w:r>
        <w:rPr>
          <w:i/>
          <w:iCs/>
        </w:rPr>
        <w:t>t</w:t>
      </w:r>
      <w:r>
        <w:rPr>
          <w:rFonts w:hint="eastAsia"/>
        </w:rPr>
        <w:t>）</w:t>
      </w:r>
      <w:r>
        <w:t>—t</w:t>
      </w:r>
      <w:r>
        <w:rPr>
          <w:rFonts w:hint="eastAsia"/>
        </w:rPr>
        <w:t>时刻</w:t>
      </w:r>
      <w:r>
        <w:t>X</w:t>
      </w:r>
      <w:r>
        <w:rPr>
          <w:rFonts w:hint="eastAsia"/>
        </w:rPr>
        <w:t>处的示踪剂浓度，</w:t>
      </w:r>
      <w:r>
        <w:t>mg/L</w:t>
      </w:r>
      <w:r>
        <w:rPr>
          <w:rFonts w:hint="eastAsia"/>
        </w:rPr>
        <w:t>；</w:t>
      </w:r>
    </w:p>
    <w:p>
      <w:pPr>
        <w:ind w:firstLine="1200" w:firstLineChars="500"/>
      </w:pPr>
      <w:r>
        <w:t>C</w:t>
      </w:r>
      <w:r>
        <w:rPr>
          <w:vertAlign w:val="subscript"/>
        </w:rPr>
        <w:t>0</w:t>
      </w:r>
      <w:r>
        <w:t>—</w:t>
      </w:r>
      <w:r>
        <w:rPr>
          <w:rFonts w:hint="eastAsia"/>
        </w:rPr>
        <w:t>注入的示踪剂浓度，</w:t>
      </w:r>
      <w:r>
        <w:t>mg/L</w:t>
      </w:r>
      <w:r>
        <w:rPr>
          <w:rFonts w:hint="eastAsia"/>
        </w:rPr>
        <w:t>；</w:t>
      </w:r>
    </w:p>
    <w:p>
      <w:pPr>
        <w:ind w:firstLine="1200" w:firstLineChars="500"/>
      </w:pPr>
      <w:r>
        <w:t>u—</w:t>
      </w:r>
      <w:r>
        <w:rPr>
          <w:rFonts w:hint="eastAsia"/>
        </w:rPr>
        <w:t>水流速度，</w:t>
      </w:r>
      <w:r>
        <w:t>m/d</w:t>
      </w:r>
      <w:r>
        <w:rPr>
          <w:rFonts w:hint="eastAsia"/>
        </w:rPr>
        <w:t>；</w:t>
      </w:r>
    </w:p>
    <w:p>
      <w:pPr>
        <w:ind w:firstLine="1200" w:firstLineChars="500"/>
      </w:pPr>
      <w:r>
        <w:t>D</w:t>
      </w:r>
      <w:r>
        <w:rPr>
          <w:vertAlign w:val="subscript"/>
        </w:rPr>
        <w:t>L</w:t>
      </w:r>
      <w:r>
        <w:t>—</w:t>
      </w:r>
      <w:r>
        <w:rPr>
          <w:rFonts w:hint="eastAsia"/>
        </w:rPr>
        <w:t>纵向弥散系数，</w:t>
      </w:r>
      <w:r>
        <w:t>m</w:t>
      </w:r>
      <w:r>
        <w:rPr>
          <w:vertAlign w:val="superscript"/>
        </w:rPr>
        <w:t>2</w:t>
      </w:r>
      <w:r>
        <w:t>/d</w:t>
      </w:r>
      <w:r>
        <w:rPr>
          <w:rFonts w:hint="eastAsia"/>
        </w:rPr>
        <w:t>；</w:t>
      </w:r>
    </w:p>
    <w:p>
      <w:pPr>
        <w:ind w:firstLine="1200" w:firstLineChars="500"/>
      </w:pPr>
      <w:r>
        <w:t>erfc</w:t>
      </w:r>
      <w:r>
        <w:rPr>
          <w:rFonts w:hint="eastAsia"/>
        </w:rPr>
        <w:t>（）</w:t>
      </w:r>
      <w:r>
        <w:t>—</w:t>
      </w:r>
      <w:r>
        <w:rPr>
          <w:rFonts w:hint="eastAsia"/>
        </w:rPr>
        <w:t>余误差函数。</w:t>
      </w:r>
    </w:p>
    <w:p>
      <w:pPr>
        <w:ind w:firstLine="480"/>
      </w:pPr>
      <w:r>
        <w:rPr>
          <w:rFonts w:hint="eastAsia"/>
        </w:rPr>
        <w:t>根据长寿晏家组团砂岩的抽水试验结果，砂岩的渗透系数</w:t>
      </w:r>
      <w:r>
        <w:t>K</w:t>
      </w:r>
      <w:r>
        <w:rPr>
          <w:rFonts w:hint="eastAsia"/>
        </w:rPr>
        <w:t>为</w:t>
      </w:r>
      <w:r>
        <w:t>4.02</w:t>
      </w:r>
      <w:r>
        <w:rPr>
          <w:rFonts w:hint="eastAsia"/>
        </w:rPr>
        <w:t>×</w:t>
      </w:r>
      <w:r>
        <w:t>10</w:t>
      </w:r>
      <w:r>
        <w:rPr>
          <w:vertAlign w:val="superscript"/>
        </w:rPr>
        <w:t>-4</w:t>
      </w:r>
      <w:r>
        <w:t xml:space="preserve"> ~4.70</w:t>
      </w:r>
      <w:r>
        <w:rPr>
          <w:rFonts w:hint="eastAsia"/>
        </w:rPr>
        <w:t>×</w:t>
      </w:r>
      <w:r>
        <w:t>10</w:t>
      </w:r>
      <w:r>
        <w:rPr>
          <w:vertAlign w:val="superscript"/>
        </w:rPr>
        <w:t xml:space="preserve">-4 </w:t>
      </w:r>
      <w:r>
        <w:t>cm/s</w:t>
      </w:r>
      <w:r>
        <w:rPr>
          <w:rFonts w:hint="eastAsia"/>
        </w:rPr>
        <w:t>（</w:t>
      </w:r>
      <w:r>
        <w:t>0.347~0.406m/d</w:t>
      </w:r>
      <w:r>
        <w:rPr>
          <w:rFonts w:hint="eastAsia"/>
        </w:rPr>
        <w:t>），取砂岩的渗透系数为最大值</w:t>
      </w:r>
      <w:r>
        <w:t>0.406m/d</w:t>
      </w:r>
      <w:r>
        <w:rPr>
          <w:rFonts w:hint="eastAsia"/>
        </w:rPr>
        <w:t>，水力坡度</w:t>
      </w:r>
      <w:r>
        <w:t>J</w:t>
      </w:r>
      <w:r>
        <w:rPr>
          <w:rFonts w:hint="eastAsia"/>
        </w:rPr>
        <w:t>为</w:t>
      </w:r>
      <w:r>
        <w:t>0.015</w:t>
      </w:r>
      <w:r>
        <w:rPr>
          <w:rFonts w:hint="eastAsia"/>
        </w:rPr>
        <w:t>，有效孔隙度</w:t>
      </w:r>
      <w:r>
        <w:t>ne</w:t>
      </w:r>
      <w:r>
        <w:rPr>
          <w:rFonts w:hint="eastAsia"/>
        </w:rPr>
        <w:t>为</w:t>
      </w:r>
      <w:r>
        <w:t>0.15</w:t>
      </w:r>
      <w:r>
        <w:rPr>
          <w:rFonts w:hint="eastAsia"/>
        </w:rPr>
        <w:t>。根据达西定律：</w:t>
      </w:r>
      <w:r>
        <w:t>v=KJ</w:t>
      </w:r>
      <w:r>
        <w:rPr>
          <w:rFonts w:hint="eastAsia"/>
        </w:rPr>
        <w:t>，其中</w:t>
      </w:r>
      <w:r>
        <w:t>v</w:t>
      </w:r>
      <w:r>
        <w:rPr>
          <w:rFonts w:hint="eastAsia"/>
        </w:rPr>
        <w:t>为地下水的渗透流速，得出地下水实际流速（</w:t>
      </w:r>
      <w:r>
        <w:t>u</w:t>
      </w:r>
      <w:r>
        <w:rPr>
          <w:rFonts w:hint="eastAsia"/>
        </w:rPr>
        <w:t>）为：</w:t>
      </w:r>
    </w:p>
    <w:p>
      <w:pPr>
        <w:ind w:firstLine="3120" w:firstLineChars="1300"/>
      </w:pPr>
      <w:r>
        <w:t>u=KJ/ne=0.0406m/d</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地下水环境影响分析</w:t>
      </w:r>
    </w:p>
    <w:p>
      <w:pPr>
        <w:ind w:firstLine="480"/>
      </w:pPr>
      <w:r>
        <w:rPr>
          <w:rFonts w:hint="eastAsia"/>
        </w:rPr>
        <w:t>纵向弥散系数（DL）取值1.56m</w:t>
      </w:r>
      <w:r>
        <w:rPr>
          <w:rFonts w:hint="eastAsia"/>
          <w:vertAlign w:val="superscript"/>
        </w:rPr>
        <w:t>2</w:t>
      </w:r>
      <w:r>
        <w:rPr>
          <w:rFonts w:hint="eastAsia"/>
        </w:rPr>
        <w:t>/d。根据预测结果，事故工况下污染物浓度扩散到地下水质量标准浓度时的运移距离，即地下水污染物超标的最大运移距离见表5.2.4-4。</w:t>
      </w:r>
    </w:p>
    <w:p>
      <w:pPr>
        <w:pStyle w:val="41"/>
      </w:pPr>
      <w:r>
        <w:rPr>
          <w:rFonts w:hint="eastAsia"/>
        </w:rPr>
        <w:t>表5.2.4-4 地坪清洗水调节池非正常工况下污染物超标运移距离</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594"/>
        <w:gridCol w:w="1778"/>
        <w:gridCol w:w="1842"/>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restart"/>
            <w:vAlign w:val="center"/>
          </w:tcPr>
          <w:p>
            <w:pPr>
              <w:pStyle w:val="42"/>
            </w:pPr>
            <w:r>
              <w:rPr>
                <w:rFonts w:hint="eastAsia"/>
              </w:rPr>
              <w:t>污染物</w:t>
            </w:r>
          </w:p>
        </w:tc>
        <w:tc>
          <w:tcPr>
            <w:tcW w:w="935" w:type="pct"/>
            <w:vAlign w:val="center"/>
          </w:tcPr>
          <w:p>
            <w:pPr>
              <w:pStyle w:val="42"/>
            </w:pPr>
            <w:r>
              <w:rPr>
                <w:rFonts w:hint="eastAsia"/>
              </w:rPr>
              <w:t>源强浓度</w:t>
            </w:r>
          </w:p>
        </w:tc>
        <w:tc>
          <w:tcPr>
            <w:tcW w:w="1043" w:type="pct"/>
            <w:vAlign w:val="center"/>
          </w:tcPr>
          <w:p>
            <w:pPr>
              <w:pStyle w:val="42"/>
            </w:pPr>
            <w:r>
              <w:rPr>
                <w:rFonts w:hint="eastAsia"/>
              </w:rPr>
              <w:t>地下水评价标准</w:t>
            </w:r>
          </w:p>
        </w:tc>
        <w:tc>
          <w:tcPr>
            <w:tcW w:w="2275" w:type="pct"/>
            <w:gridSpan w:val="2"/>
            <w:vAlign w:val="center"/>
          </w:tcPr>
          <w:p>
            <w:pPr>
              <w:pStyle w:val="42"/>
            </w:pPr>
            <w:r>
              <w:rPr>
                <w:rFonts w:hint="eastAsia"/>
              </w:rPr>
              <w:t>超标运移距离（</w:t>
            </w:r>
            <w:r>
              <w:t>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continue"/>
            <w:vAlign w:val="center"/>
          </w:tcPr>
          <w:p>
            <w:pPr>
              <w:pStyle w:val="42"/>
            </w:pPr>
          </w:p>
        </w:tc>
        <w:tc>
          <w:tcPr>
            <w:tcW w:w="935" w:type="pct"/>
            <w:vAlign w:val="center"/>
          </w:tcPr>
          <w:p>
            <w:pPr>
              <w:pStyle w:val="42"/>
            </w:pPr>
            <w:r>
              <w:t>mg/L</w:t>
            </w:r>
          </w:p>
        </w:tc>
        <w:tc>
          <w:tcPr>
            <w:tcW w:w="1043" w:type="pct"/>
            <w:vAlign w:val="center"/>
          </w:tcPr>
          <w:p>
            <w:pPr>
              <w:pStyle w:val="42"/>
            </w:pPr>
            <w:r>
              <w:t>mg/L</w:t>
            </w:r>
          </w:p>
        </w:tc>
        <w:tc>
          <w:tcPr>
            <w:tcW w:w="1081" w:type="pct"/>
            <w:vAlign w:val="center"/>
          </w:tcPr>
          <w:p>
            <w:pPr>
              <w:pStyle w:val="42"/>
            </w:pPr>
            <w:r>
              <w:t>100d</w:t>
            </w:r>
          </w:p>
        </w:tc>
        <w:tc>
          <w:tcPr>
            <w:tcW w:w="1194" w:type="pct"/>
            <w:vAlign w:val="center"/>
          </w:tcPr>
          <w:p>
            <w:pPr>
              <w:pStyle w:val="42"/>
            </w:pPr>
            <w:r>
              <w:t>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pStyle w:val="42"/>
            </w:pPr>
            <w:r>
              <w:t>COD</w:t>
            </w:r>
          </w:p>
        </w:tc>
        <w:tc>
          <w:tcPr>
            <w:tcW w:w="935" w:type="pct"/>
            <w:vAlign w:val="center"/>
          </w:tcPr>
          <w:p>
            <w:pPr>
              <w:pStyle w:val="42"/>
            </w:pPr>
            <w:r>
              <w:rPr>
                <w:rFonts w:hint="eastAsia"/>
              </w:rPr>
              <w:t>1000</w:t>
            </w:r>
          </w:p>
        </w:tc>
        <w:tc>
          <w:tcPr>
            <w:tcW w:w="1043" w:type="pct"/>
            <w:vAlign w:val="center"/>
          </w:tcPr>
          <w:p>
            <w:pPr>
              <w:pStyle w:val="42"/>
            </w:pPr>
            <w:r>
              <w:rPr>
                <w:rFonts w:hint="eastAsia"/>
              </w:rPr>
              <w:t>20</w:t>
            </w:r>
          </w:p>
        </w:tc>
        <w:tc>
          <w:tcPr>
            <w:tcW w:w="1081" w:type="pct"/>
            <w:vAlign w:val="center"/>
          </w:tcPr>
          <w:p>
            <w:pPr>
              <w:pStyle w:val="42"/>
            </w:pPr>
            <w:r>
              <w:rPr>
                <w:rFonts w:hint="eastAsia"/>
              </w:rPr>
              <w:t>44.5</w:t>
            </w:r>
          </w:p>
        </w:tc>
        <w:tc>
          <w:tcPr>
            <w:tcW w:w="1194" w:type="pct"/>
            <w:vAlign w:val="center"/>
          </w:tcPr>
          <w:p>
            <w:pPr>
              <w:pStyle w:val="42"/>
            </w:pPr>
            <w:r>
              <w:rPr>
                <w:rFonts w:hint="eastAsia"/>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Align w:val="center"/>
          </w:tcPr>
          <w:p>
            <w:pPr>
              <w:pStyle w:val="42"/>
            </w:pPr>
            <w:r>
              <w:t>NH3-N</w:t>
            </w:r>
          </w:p>
        </w:tc>
        <w:tc>
          <w:tcPr>
            <w:tcW w:w="935" w:type="pct"/>
            <w:vAlign w:val="center"/>
          </w:tcPr>
          <w:p>
            <w:pPr>
              <w:pStyle w:val="42"/>
            </w:pPr>
            <w:r>
              <w:rPr>
                <w:rFonts w:hint="eastAsia"/>
              </w:rPr>
              <w:t>50</w:t>
            </w:r>
          </w:p>
        </w:tc>
        <w:tc>
          <w:tcPr>
            <w:tcW w:w="1043" w:type="pct"/>
            <w:vAlign w:val="center"/>
          </w:tcPr>
          <w:p>
            <w:pPr>
              <w:pStyle w:val="42"/>
            </w:pPr>
            <w:r>
              <w:rPr>
                <w:rFonts w:hint="eastAsia"/>
              </w:rPr>
              <w:t>0.2</w:t>
            </w:r>
          </w:p>
        </w:tc>
        <w:tc>
          <w:tcPr>
            <w:tcW w:w="1081" w:type="pct"/>
            <w:vAlign w:val="center"/>
          </w:tcPr>
          <w:p>
            <w:pPr>
              <w:pStyle w:val="42"/>
            </w:pPr>
            <w:r>
              <w:rPr>
                <w:rFonts w:hint="eastAsia"/>
              </w:rPr>
              <w:t>54.5</w:t>
            </w:r>
          </w:p>
        </w:tc>
        <w:tc>
          <w:tcPr>
            <w:tcW w:w="1194" w:type="pct"/>
            <w:vAlign w:val="center"/>
          </w:tcPr>
          <w:p>
            <w:pPr>
              <w:pStyle w:val="42"/>
            </w:pPr>
            <w:r>
              <w:rPr>
                <w:rFonts w:hint="eastAsia"/>
              </w:rPr>
              <w:t>198</w:t>
            </w:r>
          </w:p>
        </w:tc>
      </w:tr>
    </w:tbl>
    <w:p>
      <w:pPr>
        <w:pStyle w:val="41"/>
        <w:jc w:val="left"/>
        <w:rPr>
          <w:rFonts w:ascii="宋体"/>
          <w:sz w:val="18"/>
          <w:szCs w:val="18"/>
        </w:rPr>
      </w:pPr>
      <w:r>
        <w:rPr>
          <w:rFonts w:hint="eastAsia"/>
          <w:sz w:val="18"/>
          <w:szCs w:val="18"/>
        </w:rPr>
        <w:t>注：</w:t>
      </w:r>
      <w:r>
        <w:rPr>
          <w:sz w:val="18"/>
          <w:szCs w:val="18"/>
        </w:rPr>
        <w:t>COD</w:t>
      </w:r>
      <w:r>
        <w:rPr>
          <w:rFonts w:hint="eastAsia"/>
          <w:sz w:val="18"/>
          <w:szCs w:val="18"/>
        </w:rPr>
        <w:t>地下水质量标准参照《地表水质量标准》（</w:t>
      </w:r>
      <w:r>
        <w:rPr>
          <w:sz w:val="18"/>
          <w:szCs w:val="18"/>
        </w:rPr>
        <w:t>GB3838-2002</w:t>
      </w:r>
      <w:r>
        <w:rPr>
          <w:rFonts w:hint="eastAsia"/>
          <w:sz w:val="18"/>
          <w:szCs w:val="18"/>
        </w:rPr>
        <w:t>）</w:t>
      </w:r>
      <w:r>
        <w:rPr>
          <w:sz w:val="18"/>
          <w:szCs w:val="18"/>
        </w:rPr>
        <w:t>III</w:t>
      </w:r>
      <w:r>
        <w:rPr>
          <w:rFonts w:hint="eastAsia"/>
          <w:sz w:val="18"/>
          <w:szCs w:val="18"/>
        </w:rPr>
        <w:t>类或标准限值</w:t>
      </w:r>
      <w:r>
        <w:rPr>
          <w:rFonts w:hint="eastAsia" w:ascii="宋体"/>
          <w:sz w:val="18"/>
          <w:szCs w:val="18"/>
        </w:rPr>
        <w:t>。</w:t>
      </w:r>
    </w:p>
    <w:p>
      <w:pPr>
        <w:ind w:firstLine="480"/>
      </w:pPr>
      <w:r>
        <w:rPr>
          <w:rFonts w:hint="eastAsia"/>
        </w:rPr>
        <w:t>由上表可知，在非正常工况下，不考虑污染物在含水层的吸附、挥发、生物化学反应，调节池泄漏事故工况下，在100d时，最大超标运移距离为COD：44.5m、NH</w:t>
      </w:r>
      <w:r>
        <w:rPr>
          <w:rFonts w:hint="eastAsia"/>
          <w:vertAlign w:val="subscript"/>
        </w:rPr>
        <w:t>3</w:t>
      </w:r>
      <w:r>
        <w:rPr>
          <w:rFonts w:hint="eastAsia"/>
        </w:rPr>
        <w:t>-N：54.5m；1000d时，最大超标运移距离为COD：166m、NH</w:t>
      </w:r>
      <w:r>
        <w:rPr>
          <w:rFonts w:hint="eastAsia"/>
          <w:vertAlign w:val="subscript"/>
        </w:rPr>
        <w:t>3</w:t>
      </w:r>
      <w:r>
        <w:rPr>
          <w:rFonts w:hint="eastAsia"/>
        </w:rPr>
        <w:t>-N：198m。污染物浓度与距离变化关系图，见图5.2.4-2~图5.2.4-5。</w:t>
      </w:r>
    </w:p>
    <w:p>
      <w:pPr>
        <w:pStyle w:val="41"/>
      </w:pPr>
      <w:r>
        <w:rPr>
          <w:rFonts w:hint="eastAsia"/>
        </w:rPr>
        <w:drawing>
          <wp:inline distT="0" distB="0" distL="0" distR="0">
            <wp:extent cx="4253230" cy="26339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258564" cy="2636962"/>
                    </a:xfrm>
                    <a:prstGeom prst="rect">
                      <a:avLst/>
                    </a:prstGeom>
                    <a:noFill/>
                    <a:ln>
                      <a:noFill/>
                    </a:ln>
                  </pic:spPr>
                </pic:pic>
              </a:graphicData>
            </a:graphic>
          </wp:inline>
        </w:drawing>
      </w:r>
    </w:p>
    <w:p>
      <w:pPr>
        <w:pStyle w:val="41"/>
        <w:ind w:firstLine="480"/>
      </w:pPr>
      <w:r>
        <w:rPr>
          <w:rFonts w:hint="eastAsia"/>
        </w:rPr>
        <w:t>图5.2.4</w:t>
      </w:r>
      <w:r>
        <w:t>-</w:t>
      </w:r>
      <w:r>
        <w:rPr>
          <w:rFonts w:hint="eastAsia"/>
        </w:rPr>
        <w:t>2</w:t>
      </w:r>
      <w:r>
        <w:t xml:space="preserve"> 100</w:t>
      </w:r>
      <w:r>
        <w:rPr>
          <w:rFonts w:hint="eastAsia"/>
        </w:rPr>
        <w:t>天时</w:t>
      </w:r>
      <w:r>
        <w:t>COD</w:t>
      </w:r>
      <w:r>
        <w:rPr>
          <w:rFonts w:hint="eastAsia"/>
        </w:rPr>
        <w:t>浓度与距离变化关系图</w:t>
      </w:r>
    </w:p>
    <w:p>
      <w:pPr>
        <w:pStyle w:val="41"/>
      </w:pPr>
      <w:r>
        <w:rPr>
          <w:rFonts w:hint="eastAsia"/>
        </w:rPr>
        <w:drawing>
          <wp:inline distT="0" distB="0" distL="0" distR="0">
            <wp:extent cx="4135120" cy="24904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140758" cy="2494138"/>
                    </a:xfrm>
                    <a:prstGeom prst="rect">
                      <a:avLst/>
                    </a:prstGeom>
                    <a:noFill/>
                    <a:ln>
                      <a:noFill/>
                    </a:ln>
                  </pic:spPr>
                </pic:pic>
              </a:graphicData>
            </a:graphic>
          </wp:inline>
        </w:drawing>
      </w:r>
    </w:p>
    <w:p>
      <w:pPr>
        <w:pStyle w:val="41"/>
      </w:pPr>
      <w:r>
        <w:rPr>
          <w:rFonts w:hint="eastAsia"/>
        </w:rPr>
        <w:t>图5.2.4</w:t>
      </w:r>
      <w:r>
        <w:t>-</w:t>
      </w:r>
      <w:r>
        <w:rPr>
          <w:rFonts w:hint="eastAsia"/>
        </w:rPr>
        <w:t>3</w:t>
      </w:r>
      <w:r>
        <w:t xml:space="preserve"> 100</w:t>
      </w:r>
      <w:r>
        <w:rPr>
          <w:rFonts w:hint="eastAsia"/>
        </w:rPr>
        <w:t>0天时</w:t>
      </w:r>
      <w:r>
        <w:t>COD</w:t>
      </w:r>
      <w:r>
        <w:rPr>
          <w:rFonts w:hint="eastAsia"/>
        </w:rPr>
        <w:t>浓度与距离变化关系图</w:t>
      </w:r>
    </w:p>
    <w:p>
      <w:pPr>
        <w:pStyle w:val="41"/>
      </w:pPr>
      <w:r>
        <w:rPr>
          <w:rFonts w:hint="eastAsia"/>
        </w:rPr>
        <w:drawing>
          <wp:inline distT="0" distB="0" distL="0" distR="0">
            <wp:extent cx="3834765" cy="23266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838287" cy="2328754"/>
                    </a:xfrm>
                    <a:prstGeom prst="rect">
                      <a:avLst/>
                    </a:prstGeom>
                    <a:noFill/>
                    <a:ln>
                      <a:noFill/>
                    </a:ln>
                  </pic:spPr>
                </pic:pic>
              </a:graphicData>
            </a:graphic>
          </wp:inline>
        </w:drawing>
      </w:r>
    </w:p>
    <w:p>
      <w:pPr>
        <w:pStyle w:val="41"/>
        <w:ind w:firstLine="480"/>
      </w:pPr>
      <w:r>
        <w:rPr>
          <w:rFonts w:hint="eastAsia"/>
        </w:rPr>
        <w:t>图5.2.4</w:t>
      </w:r>
      <w:r>
        <w:t>-</w:t>
      </w:r>
      <w:r>
        <w:rPr>
          <w:rFonts w:hint="eastAsia"/>
        </w:rPr>
        <w:t>4</w:t>
      </w:r>
      <w:r>
        <w:t xml:space="preserve"> 100</w:t>
      </w:r>
      <w:r>
        <w:rPr>
          <w:rFonts w:hint="eastAsia"/>
        </w:rPr>
        <w:t>天时</w:t>
      </w:r>
      <w:r>
        <w:t>NH</w:t>
      </w:r>
      <w:r>
        <w:rPr>
          <w:vertAlign w:val="subscript"/>
        </w:rPr>
        <w:t>3</w:t>
      </w:r>
      <w:r>
        <w:t>-N</w:t>
      </w:r>
      <w:r>
        <w:rPr>
          <w:rFonts w:hint="eastAsia"/>
        </w:rPr>
        <w:t>浓度与距离变化关系图</w:t>
      </w:r>
    </w:p>
    <w:p>
      <w:pPr>
        <w:pStyle w:val="41"/>
      </w:pPr>
      <w:r>
        <w:rPr>
          <w:rFonts w:hint="eastAsia"/>
        </w:rPr>
        <w:drawing>
          <wp:inline distT="0" distB="0" distL="0" distR="0">
            <wp:extent cx="4175760" cy="25476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176155" cy="2547675"/>
                    </a:xfrm>
                    <a:prstGeom prst="rect">
                      <a:avLst/>
                    </a:prstGeom>
                    <a:noFill/>
                    <a:ln>
                      <a:noFill/>
                    </a:ln>
                  </pic:spPr>
                </pic:pic>
              </a:graphicData>
            </a:graphic>
          </wp:inline>
        </w:drawing>
      </w:r>
    </w:p>
    <w:p>
      <w:pPr>
        <w:pStyle w:val="41"/>
        <w:ind w:firstLine="480"/>
      </w:pPr>
      <w:r>
        <w:rPr>
          <w:rFonts w:hint="eastAsia"/>
        </w:rPr>
        <w:t>图5.2.4</w:t>
      </w:r>
      <w:r>
        <w:t>-</w:t>
      </w:r>
      <w:r>
        <w:rPr>
          <w:rFonts w:hint="eastAsia"/>
        </w:rPr>
        <w:t>5</w:t>
      </w:r>
      <w:r>
        <w:t xml:space="preserve"> 100</w:t>
      </w:r>
      <w:r>
        <w:rPr>
          <w:rFonts w:hint="eastAsia"/>
        </w:rPr>
        <w:t>0天时</w:t>
      </w:r>
      <w:r>
        <w:t>NH</w:t>
      </w:r>
      <w:r>
        <w:rPr>
          <w:vertAlign w:val="subscript"/>
        </w:rPr>
        <w:t>3</w:t>
      </w:r>
      <w:r>
        <w:t>-N</w:t>
      </w:r>
      <w:r>
        <w:rPr>
          <w:rFonts w:hint="eastAsia"/>
        </w:rPr>
        <w:t>浓度与距离变化关系图</w:t>
      </w:r>
    </w:p>
    <w:p>
      <w:pPr>
        <w:ind w:firstLine="480"/>
      </w:pPr>
      <w:r>
        <w:rPr>
          <w:rFonts w:hint="eastAsia"/>
        </w:rPr>
        <w:t>综合以上预测结果可以看出，地坪清洗水一旦泄漏进入地下水系统，将会对局部地下水造成污染。为了更好地控制对地下水的影响，当发生污染物渗漏事故后，必须立即启动应急预案，参照预测结果，分析污染事故的发展趋势，并提出下一步预防和防治措施，迅速控制或切断事件灾害链，对污水进行封闭、截流，抽出污水送污水处理厂集中处理，使污染地下水扩散得到有效抑制，最大限度地保护下游地下水水质安全，将损失降到最低限度。</w:t>
      </w:r>
    </w:p>
    <w:p>
      <w:pPr>
        <w:ind w:firstLine="480"/>
      </w:pPr>
      <w:r>
        <w:rPr>
          <w:rFonts w:hint="eastAsia"/>
        </w:rPr>
        <w:t>拟建项目废水处理站采取防腐防渗措施，同时污水管道也采用“可视化”设计，事故废水发生的概率很小。通过定期设备维护和巡检，可及时得到修复，企业将短期储存的事故废水分批进入公司污水预处理站处理后排放，因此，即使车间地面、事故池和污水预处理站等的防渗层发生一定破损，暂存事故废水或泄漏物料对地下水影响甚微，并且拟建项目周边居民均不饮用地下水，故不会对周边居民用水产生影响。</w:t>
      </w:r>
    </w:p>
    <w:p>
      <w:pPr>
        <w:pStyle w:val="4"/>
        <w:spacing w:before="163" w:after="163"/>
      </w:pPr>
      <w:bookmarkStart w:id="125" w:name="_Toc84844295"/>
      <w:r>
        <w:rPr>
          <w:rFonts w:hint="eastAsia"/>
        </w:rPr>
        <w:t>5.2.6土壤环境影响分析</w:t>
      </w:r>
      <w:bookmarkEnd w:id="125"/>
    </w:p>
    <w:p>
      <w:pPr>
        <w:pStyle w:val="5"/>
        <w:spacing w:before="163" w:after="163"/>
      </w:pPr>
      <w:r>
        <w:rPr>
          <w:rFonts w:hint="eastAsia"/>
        </w:rPr>
        <w:t>5.2.6.1 土壤污染源调查</w:t>
      </w:r>
    </w:p>
    <w:p>
      <w:pPr>
        <w:ind w:firstLine="480"/>
      </w:pPr>
      <w:r>
        <w:rPr>
          <w:rFonts w:hint="eastAsia"/>
        </w:rPr>
        <w:t>结合工程分析内容，项目位于长寿经济技术开发区内。据现场调查，拟建项目评价范围内分布土壤污染源主要为周边工业污染源。</w:t>
      </w:r>
    </w:p>
    <w:p>
      <w:pPr>
        <w:ind w:firstLine="480"/>
      </w:pPr>
      <w:r>
        <w:rPr>
          <w:rFonts w:hint="eastAsia"/>
        </w:rPr>
        <w:t>工业污染源：主要包括周边工业企业排放的废气污染物、废水污染物，其中废气污染物主要包括SO</w:t>
      </w:r>
      <w:r>
        <w:rPr>
          <w:rFonts w:hint="eastAsia"/>
          <w:vertAlign w:val="subscript"/>
        </w:rPr>
        <w:t>2</w:t>
      </w:r>
      <w:r>
        <w:rPr>
          <w:rFonts w:hint="eastAsia"/>
        </w:rPr>
        <w:t>、NO</w:t>
      </w:r>
      <w:r>
        <w:rPr>
          <w:rFonts w:hint="eastAsia"/>
          <w:vertAlign w:val="subscript"/>
        </w:rPr>
        <w:t>2</w:t>
      </w:r>
      <w:r>
        <w:rPr>
          <w:rFonts w:hint="eastAsia"/>
        </w:rPr>
        <w:t>、颗粒物、非甲烷总统、氨、TVOC等，废水污染物主要包括pH、COD、BOD</w:t>
      </w:r>
      <w:r>
        <w:rPr>
          <w:rFonts w:hint="eastAsia"/>
          <w:vertAlign w:val="subscript"/>
        </w:rPr>
        <w:t>5</w:t>
      </w:r>
      <w:r>
        <w:rPr>
          <w:rFonts w:hint="eastAsia"/>
        </w:rPr>
        <w:t>、SS、NH</w:t>
      </w:r>
      <w:r>
        <w:rPr>
          <w:rFonts w:hint="eastAsia"/>
          <w:vertAlign w:val="subscript"/>
        </w:rPr>
        <w:t>3</w:t>
      </w:r>
      <w:r>
        <w:rPr>
          <w:rFonts w:hint="eastAsia"/>
        </w:rPr>
        <w:t>-N、动植物油、石油类等。污染途径包括：废气污染物经排气筒排放后在大气沉降作用下进入土壤，各类废水收集设施、涉及液体的生产装置发生渗漏引起废水污染物进入土壤。其中废气污染物对土壤的污染不仅局限于厂区内，还包括各企业厂区外区域。根据本次评价对项目所在地及周边的土壤环境质量现状监测和调查结果，评价范围内土壤环境质量满足《土壤环境质量建设用地土壤污染风险管控标准（试行）》（GB36600-2018）第二类用地筛选值标准。</w:t>
      </w:r>
    </w:p>
    <w:p>
      <w:pPr>
        <w:ind w:firstLine="480"/>
      </w:pPr>
      <w:r>
        <w:rPr>
          <w:rFonts w:hint="eastAsia"/>
        </w:rPr>
        <w:t>建设项目土壤环境影响类型与影响途径识别见表5.2.6-1。</w:t>
      </w:r>
    </w:p>
    <w:p>
      <w:pPr>
        <w:pStyle w:val="41"/>
      </w:pPr>
      <w:r>
        <w:rPr>
          <w:rFonts w:hint="eastAsia"/>
        </w:rPr>
        <w:t>表5.2.6-1 建设项目土壤环境影响类型与影响途径表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646"/>
        <w:gridCol w:w="1646"/>
        <w:gridCol w:w="164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44" w:type="dxa"/>
            <w:vMerge w:val="restart"/>
            <w:vAlign w:val="center"/>
          </w:tcPr>
          <w:p>
            <w:pPr>
              <w:pStyle w:val="42"/>
              <w:adjustRightInd w:val="0"/>
              <w:textAlignment w:val="baseline"/>
            </w:pPr>
            <w:r>
              <w:rPr>
                <w:rFonts w:hint="eastAsia"/>
              </w:rPr>
              <w:t>不同时段</w:t>
            </w:r>
          </w:p>
        </w:tc>
        <w:tc>
          <w:tcPr>
            <w:tcW w:w="6584" w:type="dxa"/>
            <w:gridSpan w:val="4"/>
            <w:vAlign w:val="center"/>
          </w:tcPr>
          <w:p>
            <w:pPr>
              <w:pStyle w:val="42"/>
              <w:adjustRightInd w:val="0"/>
              <w:textAlignment w:val="baseline"/>
            </w:pPr>
            <w:r>
              <w:rPr>
                <w:rFonts w:hint="eastAsia"/>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4" w:type="dxa"/>
            <w:vMerge w:val="continue"/>
            <w:vAlign w:val="center"/>
          </w:tcPr>
          <w:p>
            <w:pPr>
              <w:pStyle w:val="42"/>
              <w:adjustRightInd w:val="0"/>
              <w:textAlignment w:val="baseline"/>
            </w:pPr>
          </w:p>
        </w:tc>
        <w:tc>
          <w:tcPr>
            <w:tcW w:w="1646" w:type="dxa"/>
            <w:vAlign w:val="center"/>
          </w:tcPr>
          <w:p>
            <w:pPr>
              <w:pStyle w:val="42"/>
              <w:adjustRightInd w:val="0"/>
              <w:textAlignment w:val="baseline"/>
            </w:pPr>
            <w:r>
              <w:rPr>
                <w:rFonts w:hint="eastAsia"/>
              </w:rPr>
              <w:t>大气沉降</w:t>
            </w:r>
          </w:p>
        </w:tc>
        <w:tc>
          <w:tcPr>
            <w:tcW w:w="1646" w:type="dxa"/>
            <w:vAlign w:val="center"/>
          </w:tcPr>
          <w:p>
            <w:pPr>
              <w:pStyle w:val="42"/>
              <w:adjustRightInd w:val="0"/>
              <w:textAlignment w:val="baseline"/>
            </w:pPr>
            <w:r>
              <w:rPr>
                <w:rFonts w:hint="eastAsia"/>
              </w:rPr>
              <w:t>地面漫流</w:t>
            </w:r>
          </w:p>
        </w:tc>
        <w:tc>
          <w:tcPr>
            <w:tcW w:w="1646" w:type="dxa"/>
            <w:vAlign w:val="center"/>
          </w:tcPr>
          <w:p>
            <w:pPr>
              <w:pStyle w:val="42"/>
              <w:adjustRightInd w:val="0"/>
              <w:textAlignment w:val="baseline"/>
            </w:pPr>
            <w:r>
              <w:rPr>
                <w:rFonts w:hint="eastAsia"/>
              </w:rPr>
              <w:t>垂直入渗</w:t>
            </w:r>
          </w:p>
        </w:tc>
        <w:tc>
          <w:tcPr>
            <w:tcW w:w="1646" w:type="dxa"/>
            <w:vAlign w:val="center"/>
          </w:tcPr>
          <w:p>
            <w:pPr>
              <w:pStyle w:val="42"/>
              <w:adjustRightInd w:val="0"/>
              <w:textAlignment w:val="baseline"/>
            </w:pPr>
            <w:r>
              <w:rPr>
                <w:rFonts w:hint="eastAsia"/>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44" w:type="dxa"/>
            <w:vAlign w:val="center"/>
          </w:tcPr>
          <w:p>
            <w:pPr>
              <w:pStyle w:val="42"/>
              <w:adjustRightInd w:val="0"/>
              <w:textAlignment w:val="baseline"/>
            </w:pPr>
            <w:r>
              <w:rPr>
                <w:rFonts w:hint="eastAsia"/>
              </w:rPr>
              <w:t>建设期</w:t>
            </w:r>
          </w:p>
        </w:tc>
        <w:tc>
          <w:tcPr>
            <w:tcW w:w="1646" w:type="dxa"/>
            <w:vAlign w:val="center"/>
          </w:tcPr>
          <w:p>
            <w:pPr>
              <w:pStyle w:val="42"/>
              <w:adjustRightInd w:val="0"/>
              <w:textAlignment w:val="baseline"/>
            </w:pPr>
          </w:p>
        </w:tc>
        <w:tc>
          <w:tcPr>
            <w:tcW w:w="1646" w:type="dxa"/>
            <w:vAlign w:val="center"/>
          </w:tcPr>
          <w:p>
            <w:pPr>
              <w:pStyle w:val="42"/>
              <w:adjustRightInd w:val="0"/>
              <w:textAlignment w:val="baseline"/>
            </w:pPr>
          </w:p>
        </w:tc>
        <w:tc>
          <w:tcPr>
            <w:tcW w:w="1646" w:type="dxa"/>
            <w:vAlign w:val="center"/>
          </w:tcPr>
          <w:p>
            <w:pPr>
              <w:pStyle w:val="42"/>
              <w:adjustRightInd w:val="0"/>
              <w:textAlignment w:val="baseline"/>
            </w:pPr>
          </w:p>
        </w:tc>
        <w:tc>
          <w:tcPr>
            <w:tcW w:w="1646" w:type="dxa"/>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4" w:type="dxa"/>
            <w:vAlign w:val="center"/>
          </w:tcPr>
          <w:p>
            <w:pPr>
              <w:pStyle w:val="42"/>
              <w:adjustRightInd w:val="0"/>
              <w:textAlignment w:val="baseline"/>
            </w:pPr>
            <w:r>
              <w:rPr>
                <w:rFonts w:hint="eastAsia"/>
              </w:rPr>
              <w:t>运营期</w:t>
            </w:r>
          </w:p>
        </w:tc>
        <w:tc>
          <w:tcPr>
            <w:tcW w:w="1646" w:type="dxa"/>
            <w:vAlign w:val="center"/>
          </w:tcPr>
          <w:p>
            <w:pPr>
              <w:pStyle w:val="42"/>
              <w:adjustRightInd w:val="0"/>
              <w:textAlignment w:val="baseline"/>
            </w:pPr>
            <w:r>
              <w:rPr>
                <w:rFonts w:hint="eastAsia"/>
              </w:rPr>
              <w:t>√</w:t>
            </w:r>
          </w:p>
        </w:tc>
        <w:tc>
          <w:tcPr>
            <w:tcW w:w="1646" w:type="dxa"/>
            <w:vAlign w:val="center"/>
          </w:tcPr>
          <w:p>
            <w:pPr>
              <w:pStyle w:val="42"/>
              <w:adjustRightInd w:val="0"/>
              <w:textAlignment w:val="baseline"/>
            </w:pPr>
            <w:r>
              <w:rPr>
                <w:rFonts w:hint="eastAsia"/>
              </w:rPr>
              <w:t>√</w:t>
            </w:r>
          </w:p>
        </w:tc>
        <w:tc>
          <w:tcPr>
            <w:tcW w:w="1646" w:type="dxa"/>
            <w:vAlign w:val="center"/>
          </w:tcPr>
          <w:p>
            <w:pPr>
              <w:pStyle w:val="42"/>
              <w:adjustRightInd w:val="0"/>
              <w:textAlignment w:val="baseline"/>
            </w:pPr>
            <w:r>
              <w:rPr>
                <w:rFonts w:hint="eastAsia"/>
              </w:rPr>
              <w:t>√</w:t>
            </w:r>
          </w:p>
        </w:tc>
        <w:tc>
          <w:tcPr>
            <w:tcW w:w="1646" w:type="dxa"/>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4" w:type="dxa"/>
            <w:vAlign w:val="center"/>
          </w:tcPr>
          <w:p>
            <w:pPr>
              <w:pStyle w:val="42"/>
              <w:adjustRightInd w:val="0"/>
              <w:textAlignment w:val="baseline"/>
            </w:pPr>
            <w:r>
              <w:rPr>
                <w:rFonts w:hint="eastAsia"/>
              </w:rPr>
              <w:t>服务期满后</w:t>
            </w:r>
          </w:p>
        </w:tc>
        <w:tc>
          <w:tcPr>
            <w:tcW w:w="1646" w:type="dxa"/>
            <w:vAlign w:val="center"/>
          </w:tcPr>
          <w:p>
            <w:pPr>
              <w:pStyle w:val="42"/>
              <w:adjustRightInd w:val="0"/>
              <w:textAlignment w:val="baseline"/>
            </w:pPr>
          </w:p>
        </w:tc>
        <w:tc>
          <w:tcPr>
            <w:tcW w:w="1646" w:type="dxa"/>
            <w:vAlign w:val="center"/>
          </w:tcPr>
          <w:p>
            <w:pPr>
              <w:pStyle w:val="42"/>
              <w:adjustRightInd w:val="0"/>
              <w:textAlignment w:val="baseline"/>
            </w:pPr>
          </w:p>
        </w:tc>
        <w:tc>
          <w:tcPr>
            <w:tcW w:w="1646" w:type="dxa"/>
            <w:vAlign w:val="center"/>
          </w:tcPr>
          <w:p>
            <w:pPr>
              <w:pStyle w:val="42"/>
              <w:adjustRightInd w:val="0"/>
              <w:textAlignment w:val="baseline"/>
            </w:pPr>
            <w:r>
              <w:rPr>
                <w:rFonts w:hint="eastAsia"/>
              </w:rPr>
              <w:t>√</w:t>
            </w:r>
          </w:p>
        </w:tc>
        <w:tc>
          <w:tcPr>
            <w:tcW w:w="1646" w:type="dxa"/>
            <w:vAlign w:val="center"/>
          </w:tcPr>
          <w:p>
            <w:pPr>
              <w:pStyle w:val="42"/>
              <w:adjustRightInd w:val="0"/>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8" w:type="dxa"/>
            <w:gridSpan w:val="5"/>
            <w:vAlign w:val="center"/>
          </w:tcPr>
          <w:p>
            <w:pPr>
              <w:pStyle w:val="42"/>
              <w:adjustRightInd w:val="0"/>
              <w:textAlignment w:val="baseline"/>
            </w:pPr>
            <w:r>
              <w:rPr>
                <w:rFonts w:hint="eastAsia"/>
              </w:rPr>
              <w:t>注：在有可能产生的土壤环境影响类型处打“√”，列表未涵盖的可自行设计</w:t>
            </w:r>
          </w:p>
        </w:tc>
      </w:tr>
    </w:tbl>
    <w:p>
      <w:pPr>
        <w:ind w:firstLine="480"/>
      </w:pPr>
      <w:r>
        <w:rPr>
          <w:rFonts w:hint="eastAsia"/>
        </w:rPr>
        <w:t>建设项目土壤环境影响源及影响因子识别见表5.2.6-2。</w:t>
      </w:r>
    </w:p>
    <w:p>
      <w:pPr>
        <w:pStyle w:val="41"/>
      </w:pPr>
      <w:r>
        <w:rPr>
          <w:rFonts w:hint="eastAsia"/>
        </w:rPr>
        <w:t>表5.2.6-2 污染影响型建设项目土壤环境影响源及影响因子识别表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1134"/>
        <w:gridCol w:w="2410"/>
        <w:gridCol w:w="113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42"/>
              <w:adjustRightInd w:val="0"/>
              <w:textAlignment w:val="baseline"/>
              <w:rPr>
                <w:sz w:val="18"/>
                <w:szCs w:val="18"/>
              </w:rPr>
            </w:pPr>
            <w:r>
              <w:rPr>
                <w:rFonts w:hint="eastAsia"/>
                <w:sz w:val="18"/>
                <w:szCs w:val="18"/>
              </w:rPr>
              <w:t>污染源</w:t>
            </w:r>
          </w:p>
        </w:tc>
        <w:tc>
          <w:tcPr>
            <w:tcW w:w="1701" w:type="dxa"/>
            <w:vAlign w:val="center"/>
          </w:tcPr>
          <w:p>
            <w:pPr>
              <w:pStyle w:val="42"/>
              <w:adjustRightInd w:val="0"/>
              <w:textAlignment w:val="baseline"/>
              <w:rPr>
                <w:sz w:val="18"/>
                <w:szCs w:val="18"/>
              </w:rPr>
            </w:pPr>
            <w:r>
              <w:rPr>
                <w:rFonts w:hint="eastAsia"/>
                <w:sz w:val="18"/>
                <w:szCs w:val="18"/>
              </w:rPr>
              <w:t>工艺流程</w:t>
            </w:r>
          </w:p>
          <w:p>
            <w:pPr>
              <w:pStyle w:val="42"/>
              <w:adjustRightInd w:val="0"/>
              <w:textAlignment w:val="baseline"/>
              <w:rPr>
                <w:sz w:val="18"/>
                <w:szCs w:val="18"/>
              </w:rPr>
            </w:pPr>
            <w:r>
              <w:rPr>
                <w:rFonts w:hint="eastAsia"/>
                <w:sz w:val="18"/>
                <w:szCs w:val="18"/>
              </w:rPr>
              <w:t>/节点</w:t>
            </w:r>
          </w:p>
        </w:tc>
        <w:tc>
          <w:tcPr>
            <w:tcW w:w="1134" w:type="dxa"/>
            <w:vAlign w:val="center"/>
          </w:tcPr>
          <w:p>
            <w:pPr>
              <w:pStyle w:val="42"/>
              <w:adjustRightInd w:val="0"/>
              <w:textAlignment w:val="baseline"/>
              <w:rPr>
                <w:sz w:val="18"/>
                <w:szCs w:val="18"/>
              </w:rPr>
            </w:pPr>
            <w:r>
              <w:rPr>
                <w:rFonts w:hint="eastAsia"/>
                <w:sz w:val="18"/>
                <w:szCs w:val="18"/>
              </w:rPr>
              <w:t>污染途径</w:t>
            </w:r>
          </w:p>
        </w:tc>
        <w:tc>
          <w:tcPr>
            <w:tcW w:w="2410" w:type="dxa"/>
            <w:vAlign w:val="center"/>
          </w:tcPr>
          <w:p>
            <w:pPr>
              <w:pStyle w:val="42"/>
              <w:adjustRightInd w:val="0"/>
              <w:textAlignment w:val="baseline"/>
              <w:rPr>
                <w:sz w:val="18"/>
                <w:szCs w:val="18"/>
              </w:rPr>
            </w:pPr>
            <w:r>
              <w:rPr>
                <w:rFonts w:hint="eastAsia"/>
                <w:sz w:val="18"/>
                <w:szCs w:val="18"/>
              </w:rPr>
              <w:t>全部污染物指标a</w:t>
            </w:r>
          </w:p>
        </w:tc>
        <w:tc>
          <w:tcPr>
            <w:tcW w:w="1134" w:type="dxa"/>
            <w:vAlign w:val="center"/>
          </w:tcPr>
          <w:p>
            <w:pPr>
              <w:pStyle w:val="42"/>
              <w:adjustRightInd w:val="0"/>
              <w:textAlignment w:val="baseline"/>
              <w:rPr>
                <w:sz w:val="18"/>
                <w:szCs w:val="18"/>
              </w:rPr>
            </w:pPr>
            <w:r>
              <w:rPr>
                <w:rFonts w:hint="eastAsia"/>
                <w:sz w:val="18"/>
                <w:szCs w:val="18"/>
              </w:rPr>
              <w:t>特征因子</w:t>
            </w:r>
          </w:p>
        </w:tc>
        <w:tc>
          <w:tcPr>
            <w:tcW w:w="1326" w:type="dxa"/>
            <w:vAlign w:val="center"/>
          </w:tcPr>
          <w:p>
            <w:pPr>
              <w:pStyle w:val="42"/>
              <w:adjustRightInd w:val="0"/>
              <w:textAlignment w:val="baseline"/>
              <w:rPr>
                <w:sz w:val="18"/>
                <w:szCs w:val="18"/>
              </w:rPr>
            </w:pPr>
            <w:r>
              <w:rPr>
                <w:rFonts w:hint="eastAsia"/>
                <w:sz w:val="18"/>
                <w:szCs w:val="18"/>
              </w:rPr>
              <w:t>备注b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42"/>
              <w:adjustRightInd w:val="0"/>
              <w:textAlignment w:val="baseline"/>
              <w:rPr>
                <w:sz w:val="18"/>
                <w:szCs w:val="18"/>
              </w:rPr>
            </w:pPr>
            <w:r>
              <w:rPr>
                <w:rFonts w:hint="eastAsia"/>
                <w:sz w:val="18"/>
                <w:szCs w:val="18"/>
              </w:rPr>
              <w:t>合成氨生产装置区</w:t>
            </w:r>
          </w:p>
        </w:tc>
        <w:tc>
          <w:tcPr>
            <w:tcW w:w="1701" w:type="dxa"/>
            <w:vMerge w:val="restart"/>
            <w:vAlign w:val="center"/>
          </w:tcPr>
          <w:p>
            <w:pPr>
              <w:pStyle w:val="42"/>
              <w:adjustRightInd w:val="0"/>
              <w:textAlignment w:val="baseline"/>
              <w:rPr>
                <w:sz w:val="18"/>
                <w:szCs w:val="18"/>
              </w:rPr>
            </w:pPr>
            <w:r>
              <w:rPr>
                <w:rFonts w:hint="eastAsia"/>
                <w:sz w:val="18"/>
                <w:szCs w:val="18"/>
              </w:rPr>
              <w:t>天然气脱硫/一段蒸汽转化/ CO高温变换/弛放气膜分离回收氢/ PSA脱碳提氢/合成氨等</w:t>
            </w:r>
          </w:p>
        </w:tc>
        <w:tc>
          <w:tcPr>
            <w:tcW w:w="1134" w:type="dxa"/>
            <w:vAlign w:val="center"/>
          </w:tcPr>
          <w:p>
            <w:pPr>
              <w:pStyle w:val="42"/>
              <w:adjustRightInd w:val="0"/>
              <w:textAlignment w:val="baseline"/>
              <w:rPr>
                <w:sz w:val="18"/>
                <w:szCs w:val="18"/>
              </w:rPr>
            </w:pPr>
            <w:r>
              <w:rPr>
                <w:rFonts w:hint="eastAsia"/>
                <w:sz w:val="18"/>
                <w:szCs w:val="18"/>
              </w:rPr>
              <w:t>大气沉降</w:t>
            </w:r>
          </w:p>
        </w:tc>
        <w:tc>
          <w:tcPr>
            <w:tcW w:w="2410" w:type="dxa"/>
            <w:vAlign w:val="center"/>
          </w:tcPr>
          <w:p>
            <w:pPr>
              <w:pStyle w:val="42"/>
              <w:adjustRightInd w:val="0"/>
              <w:textAlignment w:val="baseline"/>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、颗粒物（PM</w:t>
            </w:r>
            <w:r>
              <w:rPr>
                <w:rFonts w:hint="eastAsia"/>
                <w:sz w:val="18"/>
                <w:szCs w:val="18"/>
                <w:vertAlign w:val="subscript"/>
              </w:rPr>
              <w:t>10</w:t>
            </w:r>
            <w:r>
              <w:rPr>
                <w:rFonts w:hint="eastAsia"/>
                <w:sz w:val="18"/>
                <w:szCs w:val="18"/>
              </w:rPr>
              <w:t>）、PM</w:t>
            </w:r>
            <w:r>
              <w:rPr>
                <w:rFonts w:hint="eastAsia"/>
                <w:sz w:val="18"/>
                <w:szCs w:val="18"/>
                <w:vertAlign w:val="subscript"/>
              </w:rPr>
              <w:t>2.5</w:t>
            </w:r>
            <w:r>
              <w:rPr>
                <w:rFonts w:hint="eastAsia"/>
                <w:sz w:val="18"/>
                <w:szCs w:val="18"/>
              </w:rPr>
              <w:t>、NH</w:t>
            </w:r>
            <w:r>
              <w:rPr>
                <w:rFonts w:hint="eastAsia"/>
                <w:sz w:val="18"/>
                <w:szCs w:val="18"/>
                <w:vertAlign w:val="subscript"/>
              </w:rPr>
              <w:t>3</w:t>
            </w:r>
            <w:r>
              <w:rPr>
                <w:rFonts w:hint="eastAsia"/>
                <w:sz w:val="18"/>
                <w:szCs w:val="18"/>
              </w:rPr>
              <w:t>和非甲烷总烃</w:t>
            </w:r>
          </w:p>
        </w:tc>
        <w:tc>
          <w:tcPr>
            <w:tcW w:w="1134" w:type="dxa"/>
            <w:vAlign w:val="center"/>
          </w:tcPr>
          <w:p>
            <w:pPr>
              <w:pStyle w:val="42"/>
              <w:adjustRightInd w:val="0"/>
              <w:textAlignment w:val="baseline"/>
              <w:rPr>
                <w:sz w:val="18"/>
                <w:szCs w:val="18"/>
              </w:rPr>
            </w:pPr>
            <w:r>
              <w:rPr>
                <w:rFonts w:hint="eastAsia"/>
                <w:sz w:val="18"/>
                <w:szCs w:val="18"/>
              </w:rPr>
              <w:t>颗粒物</w:t>
            </w:r>
          </w:p>
        </w:tc>
        <w:tc>
          <w:tcPr>
            <w:tcW w:w="1326" w:type="dxa"/>
            <w:vAlign w:val="center"/>
          </w:tcPr>
          <w:p>
            <w:pPr>
              <w:pStyle w:val="42"/>
              <w:adjustRightInd w:val="0"/>
              <w:textAlignment w:val="baseline"/>
              <w:rPr>
                <w:sz w:val="18"/>
                <w:szCs w:val="18"/>
              </w:rPr>
            </w:pPr>
            <w:r>
              <w:rPr>
                <w:sz w:val="18"/>
                <w:szCs w:val="18"/>
              </w:rPr>
              <w:t>连续</w:t>
            </w:r>
            <w:r>
              <w:rPr>
                <w:rFonts w:hint="eastAsia"/>
                <w:sz w:val="18"/>
                <w:szCs w:val="18"/>
              </w:rPr>
              <w:t>、</w:t>
            </w:r>
            <w:r>
              <w:rPr>
                <w:sz w:val="18"/>
                <w:szCs w:val="18"/>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42"/>
              <w:adjustRightInd w:val="0"/>
              <w:textAlignment w:val="baseline"/>
              <w:rPr>
                <w:sz w:val="18"/>
                <w:szCs w:val="18"/>
              </w:rPr>
            </w:pPr>
          </w:p>
        </w:tc>
        <w:tc>
          <w:tcPr>
            <w:tcW w:w="1701" w:type="dxa"/>
            <w:vMerge w:val="continue"/>
            <w:vAlign w:val="center"/>
          </w:tcPr>
          <w:p>
            <w:pPr>
              <w:pStyle w:val="42"/>
              <w:adjustRightInd w:val="0"/>
              <w:textAlignment w:val="baseline"/>
              <w:rPr>
                <w:sz w:val="18"/>
                <w:szCs w:val="18"/>
              </w:rPr>
            </w:pPr>
          </w:p>
        </w:tc>
        <w:tc>
          <w:tcPr>
            <w:tcW w:w="1134" w:type="dxa"/>
            <w:vAlign w:val="center"/>
          </w:tcPr>
          <w:p>
            <w:pPr>
              <w:pStyle w:val="42"/>
              <w:adjustRightInd w:val="0"/>
              <w:textAlignment w:val="baseline"/>
              <w:rPr>
                <w:sz w:val="18"/>
                <w:szCs w:val="18"/>
              </w:rPr>
            </w:pPr>
            <w:r>
              <w:rPr>
                <w:rFonts w:hint="eastAsia"/>
                <w:sz w:val="18"/>
                <w:szCs w:val="18"/>
              </w:rPr>
              <w:t>垂直入渗</w:t>
            </w:r>
          </w:p>
        </w:tc>
        <w:tc>
          <w:tcPr>
            <w:tcW w:w="2410" w:type="dxa"/>
            <w:vAlign w:val="center"/>
          </w:tcPr>
          <w:p>
            <w:pPr>
              <w:pStyle w:val="42"/>
              <w:adjustRightInd w:val="0"/>
              <w:textAlignment w:val="baseline"/>
              <w:rPr>
                <w:sz w:val="18"/>
                <w:szCs w:val="18"/>
              </w:rPr>
            </w:pPr>
            <w:r>
              <w:rPr>
                <w:rFonts w:hint="eastAsia"/>
                <w:sz w:val="18"/>
                <w:szCs w:val="18"/>
              </w:rPr>
              <w:t>pH、COD、BOD</w:t>
            </w:r>
            <w:r>
              <w:rPr>
                <w:rFonts w:hint="eastAsia"/>
                <w:sz w:val="18"/>
                <w:szCs w:val="18"/>
                <w:vertAlign w:val="subscript"/>
              </w:rPr>
              <w:t>5</w:t>
            </w:r>
            <w:r>
              <w:rPr>
                <w:rFonts w:hint="eastAsia"/>
                <w:sz w:val="18"/>
                <w:szCs w:val="18"/>
              </w:rPr>
              <w:t>、SS、NH</w:t>
            </w:r>
            <w:r>
              <w:rPr>
                <w:rFonts w:hint="eastAsia"/>
                <w:sz w:val="18"/>
                <w:szCs w:val="18"/>
                <w:vertAlign w:val="subscript"/>
              </w:rPr>
              <w:t>3</w:t>
            </w:r>
            <w:r>
              <w:rPr>
                <w:rFonts w:hint="eastAsia"/>
                <w:sz w:val="18"/>
                <w:szCs w:val="18"/>
              </w:rPr>
              <w:t>-N、石油类</w:t>
            </w:r>
          </w:p>
        </w:tc>
        <w:tc>
          <w:tcPr>
            <w:tcW w:w="1134" w:type="dxa"/>
            <w:vAlign w:val="center"/>
          </w:tcPr>
          <w:p>
            <w:pPr>
              <w:pStyle w:val="42"/>
              <w:adjustRightInd w:val="0"/>
              <w:textAlignment w:val="baseline"/>
              <w:rPr>
                <w:sz w:val="18"/>
                <w:szCs w:val="18"/>
              </w:rPr>
            </w:pPr>
            <w:r>
              <w:rPr>
                <w:rFonts w:hint="eastAsia"/>
                <w:sz w:val="18"/>
                <w:szCs w:val="18"/>
              </w:rPr>
              <w:t>石油类</w:t>
            </w:r>
          </w:p>
        </w:tc>
        <w:tc>
          <w:tcPr>
            <w:tcW w:w="1326" w:type="dxa"/>
            <w:vAlign w:val="center"/>
          </w:tcPr>
          <w:p>
            <w:pPr>
              <w:pStyle w:val="42"/>
              <w:adjustRightInd w:val="0"/>
              <w:textAlignment w:val="baseline"/>
              <w:rPr>
                <w:sz w:val="18"/>
                <w:szCs w:val="18"/>
              </w:rPr>
            </w:pPr>
            <w:r>
              <w:rPr>
                <w:sz w:val="18"/>
                <w:szCs w:val="18"/>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522" w:type="dxa"/>
            <w:gridSpan w:val="6"/>
            <w:vAlign w:val="center"/>
          </w:tcPr>
          <w:p>
            <w:pPr>
              <w:pStyle w:val="42"/>
              <w:adjustRightInd w:val="0"/>
              <w:textAlignment w:val="baseline"/>
              <w:rPr>
                <w:sz w:val="18"/>
                <w:szCs w:val="18"/>
              </w:rPr>
            </w:pPr>
            <w:r>
              <w:rPr>
                <w:rFonts w:hint="eastAsia"/>
                <w:sz w:val="18"/>
                <w:szCs w:val="18"/>
              </w:rPr>
              <w:t>a根据工程分析结果填写。</w:t>
            </w:r>
          </w:p>
          <w:p>
            <w:pPr>
              <w:pStyle w:val="42"/>
              <w:adjustRightInd w:val="0"/>
              <w:textAlignment w:val="baseline"/>
              <w:rPr>
                <w:sz w:val="18"/>
                <w:szCs w:val="18"/>
              </w:rPr>
            </w:pPr>
            <w:r>
              <w:rPr>
                <w:rFonts w:hint="eastAsia"/>
                <w:sz w:val="18"/>
                <w:szCs w:val="18"/>
              </w:rPr>
              <w:t>b应描述污染源特征、如连续、间断、正常、事故等；涉及大气沉降途径的，应识别建设项目周边的土壤环境敏感目标。</w:t>
            </w:r>
          </w:p>
        </w:tc>
      </w:tr>
    </w:tbl>
    <w:p>
      <w:pPr>
        <w:pStyle w:val="5"/>
        <w:spacing w:before="163" w:after="163"/>
      </w:pPr>
      <w:r>
        <w:rPr>
          <w:rFonts w:hint="eastAsia"/>
        </w:rPr>
        <w:t>5.2.6.2土壤环境影响预测与评价</w:t>
      </w:r>
    </w:p>
    <w:p>
      <w:pPr>
        <w:ind w:firstLine="480"/>
      </w:pPr>
      <w:r>
        <w:rPr>
          <w:rFonts w:hint="eastAsia"/>
        </w:rPr>
        <w:t>随着废气排出的特征因子通过干湿沉降进入土壤，考虑废气的连续排放，污染物可能在土壤中形成累积。厂区采取地面硬化，设置围堰，布设完整的排水系统，并以定期巡查和电子监控的方式的防止废水外泄，对土壤的影响概率很小。结合本次评价在厂区内进行的土壤环境质量现状监测结果进行分析，评价范围内土壤环境质量满足《土壤环境质量建设用地土壤污染风险管控标准（试行）》（GB36600-2018）第二类用地筛选值标准，且各项挥发性有机物、半挥发性有机物的监测结果均为未检出。</w:t>
      </w:r>
    </w:p>
    <w:p>
      <w:pPr>
        <w:ind w:firstLine="480"/>
      </w:pPr>
      <w:r>
        <w:rPr>
          <w:rFonts w:hint="eastAsia"/>
        </w:rPr>
        <w:t>（1）大气沉降</w:t>
      </w:r>
    </w:p>
    <w:p>
      <w:pPr>
        <w:ind w:firstLine="480"/>
      </w:pPr>
      <w:r>
        <w:rPr>
          <w:rFonts w:hint="eastAsia"/>
        </w:rPr>
        <w:t>根据表5.2.5-2识别，拟建项目土壤环境影响涉及大气沉降因子主要是一段转化炉烟气中颗粒物，一段转化炉燃料为天然气，以空气助燃，无其他特征污染因子。因此，拟建项目烟气中排放的主要为天然气燃烧产生的烟尘，不含其他大气特征污染因子，因此，拟建项目排放大气对土壤等外环境影响小，本次评价将不再定量预测拟建项目大气沉降对土壤的影响。</w:t>
      </w:r>
    </w:p>
    <w:p>
      <w:pPr>
        <w:ind w:firstLine="480"/>
      </w:pPr>
      <w:r>
        <w:t>（2）地面漫流</w:t>
      </w:r>
    </w:p>
    <w:p>
      <w:pPr>
        <w:ind w:firstLine="480"/>
      </w:pPr>
      <w:r>
        <w:t>对于地上设施，在事故情况和降雨情况下产生的废水会发生地面漫流，进一步污染土壤。企业设置废水两级防控，设置围堰拦截事故水，进入事故收集池，此过程由各阀门，溢流井等调控控制。同时根据地势设置废水拦截和切换系统，保证可能受污染的雨排水截留至厂内事故水池。全面防控事故废水和可能受污染的雨水发生地面漫流，进入土壤。在全面落实两级防控措施的情况下，物料或污染物的地面漫流对土壤影响较小。</w:t>
      </w:r>
    </w:p>
    <w:p>
      <w:pPr>
        <w:ind w:firstLine="480"/>
      </w:pPr>
      <w:r>
        <w:t>（3）垂直入渗</w:t>
      </w:r>
    </w:p>
    <w:p>
      <w:pPr>
        <w:ind w:firstLine="480"/>
      </w:pPr>
      <w:r>
        <w:t>对于厂区内地下或半地下工程构筑物，在事故情况下，会造成物料、污染物等的泄漏，通过垂直入渗途径污染土壤。根据场地特性和项目特征，</w:t>
      </w:r>
      <w:r>
        <w:rPr>
          <w:rFonts w:hint="eastAsia"/>
        </w:rPr>
        <w:t>拟建项目厂区</w:t>
      </w:r>
      <w:r>
        <w:t>制定分区防渗。对于</w:t>
      </w:r>
      <w:r>
        <w:rPr>
          <w:rFonts w:hint="eastAsia"/>
        </w:rPr>
        <w:t>生产装置区、储罐区、污水处理站、危废暂存间和事故池等区域</w:t>
      </w:r>
      <w:r>
        <w:t>采取重点防渗；对于</w:t>
      </w:r>
      <w:r>
        <w:rPr>
          <w:rFonts w:hint="eastAsia"/>
        </w:rPr>
        <w:t>综合楼以及重点污染防治区域附近区域等</w:t>
      </w:r>
      <w:r>
        <w:t>采取一般防渗；</w:t>
      </w:r>
      <w:r>
        <w:rPr>
          <w:rFonts w:hint="eastAsia"/>
        </w:rPr>
        <w:t>拟建项目其它区域除绿化带外，地面均已进行硬化。</w:t>
      </w:r>
      <w:r>
        <w:t>在全面落实分区防渗措施的情况下，物料或污染物的垂直入渗对土壤影响较小。</w:t>
      </w:r>
    </w:p>
    <w:p>
      <w:pPr>
        <w:pStyle w:val="5"/>
        <w:spacing w:before="163" w:after="163"/>
      </w:pPr>
      <w:r>
        <w:rPr>
          <w:rFonts w:hint="eastAsia"/>
        </w:rPr>
        <w:t>5.2.6.3土壤环境影响评价结论</w:t>
      </w:r>
    </w:p>
    <w:p>
      <w:pPr>
        <w:ind w:firstLine="480"/>
      </w:pPr>
      <w:r>
        <w:rPr>
          <w:rFonts w:hint="eastAsia"/>
        </w:rPr>
        <w:t>根据土壤环境质量现状监测结果可见，各监测点各项监测指标均能达到《土壤环境质量建设用地土壤污染风险管控标准（试行）》（GB36600-2018）第二类用地筛选值标准，拟建项目土壤环境质量较好。</w:t>
      </w:r>
    </w:p>
    <w:p>
      <w:pPr>
        <w:ind w:firstLine="480"/>
      </w:pPr>
      <w:r>
        <w:rPr>
          <w:rFonts w:hint="eastAsia"/>
        </w:rPr>
        <w:t>拟建项目土壤环境影响涉及大气沉降因子主要是一段转化炉焚烧烟气中颗粒物，一段转化炉燃料为天然气，以空气助燃，无其他特征污染因子。因此，拟建项目排放大气对土壤等外环境影响小，本次评价将不再定量预测拟建项目大气沉降对土壤的影响。同时，拟建项目根据场地特性和项目特征进行分区防渗，在全面落实分区防渗措施的情况下，物料或污染物的垂直入渗对土壤影响较小。</w:t>
      </w:r>
    </w:p>
    <w:p>
      <w:pPr>
        <w:ind w:firstLine="480"/>
      </w:pPr>
      <w:r>
        <w:rPr>
          <w:rFonts w:hint="eastAsia"/>
        </w:rPr>
        <w:t>项目土壤环境影响评价自查表详见表5.2.6-3。</w:t>
      </w:r>
    </w:p>
    <w:p>
      <w:pPr>
        <w:pStyle w:val="41"/>
      </w:pPr>
      <w:r>
        <w:rPr>
          <w:rFonts w:hint="eastAsia"/>
        </w:rPr>
        <w:t>表5.2.6-3  土壤环境影响评价自查表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9"/>
        <w:gridCol w:w="9"/>
        <w:gridCol w:w="1341"/>
        <w:gridCol w:w="10"/>
        <w:gridCol w:w="1225"/>
        <w:gridCol w:w="1216"/>
        <w:gridCol w:w="22"/>
        <w:gridCol w:w="1084"/>
        <w:gridCol w:w="453"/>
        <w:gridCol w:w="1723"/>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9" w:type="dxa"/>
            <w:gridSpan w:val="3"/>
            <w:vAlign w:val="center"/>
          </w:tcPr>
          <w:p>
            <w:pPr>
              <w:pStyle w:val="42"/>
            </w:pPr>
            <w:r>
              <w:t>工作内容</w:t>
            </w:r>
          </w:p>
        </w:tc>
        <w:tc>
          <w:tcPr>
            <w:tcW w:w="5733" w:type="dxa"/>
            <w:gridSpan w:val="7"/>
            <w:vAlign w:val="center"/>
          </w:tcPr>
          <w:p>
            <w:pPr>
              <w:pStyle w:val="42"/>
            </w:pPr>
            <w:r>
              <w:t>完成情况</w:t>
            </w:r>
          </w:p>
        </w:tc>
        <w:tc>
          <w:tcPr>
            <w:tcW w:w="790" w:type="dxa"/>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restart"/>
            <w:vAlign w:val="center"/>
          </w:tcPr>
          <w:p>
            <w:pPr>
              <w:pStyle w:val="42"/>
            </w:pPr>
            <w:r>
              <w:t>影响识别</w:t>
            </w:r>
          </w:p>
        </w:tc>
        <w:tc>
          <w:tcPr>
            <w:tcW w:w="1350" w:type="dxa"/>
            <w:gridSpan w:val="2"/>
            <w:vAlign w:val="center"/>
          </w:tcPr>
          <w:p>
            <w:pPr>
              <w:pStyle w:val="42"/>
            </w:pPr>
            <w:r>
              <w:t>影响类型</w:t>
            </w:r>
          </w:p>
        </w:tc>
        <w:tc>
          <w:tcPr>
            <w:tcW w:w="5733" w:type="dxa"/>
            <w:gridSpan w:val="7"/>
            <w:vAlign w:val="center"/>
          </w:tcPr>
          <w:p>
            <w:pPr>
              <w:pStyle w:val="42"/>
            </w:pPr>
            <w:r>
              <w:t>污染影响型</w:t>
            </w:r>
            <w:r>
              <w:rPr>
                <w:rFonts w:hint="eastAsia" w:ascii="MS Mincho" w:hAnsi="MS Mincho" w:eastAsia="MS Mincho" w:cs="MS Mincho"/>
              </w:rPr>
              <w:t>☑</w:t>
            </w:r>
            <w:r>
              <w:t>；生态影响型□；两种兼有□</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土地利用类型</w:t>
            </w:r>
          </w:p>
        </w:tc>
        <w:tc>
          <w:tcPr>
            <w:tcW w:w="5733" w:type="dxa"/>
            <w:gridSpan w:val="7"/>
            <w:vAlign w:val="center"/>
          </w:tcPr>
          <w:p>
            <w:pPr>
              <w:pStyle w:val="42"/>
            </w:pPr>
            <w:r>
              <w:t>建设用地</w:t>
            </w:r>
            <w:r>
              <w:rPr>
                <w:rFonts w:hint="eastAsia" w:ascii="MS Mincho" w:hAnsi="MS Mincho" w:eastAsia="MS Mincho" w:cs="MS Mincho"/>
              </w:rPr>
              <w:t>☑</w:t>
            </w:r>
            <w:r>
              <w:t>；农用地□；未利用地□</w:t>
            </w:r>
          </w:p>
        </w:tc>
        <w:tc>
          <w:tcPr>
            <w:tcW w:w="790" w:type="dxa"/>
            <w:vMerge w:val="restar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敏感目标信息</w:t>
            </w:r>
          </w:p>
        </w:tc>
        <w:tc>
          <w:tcPr>
            <w:tcW w:w="5733" w:type="dxa"/>
            <w:gridSpan w:val="7"/>
            <w:vAlign w:val="center"/>
          </w:tcPr>
          <w:p>
            <w:pPr>
              <w:pStyle w:val="42"/>
            </w:pPr>
            <w:r>
              <w:t>敏感目标（ ）、方位（ ）、距离（ ）</w:t>
            </w:r>
          </w:p>
        </w:tc>
        <w:tc>
          <w:tcPr>
            <w:tcW w:w="790"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影响途径</w:t>
            </w:r>
          </w:p>
        </w:tc>
        <w:tc>
          <w:tcPr>
            <w:tcW w:w="5733" w:type="dxa"/>
            <w:gridSpan w:val="7"/>
            <w:vAlign w:val="center"/>
          </w:tcPr>
          <w:p>
            <w:pPr>
              <w:pStyle w:val="42"/>
            </w:pPr>
            <w:r>
              <w:t>大气沉降</w:t>
            </w:r>
            <w:r>
              <w:rPr>
                <w:rFonts w:hint="eastAsia" w:ascii="MS Mincho" w:hAnsi="MS Mincho" w:eastAsia="MS Mincho" w:cs="MS Mincho"/>
              </w:rPr>
              <w:t>☑</w:t>
            </w:r>
            <w:r>
              <w:t>；地面漫流□；垂直入渗</w:t>
            </w:r>
            <w:r>
              <w:rPr>
                <w:rFonts w:hint="eastAsia" w:ascii="MS Mincho" w:hAnsi="MS Mincho" w:eastAsia="MS Mincho" w:cs="MS Mincho"/>
              </w:rPr>
              <w:t>☑</w:t>
            </w:r>
            <w:r>
              <w:t>；地下水位□；其他（</w:t>
            </w:r>
            <w:r>
              <w:tab/>
            </w:r>
            <w:r>
              <w:t>）</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全部污染物指标</w:t>
            </w:r>
          </w:p>
        </w:tc>
        <w:tc>
          <w:tcPr>
            <w:tcW w:w="5733" w:type="dxa"/>
            <w:gridSpan w:val="7"/>
            <w:vAlign w:val="center"/>
          </w:tcPr>
          <w:p>
            <w:pPr>
              <w:pStyle w:val="42"/>
            </w:pPr>
            <w:r>
              <w:rPr>
                <w:rFonts w:hint="eastAsia"/>
              </w:rPr>
              <w:t>SO</w:t>
            </w:r>
            <w:r>
              <w:rPr>
                <w:rFonts w:hint="eastAsia"/>
                <w:vertAlign w:val="subscript"/>
              </w:rPr>
              <w:t>2</w:t>
            </w:r>
            <w:r>
              <w:rPr>
                <w:rFonts w:hint="eastAsia"/>
              </w:rPr>
              <w:t>、NO</w:t>
            </w:r>
            <w:r>
              <w:rPr>
                <w:rFonts w:hint="eastAsia"/>
                <w:vertAlign w:val="subscript"/>
              </w:rPr>
              <w:t>x</w:t>
            </w:r>
            <w:r>
              <w:rPr>
                <w:rFonts w:hint="eastAsia"/>
              </w:rPr>
              <w:t>、颗粒物（PM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p>
          <w:p>
            <w:pPr>
              <w:pStyle w:val="42"/>
            </w:pPr>
            <w:r>
              <w:rPr>
                <w:rFonts w:hint="eastAsia"/>
              </w:rPr>
              <w:t>pH、COD、BOD</w:t>
            </w:r>
            <w:r>
              <w:rPr>
                <w:rFonts w:hint="eastAsia"/>
                <w:vertAlign w:val="subscript"/>
              </w:rPr>
              <w:t>5</w:t>
            </w:r>
            <w:r>
              <w:rPr>
                <w:rFonts w:hint="eastAsia"/>
              </w:rPr>
              <w:t>、SS、NH</w:t>
            </w:r>
            <w:r>
              <w:rPr>
                <w:rFonts w:hint="eastAsia"/>
                <w:vertAlign w:val="subscript"/>
              </w:rPr>
              <w:t>3</w:t>
            </w:r>
            <w:r>
              <w:rPr>
                <w:rFonts w:hint="eastAsia"/>
              </w:rPr>
              <w:t>-N、石油类</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特征因子</w:t>
            </w:r>
          </w:p>
        </w:tc>
        <w:tc>
          <w:tcPr>
            <w:tcW w:w="5733" w:type="dxa"/>
            <w:gridSpan w:val="7"/>
            <w:vAlign w:val="center"/>
          </w:tcPr>
          <w:p>
            <w:pPr>
              <w:pStyle w:val="42"/>
            </w:pPr>
            <w:r>
              <w:rPr>
                <w:rFonts w:hint="eastAsia"/>
              </w:rPr>
              <w:t>颗粒物</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所属土壤环境</w:t>
            </w:r>
          </w:p>
          <w:p>
            <w:pPr>
              <w:pStyle w:val="42"/>
            </w:pPr>
            <w:r>
              <w:t>影响评价项目类别</w:t>
            </w:r>
          </w:p>
        </w:tc>
        <w:tc>
          <w:tcPr>
            <w:tcW w:w="5733" w:type="dxa"/>
            <w:gridSpan w:val="7"/>
            <w:vAlign w:val="center"/>
          </w:tcPr>
          <w:p>
            <w:pPr>
              <w:pStyle w:val="42"/>
            </w:pPr>
            <w:r>
              <w:rPr>
                <w:rFonts w:hint="eastAsia" w:ascii="宋体" w:hAnsi="宋体" w:cs="宋体"/>
              </w:rPr>
              <w:t>Ⅰ</w:t>
            </w:r>
            <w:r>
              <w:t>类</w:t>
            </w:r>
            <w:r>
              <w:rPr>
                <w:rFonts w:hint="eastAsia" w:ascii="MS Mincho" w:hAnsi="MS Mincho" w:eastAsia="MS Mincho" w:cs="MS Mincho"/>
              </w:rPr>
              <w:t>☑</w:t>
            </w:r>
            <w:r>
              <w:t>；</w:t>
            </w:r>
            <w:r>
              <w:rPr>
                <w:rFonts w:hint="eastAsia" w:ascii="宋体" w:hAnsi="宋体" w:cs="宋体"/>
              </w:rPr>
              <w:t>Ⅱ</w:t>
            </w:r>
            <w:r>
              <w:t>类□；</w:t>
            </w:r>
            <w:r>
              <w:rPr>
                <w:rFonts w:hint="eastAsia" w:ascii="宋体" w:hAnsi="宋体" w:cs="宋体"/>
              </w:rPr>
              <w:t>Ⅲ</w:t>
            </w:r>
            <w:r>
              <w:t>类□；</w:t>
            </w:r>
            <w:r>
              <w:rPr>
                <w:rFonts w:hint="eastAsia" w:ascii="宋体" w:hAnsi="宋体" w:cs="宋体"/>
              </w:rPr>
              <w:t>Ⅳ</w:t>
            </w:r>
            <w:r>
              <w:t>类□</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占地规模</w:t>
            </w:r>
          </w:p>
        </w:tc>
        <w:tc>
          <w:tcPr>
            <w:tcW w:w="5733" w:type="dxa"/>
            <w:gridSpan w:val="7"/>
            <w:vAlign w:val="center"/>
          </w:tcPr>
          <w:p>
            <w:pPr>
              <w:pStyle w:val="42"/>
            </w:pPr>
            <w:r>
              <w:t>中（</w:t>
            </w:r>
            <w:r>
              <w:rPr>
                <w:rFonts w:hint="eastAsia"/>
              </w:rPr>
              <w:t>（3.5016</w:t>
            </w:r>
            <w:r>
              <w:t>）hm</w:t>
            </w:r>
            <w:r>
              <w:rPr>
                <w:vertAlign w:val="superscript"/>
              </w:rPr>
              <w:t>2</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敏感程度</w:t>
            </w:r>
          </w:p>
        </w:tc>
        <w:tc>
          <w:tcPr>
            <w:tcW w:w="5733" w:type="dxa"/>
            <w:gridSpan w:val="7"/>
            <w:vAlign w:val="center"/>
          </w:tcPr>
          <w:p>
            <w:pPr>
              <w:pStyle w:val="42"/>
            </w:pPr>
            <w:r>
              <w:t>敏感□；较敏感□；不敏感</w:t>
            </w:r>
            <w:r>
              <w:rPr>
                <w:rFonts w:hint="eastAsia" w:ascii="MS Mincho" w:hAnsi="MS Mincho" w:eastAsia="MS Mincho" w:cs="MS Mincho"/>
              </w:rPr>
              <w:t>☑</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9" w:type="dxa"/>
            <w:gridSpan w:val="3"/>
            <w:vAlign w:val="center"/>
          </w:tcPr>
          <w:p>
            <w:pPr>
              <w:pStyle w:val="42"/>
            </w:pPr>
            <w:r>
              <w:t>评价工作等级</w:t>
            </w:r>
          </w:p>
        </w:tc>
        <w:tc>
          <w:tcPr>
            <w:tcW w:w="5733" w:type="dxa"/>
            <w:gridSpan w:val="7"/>
            <w:vAlign w:val="center"/>
          </w:tcPr>
          <w:p>
            <w:pPr>
              <w:pStyle w:val="42"/>
            </w:pPr>
            <w:r>
              <w:t>一级□；二级</w:t>
            </w:r>
            <w:r>
              <w:rPr>
                <w:rFonts w:hint="eastAsia" w:ascii="MS Mincho" w:hAnsi="MS Mincho" w:eastAsia="MS Mincho" w:cs="MS Mincho"/>
              </w:rPr>
              <w:t>☑</w:t>
            </w:r>
            <w:r>
              <w:t>；三级□</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restart"/>
            <w:vAlign w:val="center"/>
          </w:tcPr>
          <w:p>
            <w:pPr>
              <w:pStyle w:val="42"/>
            </w:pPr>
            <w:r>
              <w:t>现状调查内容</w:t>
            </w:r>
          </w:p>
        </w:tc>
        <w:tc>
          <w:tcPr>
            <w:tcW w:w="1350" w:type="dxa"/>
            <w:gridSpan w:val="2"/>
            <w:vAlign w:val="center"/>
          </w:tcPr>
          <w:p>
            <w:pPr>
              <w:pStyle w:val="42"/>
            </w:pPr>
            <w:r>
              <w:t>资料收集</w:t>
            </w:r>
          </w:p>
        </w:tc>
        <w:tc>
          <w:tcPr>
            <w:tcW w:w="5733" w:type="dxa"/>
            <w:gridSpan w:val="7"/>
            <w:vAlign w:val="center"/>
          </w:tcPr>
          <w:p>
            <w:pPr>
              <w:pStyle w:val="42"/>
            </w:pPr>
            <w:r>
              <w:t>a）</w:t>
            </w:r>
            <w:r>
              <w:rPr>
                <w:rFonts w:hint="eastAsia" w:ascii="MS Mincho" w:hAnsi="MS Mincho" w:eastAsia="MS Mincho" w:cs="MS Mincho"/>
              </w:rPr>
              <w:t>☑</w:t>
            </w:r>
            <w:r>
              <w:t>；b）</w:t>
            </w:r>
            <w:r>
              <w:rPr>
                <w:rFonts w:hint="eastAsia" w:ascii="MS Mincho" w:hAnsi="MS Mincho" w:eastAsia="MS Mincho" w:cs="MS Mincho"/>
              </w:rPr>
              <w:t>☑</w:t>
            </w:r>
            <w:r>
              <w:t>；c）</w:t>
            </w:r>
            <w:r>
              <w:rPr>
                <w:rFonts w:hint="eastAsia" w:ascii="MS Mincho" w:hAnsi="MS Mincho" w:eastAsia="MS Mincho" w:cs="MS Mincho"/>
              </w:rPr>
              <w:t>☑</w:t>
            </w:r>
            <w:r>
              <w:t>；d）</w:t>
            </w:r>
            <w:r>
              <w:rPr>
                <w:rFonts w:hint="eastAsia" w:ascii="MS Mincho" w:hAnsi="MS Mincho" w:eastAsia="MS Mincho" w:cs="MS Mincho"/>
              </w:rPr>
              <w:t>☑</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理化特性</w:t>
            </w:r>
          </w:p>
        </w:tc>
        <w:tc>
          <w:tcPr>
            <w:tcW w:w="5733" w:type="dxa"/>
            <w:gridSpan w:val="7"/>
            <w:vAlign w:val="center"/>
          </w:tcPr>
          <w:p>
            <w:pPr>
              <w:pStyle w:val="42"/>
            </w:pPr>
            <w:r>
              <w:t>（土体构型、土壤结构、土壤质地、土壤容重）</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Merge w:val="restart"/>
            <w:vAlign w:val="center"/>
          </w:tcPr>
          <w:p>
            <w:pPr>
              <w:pStyle w:val="42"/>
            </w:pPr>
            <w:r>
              <w:t>现状监测点位</w:t>
            </w:r>
          </w:p>
        </w:tc>
        <w:tc>
          <w:tcPr>
            <w:tcW w:w="1235" w:type="dxa"/>
            <w:gridSpan w:val="2"/>
            <w:vAlign w:val="center"/>
          </w:tcPr>
          <w:p>
            <w:pPr>
              <w:pStyle w:val="42"/>
            </w:pPr>
          </w:p>
        </w:tc>
        <w:tc>
          <w:tcPr>
            <w:tcW w:w="1216" w:type="dxa"/>
            <w:vAlign w:val="center"/>
          </w:tcPr>
          <w:p>
            <w:pPr>
              <w:pStyle w:val="42"/>
            </w:pPr>
            <w:r>
              <w:t>占地范围内</w:t>
            </w:r>
          </w:p>
        </w:tc>
        <w:tc>
          <w:tcPr>
            <w:tcW w:w="1106" w:type="dxa"/>
            <w:gridSpan w:val="2"/>
            <w:vAlign w:val="center"/>
          </w:tcPr>
          <w:p>
            <w:pPr>
              <w:pStyle w:val="42"/>
            </w:pPr>
            <w:r>
              <w:t>占地范围外</w:t>
            </w:r>
          </w:p>
        </w:tc>
        <w:tc>
          <w:tcPr>
            <w:tcW w:w="2176" w:type="dxa"/>
            <w:gridSpan w:val="2"/>
            <w:vAlign w:val="center"/>
          </w:tcPr>
          <w:p>
            <w:pPr>
              <w:pStyle w:val="42"/>
            </w:pPr>
            <w:r>
              <w:t>深度</w:t>
            </w:r>
          </w:p>
        </w:tc>
        <w:tc>
          <w:tcPr>
            <w:tcW w:w="790" w:type="dxa"/>
            <w:vMerge w:val="restart"/>
            <w:vAlign w:val="center"/>
          </w:tcPr>
          <w:p>
            <w:pPr>
              <w:pStyle w:val="42"/>
            </w:pPr>
            <w: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Merge w:val="continue"/>
            <w:vAlign w:val="center"/>
          </w:tcPr>
          <w:p>
            <w:pPr>
              <w:pStyle w:val="42"/>
            </w:pPr>
          </w:p>
        </w:tc>
        <w:tc>
          <w:tcPr>
            <w:tcW w:w="1235" w:type="dxa"/>
            <w:gridSpan w:val="2"/>
            <w:vAlign w:val="center"/>
          </w:tcPr>
          <w:p>
            <w:pPr>
              <w:pStyle w:val="42"/>
            </w:pPr>
            <w:r>
              <w:t>表层样点数</w:t>
            </w:r>
          </w:p>
        </w:tc>
        <w:tc>
          <w:tcPr>
            <w:tcW w:w="1216" w:type="dxa"/>
            <w:vAlign w:val="center"/>
          </w:tcPr>
          <w:p>
            <w:pPr>
              <w:pStyle w:val="42"/>
            </w:pPr>
            <w:r>
              <w:t>1</w:t>
            </w:r>
          </w:p>
        </w:tc>
        <w:tc>
          <w:tcPr>
            <w:tcW w:w="1106" w:type="dxa"/>
            <w:gridSpan w:val="2"/>
            <w:vAlign w:val="center"/>
          </w:tcPr>
          <w:p>
            <w:pPr>
              <w:pStyle w:val="42"/>
            </w:pPr>
            <w:r>
              <w:t>2</w:t>
            </w:r>
          </w:p>
        </w:tc>
        <w:tc>
          <w:tcPr>
            <w:tcW w:w="2176" w:type="dxa"/>
            <w:gridSpan w:val="2"/>
            <w:vAlign w:val="center"/>
          </w:tcPr>
          <w:p>
            <w:pPr>
              <w:pStyle w:val="42"/>
            </w:pPr>
            <w:r>
              <w:t>0~0.2m</w:t>
            </w:r>
          </w:p>
        </w:tc>
        <w:tc>
          <w:tcPr>
            <w:tcW w:w="790"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Merge w:val="continue"/>
            <w:vAlign w:val="center"/>
          </w:tcPr>
          <w:p>
            <w:pPr>
              <w:pStyle w:val="42"/>
            </w:pPr>
          </w:p>
        </w:tc>
        <w:tc>
          <w:tcPr>
            <w:tcW w:w="1235" w:type="dxa"/>
            <w:gridSpan w:val="2"/>
            <w:vAlign w:val="center"/>
          </w:tcPr>
          <w:p>
            <w:pPr>
              <w:pStyle w:val="42"/>
            </w:pPr>
            <w:r>
              <w:t>柱状样点数</w:t>
            </w:r>
          </w:p>
        </w:tc>
        <w:tc>
          <w:tcPr>
            <w:tcW w:w="1216" w:type="dxa"/>
            <w:vAlign w:val="center"/>
          </w:tcPr>
          <w:p>
            <w:pPr>
              <w:pStyle w:val="42"/>
            </w:pPr>
            <w:r>
              <w:t>3</w:t>
            </w:r>
          </w:p>
        </w:tc>
        <w:tc>
          <w:tcPr>
            <w:tcW w:w="1106" w:type="dxa"/>
            <w:gridSpan w:val="2"/>
            <w:vAlign w:val="center"/>
          </w:tcPr>
          <w:p>
            <w:pPr>
              <w:pStyle w:val="42"/>
            </w:pPr>
            <w:r>
              <w:t>0</w:t>
            </w:r>
          </w:p>
        </w:tc>
        <w:tc>
          <w:tcPr>
            <w:tcW w:w="2176" w:type="dxa"/>
            <w:gridSpan w:val="2"/>
            <w:vAlign w:val="center"/>
          </w:tcPr>
          <w:p>
            <w:pPr>
              <w:pStyle w:val="42"/>
            </w:pPr>
            <w:r>
              <w:t>0~0.5m、0.5~1.5m、</w:t>
            </w:r>
          </w:p>
          <w:p>
            <w:pPr>
              <w:pStyle w:val="42"/>
            </w:pPr>
            <w:r>
              <w:t>1.5~3m</w:t>
            </w:r>
          </w:p>
        </w:tc>
        <w:tc>
          <w:tcPr>
            <w:tcW w:w="790"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Merge w:val="continue"/>
            <w:vAlign w:val="center"/>
          </w:tcPr>
          <w:p>
            <w:pPr>
              <w:pStyle w:val="42"/>
            </w:pPr>
          </w:p>
        </w:tc>
        <w:tc>
          <w:tcPr>
            <w:tcW w:w="1350" w:type="dxa"/>
            <w:gridSpan w:val="2"/>
            <w:vAlign w:val="center"/>
          </w:tcPr>
          <w:p>
            <w:pPr>
              <w:pStyle w:val="42"/>
            </w:pPr>
            <w:r>
              <w:t>现状监测因子</w:t>
            </w:r>
          </w:p>
        </w:tc>
        <w:tc>
          <w:tcPr>
            <w:tcW w:w="5733" w:type="dxa"/>
            <w:gridSpan w:val="7"/>
            <w:vAlign w:val="center"/>
          </w:tcPr>
          <w:p>
            <w:pPr>
              <w:pStyle w:val="42"/>
            </w:pPr>
            <w:r>
              <w:rPr>
                <w:rFonts w:hint="eastAsia"/>
              </w:rPr>
              <w:t>基本项（45项）：砷、镉、铬（六价）、铜、铅、汞、镍、四氯化碳、氯仿、氯甲烷、1,1-二氯乙烷、1,2-二氯乙烷、1,1-二氯乙烯、顺-1,2-二氯乙烯、反-1,2-二氯乙烯、二氯甲烷、1,2-二氯丙烷、三氯甲烷、1,1,1,2-四氯乙烷、1,1,2,2-四氯乙烷、四氯乙烯、1,1,1-三氯乙烷、1,1,2-三氯乙烷、三氯乙烯、1,2,3-三氯丙烷、氯乙烯、苯、氯苯、1,2-二氯苯、1,4-二氯苯、乙苯、苯乙烯、甲苯、加二甲苯+对二甲苯、邻二甲苯、硝基苯、苯胺、2-氯酚、苯并[a]蒽、苯并[a]芘、苯并</w:t>
            </w:r>
            <w:r>
              <w:t>[b]</w:t>
            </w:r>
            <w:r>
              <w:rPr>
                <w:rFonts w:hint="eastAsia"/>
              </w:rPr>
              <w:t>荧蒽、苯并</w:t>
            </w:r>
            <w:r>
              <w:t>[k]</w:t>
            </w:r>
            <w:r>
              <w:rPr>
                <w:rFonts w:hint="eastAsia"/>
              </w:rPr>
              <w:t>荧蒽、䓛、二苯并</w:t>
            </w:r>
            <w:r>
              <w:t>[a,h]</w:t>
            </w:r>
            <w:r>
              <w:rPr>
                <w:rFonts w:hint="eastAsia"/>
              </w:rPr>
              <w:t>蒽、茚并</w:t>
            </w:r>
            <w:r>
              <w:t>[1,2,3-cd]</w:t>
            </w:r>
            <w:r>
              <w:rPr>
                <w:rFonts w:hint="eastAsia"/>
              </w:rPr>
              <w:t>芘、萘；</w:t>
            </w:r>
            <w:r>
              <w:t xml:space="preserve"> </w:t>
            </w:r>
          </w:p>
          <w:p>
            <w:pPr>
              <w:pStyle w:val="42"/>
            </w:pPr>
            <w:r>
              <w:rPr>
                <w:rFonts w:hint="eastAsia"/>
              </w:rPr>
              <w:t>理化性质：pH、土壤容重</w:t>
            </w:r>
          </w:p>
          <w:p>
            <w:pPr>
              <w:pStyle w:val="42"/>
            </w:pPr>
            <w:r>
              <w:rPr>
                <w:rFonts w:hint="eastAsia"/>
              </w:rPr>
              <w:t>特征因子：干物质、石油烃(C</w:t>
            </w:r>
            <w:r>
              <w:rPr>
                <w:rFonts w:hint="eastAsia"/>
                <w:vertAlign w:val="subscript"/>
              </w:rPr>
              <w:t>10</w:t>
            </w:r>
            <w:r>
              <w:rPr>
                <w:rFonts w:hint="eastAsia"/>
              </w:rPr>
              <w:t>-C</w:t>
            </w:r>
            <w:r>
              <w:rPr>
                <w:rFonts w:hint="eastAsia"/>
                <w:vertAlign w:val="subscript"/>
              </w:rPr>
              <w:t>40</w:t>
            </w:r>
            <w:r>
              <w:rPr>
                <w:rFonts w:hint="eastAsia"/>
              </w:rPr>
              <w:t>)、镍</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9" w:type="dxa"/>
            <w:vAlign w:val="center"/>
          </w:tcPr>
          <w:p>
            <w:pPr>
              <w:pStyle w:val="42"/>
            </w:pPr>
            <w:r>
              <w:t>现状评价</w:t>
            </w:r>
          </w:p>
        </w:tc>
        <w:tc>
          <w:tcPr>
            <w:tcW w:w="1350" w:type="dxa"/>
            <w:gridSpan w:val="2"/>
            <w:vAlign w:val="center"/>
          </w:tcPr>
          <w:p>
            <w:pPr>
              <w:pStyle w:val="42"/>
            </w:pPr>
            <w:r>
              <w:t>评价因子</w:t>
            </w:r>
          </w:p>
        </w:tc>
        <w:tc>
          <w:tcPr>
            <w:tcW w:w="5733" w:type="dxa"/>
            <w:gridSpan w:val="7"/>
            <w:vAlign w:val="center"/>
          </w:tcPr>
          <w:p>
            <w:pPr>
              <w:pStyle w:val="42"/>
            </w:pPr>
            <w:r>
              <w:rPr>
                <w:rFonts w:hint="eastAsia"/>
              </w:rPr>
              <w:t>GB36600表1基本项目：重金属和无机物7项（砷、镉、铬（六价）、铜、铅、汞、镍）、挥发性有机物27项、半挥发性有机物11项；共计45项；</w:t>
            </w:r>
          </w:p>
          <w:p>
            <w:pPr>
              <w:pStyle w:val="42"/>
            </w:pPr>
            <w:r>
              <w:rPr>
                <w:rFonts w:hint="eastAsia"/>
              </w:rPr>
              <w:t>理化性质：pH、土壤容重</w:t>
            </w:r>
          </w:p>
          <w:p>
            <w:pPr>
              <w:pStyle w:val="42"/>
            </w:pPr>
            <w:r>
              <w:rPr>
                <w:rFonts w:hint="eastAsia"/>
              </w:rPr>
              <w:t>特征因子：干物质、石油烃(C</w:t>
            </w:r>
            <w:r>
              <w:rPr>
                <w:rFonts w:hint="eastAsia"/>
                <w:vertAlign w:val="subscript"/>
              </w:rPr>
              <w:t>10</w:t>
            </w:r>
            <w:r>
              <w:rPr>
                <w:rFonts w:hint="eastAsia"/>
              </w:rPr>
              <w:t>-C</w:t>
            </w:r>
            <w:r>
              <w:rPr>
                <w:rFonts w:hint="eastAsia"/>
                <w:vertAlign w:val="subscript"/>
              </w:rPr>
              <w:t>40</w:t>
            </w:r>
            <w:r>
              <w:rPr>
                <w:rFonts w:hint="eastAsia"/>
              </w:rPr>
              <w:t>)、镍</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restart"/>
            <w:vAlign w:val="center"/>
          </w:tcPr>
          <w:p>
            <w:pPr>
              <w:pStyle w:val="42"/>
            </w:pPr>
          </w:p>
        </w:tc>
        <w:tc>
          <w:tcPr>
            <w:tcW w:w="1351" w:type="dxa"/>
            <w:gridSpan w:val="2"/>
            <w:vAlign w:val="center"/>
          </w:tcPr>
          <w:p>
            <w:pPr>
              <w:pStyle w:val="42"/>
            </w:pPr>
            <w:r>
              <w:t>评价标准</w:t>
            </w:r>
          </w:p>
        </w:tc>
        <w:tc>
          <w:tcPr>
            <w:tcW w:w="5723" w:type="dxa"/>
            <w:gridSpan w:val="6"/>
            <w:vAlign w:val="center"/>
          </w:tcPr>
          <w:p>
            <w:pPr>
              <w:pStyle w:val="42"/>
            </w:pPr>
            <w:r>
              <w:t>《土壤环境质量</w:t>
            </w:r>
            <w:r>
              <w:tab/>
            </w:r>
            <w:r>
              <w:t>建设用地土壤污染风险管控标准（试行）》</w:t>
            </w:r>
          </w:p>
          <w:p>
            <w:pPr>
              <w:pStyle w:val="42"/>
            </w:pPr>
            <w:r>
              <w:t>（GB36600-2018）筛选值第二类用地；</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Align w:val="center"/>
          </w:tcPr>
          <w:p>
            <w:pPr>
              <w:pStyle w:val="42"/>
            </w:pPr>
            <w:r>
              <w:t>现状评价结论</w:t>
            </w:r>
          </w:p>
        </w:tc>
        <w:tc>
          <w:tcPr>
            <w:tcW w:w="5723" w:type="dxa"/>
            <w:gridSpan w:val="6"/>
            <w:vAlign w:val="center"/>
          </w:tcPr>
          <w:p>
            <w:pPr>
              <w:pStyle w:val="42"/>
            </w:pPr>
            <w:r>
              <w:t>达标</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restart"/>
            <w:vAlign w:val="center"/>
          </w:tcPr>
          <w:p>
            <w:pPr>
              <w:pStyle w:val="42"/>
            </w:pPr>
            <w:r>
              <w:t>影响预测</w:t>
            </w:r>
          </w:p>
        </w:tc>
        <w:tc>
          <w:tcPr>
            <w:tcW w:w="1351" w:type="dxa"/>
            <w:gridSpan w:val="2"/>
            <w:vAlign w:val="center"/>
          </w:tcPr>
          <w:p>
            <w:pPr>
              <w:pStyle w:val="42"/>
            </w:pPr>
            <w:r>
              <w:t>预测因子</w:t>
            </w:r>
          </w:p>
        </w:tc>
        <w:tc>
          <w:tcPr>
            <w:tcW w:w="5723" w:type="dxa"/>
            <w:gridSpan w:val="6"/>
            <w:vAlign w:val="center"/>
          </w:tcPr>
          <w:p>
            <w:pPr>
              <w:pStyle w:val="42"/>
            </w:pPr>
            <w:r>
              <w:rPr>
                <w:rFonts w:hint="eastAsia"/>
              </w:rPr>
              <w:t>/</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Align w:val="center"/>
          </w:tcPr>
          <w:p>
            <w:pPr>
              <w:pStyle w:val="42"/>
            </w:pPr>
            <w:r>
              <w:t>预测方法</w:t>
            </w:r>
          </w:p>
        </w:tc>
        <w:tc>
          <w:tcPr>
            <w:tcW w:w="5723" w:type="dxa"/>
            <w:gridSpan w:val="6"/>
            <w:vAlign w:val="center"/>
          </w:tcPr>
          <w:p>
            <w:pPr>
              <w:pStyle w:val="42"/>
            </w:pPr>
            <w:r>
              <w:t>附录E□；附录F□；其他□（类比分析）</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Align w:val="center"/>
          </w:tcPr>
          <w:p>
            <w:pPr>
              <w:pStyle w:val="42"/>
            </w:pPr>
            <w:r>
              <w:t>预测分析内容</w:t>
            </w:r>
          </w:p>
        </w:tc>
        <w:tc>
          <w:tcPr>
            <w:tcW w:w="5723" w:type="dxa"/>
            <w:gridSpan w:val="6"/>
            <w:vAlign w:val="center"/>
          </w:tcPr>
          <w:p>
            <w:pPr>
              <w:pStyle w:val="42"/>
            </w:pPr>
            <w:r>
              <w:t>影响范围（ ）影响程度（小）</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Align w:val="center"/>
          </w:tcPr>
          <w:p>
            <w:pPr>
              <w:pStyle w:val="42"/>
            </w:pPr>
            <w:r>
              <w:t>预测结论</w:t>
            </w:r>
          </w:p>
        </w:tc>
        <w:tc>
          <w:tcPr>
            <w:tcW w:w="5723" w:type="dxa"/>
            <w:gridSpan w:val="6"/>
            <w:vAlign w:val="center"/>
          </w:tcPr>
          <w:p>
            <w:pPr>
              <w:pStyle w:val="42"/>
            </w:pPr>
            <w:r>
              <w:t>达标结论：a）</w:t>
            </w:r>
            <w:r>
              <w:rPr>
                <w:rFonts w:hint="eastAsia" w:ascii="MS Mincho" w:hAnsi="MS Mincho" w:eastAsia="MS Mincho" w:cs="MS Mincho"/>
              </w:rPr>
              <w:t>☑</w:t>
            </w:r>
            <w:r>
              <w:t>；b）□；c）□</w:t>
            </w:r>
          </w:p>
          <w:p>
            <w:pPr>
              <w:pStyle w:val="42"/>
            </w:pPr>
            <w:r>
              <w:t>不达标结论：a）□；b）□</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restart"/>
            <w:vAlign w:val="center"/>
          </w:tcPr>
          <w:p>
            <w:pPr>
              <w:pStyle w:val="42"/>
            </w:pPr>
            <w:r>
              <w:t>防治措施</w:t>
            </w:r>
          </w:p>
        </w:tc>
        <w:tc>
          <w:tcPr>
            <w:tcW w:w="1351" w:type="dxa"/>
            <w:gridSpan w:val="2"/>
            <w:vAlign w:val="center"/>
          </w:tcPr>
          <w:p>
            <w:pPr>
              <w:pStyle w:val="42"/>
            </w:pPr>
            <w:r>
              <w:t>防控措施</w:t>
            </w:r>
          </w:p>
        </w:tc>
        <w:tc>
          <w:tcPr>
            <w:tcW w:w="5723" w:type="dxa"/>
            <w:gridSpan w:val="6"/>
            <w:vAlign w:val="center"/>
          </w:tcPr>
          <w:p>
            <w:pPr>
              <w:pStyle w:val="42"/>
            </w:pPr>
            <w:r>
              <w:t>源头控制</w:t>
            </w:r>
            <w:r>
              <w:rPr>
                <w:rFonts w:hint="eastAsia" w:ascii="MS Mincho" w:hAnsi="MS Mincho" w:eastAsia="MS Mincho" w:cs="MS Mincho"/>
              </w:rPr>
              <w:t>☑</w:t>
            </w:r>
            <w:r>
              <w:t>；过程防控</w:t>
            </w:r>
            <w:r>
              <w:rPr>
                <w:rFonts w:hint="eastAsia" w:ascii="MS Mincho" w:hAnsi="MS Mincho" w:eastAsia="MS Mincho" w:cs="MS Mincho"/>
              </w:rPr>
              <w:t>☑</w:t>
            </w:r>
            <w:r>
              <w:t>；土壤环境质量现状保障□；其他（</w:t>
            </w:r>
            <w:r>
              <w:tab/>
            </w:r>
            <w:r>
              <w:t>）</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Merge w:val="restart"/>
            <w:vAlign w:val="center"/>
          </w:tcPr>
          <w:p>
            <w:pPr>
              <w:pStyle w:val="42"/>
            </w:pPr>
            <w:r>
              <w:t>跟踪监测</w:t>
            </w:r>
          </w:p>
        </w:tc>
        <w:tc>
          <w:tcPr>
            <w:tcW w:w="2463" w:type="dxa"/>
            <w:gridSpan w:val="3"/>
            <w:vAlign w:val="center"/>
          </w:tcPr>
          <w:p>
            <w:pPr>
              <w:pStyle w:val="42"/>
            </w:pPr>
            <w:r>
              <w:t>监测点数</w:t>
            </w:r>
          </w:p>
        </w:tc>
        <w:tc>
          <w:tcPr>
            <w:tcW w:w="1537" w:type="dxa"/>
            <w:gridSpan w:val="2"/>
            <w:vAlign w:val="center"/>
          </w:tcPr>
          <w:p>
            <w:pPr>
              <w:pStyle w:val="42"/>
            </w:pPr>
            <w:r>
              <w:t>监测指标</w:t>
            </w:r>
          </w:p>
        </w:tc>
        <w:tc>
          <w:tcPr>
            <w:tcW w:w="1723" w:type="dxa"/>
            <w:vAlign w:val="center"/>
          </w:tcPr>
          <w:p>
            <w:pPr>
              <w:pStyle w:val="42"/>
            </w:pPr>
            <w:r>
              <w:t>监测频次</w:t>
            </w:r>
          </w:p>
        </w:tc>
        <w:tc>
          <w:tcPr>
            <w:tcW w:w="790" w:type="dxa"/>
            <w:vMerge w:val="restar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Merge w:val="continue"/>
            <w:vAlign w:val="center"/>
          </w:tcPr>
          <w:p>
            <w:pPr>
              <w:pStyle w:val="42"/>
            </w:pPr>
          </w:p>
        </w:tc>
        <w:tc>
          <w:tcPr>
            <w:tcW w:w="2463" w:type="dxa"/>
            <w:gridSpan w:val="3"/>
            <w:vAlign w:val="center"/>
          </w:tcPr>
          <w:p>
            <w:pPr>
              <w:pStyle w:val="42"/>
            </w:pPr>
            <w:r>
              <w:rPr>
                <w:rFonts w:hint="eastAsia"/>
              </w:rPr>
              <w:t>合成氨生产装置区旁</w:t>
            </w:r>
          </w:p>
        </w:tc>
        <w:tc>
          <w:tcPr>
            <w:tcW w:w="1537" w:type="dxa"/>
            <w:gridSpan w:val="2"/>
            <w:vAlign w:val="center"/>
          </w:tcPr>
          <w:p>
            <w:pPr>
              <w:pStyle w:val="42"/>
            </w:pPr>
            <w:r>
              <w:rPr>
                <w:rFonts w:hint="eastAsia"/>
              </w:rPr>
              <w:t>石油烃</w:t>
            </w:r>
          </w:p>
        </w:tc>
        <w:tc>
          <w:tcPr>
            <w:tcW w:w="1723" w:type="dxa"/>
            <w:vAlign w:val="center"/>
          </w:tcPr>
          <w:p>
            <w:pPr>
              <w:pStyle w:val="42"/>
            </w:pPr>
            <w:r>
              <w:rPr>
                <w:rFonts w:hint="eastAsia"/>
              </w:rPr>
              <w:t>1次/5年</w:t>
            </w:r>
          </w:p>
        </w:tc>
        <w:tc>
          <w:tcPr>
            <w:tcW w:w="790"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8" w:type="dxa"/>
            <w:gridSpan w:val="2"/>
            <w:vMerge w:val="continue"/>
            <w:vAlign w:val="center"/>
          </w:tcPr>
          <w:p>
            <w:pPr>
              <w:pStyle w:val="42"/>
            </w:pPr>
          </w:p>
        </w:tc>
        <w:tc>
          <w:tcPr>
            <w:tcW w:w="1351" w:type="dxa"/>
            <w:gridSpan w:val="2"/>
            <w:vAlign w:val="center"/>
          </w:tcPr>
          <w:p>
            <w:pPr>
              <w:pStyle w:val="42"/>
            </w:pPr>
            <w:r>
              <w:t>信息公开指标</w:t>
            </w:r>
          </w:p>
        </w:tc>
        <w:tc>
          <w:tcPr>
            <w:tcW w:w="5723" w:type="dxa"/>
            <w:gridSpan w:val="6"/>
            <w:vAlign w:val="center"/>
          </w:tcPr>
          <w:p>
            <w:pPr>
              <w:pStyle w:val="42"/>
            </w:pPr>
            <w:r>
              <w:t>（土壤环境跟踪监测达标情况）</w:t>
            </w:r>
          </w:p>
        </w:tc>
        <w:tc>
          <w:tcPr>
            <w:tcW w:w="790"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49" w:type="dxa"/>
            <w:gridSpan w:val="4"/>
            <w:vAlign w:val="center"/>
          </w:tcPr>
          <w:p>
            <w:pPr>
              <w:pStyle w:val="42"/>
            </w:pPr>
            <w:r>
              <w:t>评价结论</w:t>
            </w:r>
          </w:p>
        </w:tc>
        <w:tc>
          <w:tcPr>
            <w:tcW w:w="5723" w:type="dxa"/>
            <w:gridSpan w:val="6"/>
            <w:vAlign w:val="center"/>
          </w:tcPr>
          <w:p>
            <w:pPr>
              <w:pStyle w:val="42"/>
            </w:pPr>
            <w:r>
              <w:t>可接受</w:t>
            </w:r>
            <w:r>
              <w:rPr>
                <w:rFonts w:hint="eastAsia" w:ascii="MS Mincho" w:hAnsi="MS Mincho" w:eastAsia="MS Mincho" w:cs="MS Mincho"/>
              </w:rPr>
              <w:t>☑</w:t>
            </w:r>
            <w:r>
              <w:t>；不可接受□</w:t>
            </w:r>
          </w:p>
        </w:tc>
        <w:tc>
          <w:tcPr>
            <w:tcW w:w="790"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62" w:type="dxa"/>
            <w:gridSpan w:val="11"/>
            <w:vAlign w:val="center"/>
          </w:tcPr>
          <w:p>
            <w:pPr>
              <w:pStyle w:val="42"/>
            </w:pPr>
            <w:r>
              <w:t>注：“□”为勾选项，可√；“（）”为内容填写项；“备注”为其他补充内容。</w:t>
            </w:r>
          </w:p>
        </w:tc>
      </w:tr>
    </w:tbl>
    <w:p>
      <w:pPr>
        <w:ind w:firstLine="480"/>
      </w:pPr>
    </w:p>
    <w:p>
      <w:pPr>
        <w:pStyle w:val="2"/>
        <w:spacing w:before="163" w:after="163"/>
        <w:sectPr>
          <w:headerReference r:id="rId41" w:type="first"/>
          <w:footerReference r:id="rId44" w:type="first"/>
          <w:headerReference r:id="rId39" w:type="default"/>
          <w:footerReference r:id="rId42" w:type="default"/>
          <w:headerReference r:id="rId40" w:type="even"/>
          <w:footerReference r:id="rId43" w:type="even"/>
          <w:pgSz w:w="11906" w:h="16838"/>
          <w:pgMar w:top="1440" w:right="1800" w:bottom="1440" w:left="1800" w:header="851" w:footer="992" w:gutter="0"/>
          <w:cols w:space="425" w:num="1"/>
          <w:docGrid w:type="lines" w:linePitch="326" w:charSpace="0"/>
        </w:sectPr>
      </w:pPr>
    </w:p>
    <w:p>
      <w:pPr>
        <w:pStyle w:val="2"/>
        <w:spacing w:before="163" w:after="163"/>
      </w:pPr>
      <w:bookmarkStart w:id="126" w:name="_Toc84844296"/>
      <w:r>
        <w:rPr>
          <w:rFonts w:hint="eastAsia"/>
        </w:rPr>
        <w:t>6环境风险评价</w:t>
      </w:r>
      <w:bookmarkEnd w:id="126"/>
    </w:p>
    <w:p>
      <w:pPr>
        <w:ind w:firstLine="480"/>
      </w:pPr>
      <w:r>
        <w:rPr>
          <w:rFonts w:hint="eastAsi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0"/>
      </w:pPr>
      <w:r>
        <w:rPr>
          <w:rFonts w:hint="eastAsia"/>
        </w:rPr>
        <w:t>重庆建峰化工股份有限公司利用化工尾气制20万吨/年合成氨循环经济项目综合利用卡贝乐公司甲醇装置驰放气、补充部分天然气为原料合成氨，生产过程中涉及到易燃、易爆、有毒有害物质，存在一定潜在的事故隐患和环境风险。</w:t>
      </w:r>
    </w:p>
    <w:p>
      <w:pPr>
        <w:pStyle w:val="3"/>
        <w:spacing w:before="163" w:after="163"/>
      </w:pPr>
      <w:bookmarkStart w:id="127" w:name="_Toc84844297"/>
      <w:r>
        <w:rPr>
          <w:rFonts w:hint="eastAsia"/>
        </w:rPr>
        <w:t>6.1环境风险评价程序</w:t>
      </w:r>
      <w:bookmarkEnd w:id="127"/>
    </w:p>
    <w:p>
      <w:pPr>
        <w:ind w:firstLine="480"/>
      </w:pPr>
      <w:r>
        <w:rPr>
          <w:rFonts w:hint="eastAsia"/>
        </w:rPr>
        <w:t>根据《建设项目环境风险评价技术导则》（HJ169-2018），环境风险评价程序详见下图6.1-1。</w:t>
      </w:r>
    </w:p>
    <w:p>
      <w:pPr>
        <w:pStyle w:val="41"/>
      </w:pPr>
      <w:r>
        <w:drawing>
          <wp:inline distT="0" distB="0" distL="0" distR="0">
            <wp:extent cx="4632960" cy="47002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638681" cy="4705786"/>
                    </a:xfrm>
                    <a:prstGeom prst="rect">
                      <a:avLst/>
                    </a:prstGeom>
                    <a:noFill/>
                    <a:ln>
                      <a:noFill/>
                    </a:ln>
                  </pic:spPr>
                </pic:pic>
              </a:graphicData>
            </a:graphic>
          </wp:inline>
        </w:drawing>
      </w:r>
    </w:p>
    <w:p>
      <w:pPr>
        <w:pStyle w:val="41"/>
      </w:pPr>
      <w:r>
        <w:rPr>
          <w:rFonts w:hint="eastAsia"/>
        </w:rPr>
        <w:t>图6.2-1 环境风险评价工作程序图</w:t>
      </w:r>
    </w:p>
    <w:p>
      <w:pPr>
        <w:pStyle w:val="41"/>
      </w:pPr>
    </w:p>
    <w:p>
      <w:pPr>
        <w:pStyle w:val="3"/>
        <w:spacing w:before="163" w:after="163"/>
      </w:pPr>
      <w:bookmarkStart w:id="128" w:name="_Toc84844298"/>
      <w:r>
        <w:rPr>
          <w:rFonts w:hint="eastAsia"/>
        </w:rPr>
        <w:t>6.2环境风险调查</w:t>
      </w:r>
      <w:bookmarkEnd w:id="128"/>
    </w:p>
    <w:p>
      <w:pPr>
        <w:pStyle w:val="4"/>
        <w:spacing w:before="163" w:after="163"/>
      </w:pPr>
      <w:bookmarkStart w:id="129" w:name="_Toc84844299"/>
      <w:r>
        <w:rPr>
          <w:rFonts w:hint="eastAsia"/>
        </w:rPr>
        <w:t>6.2.1项目风险源调查</w:t>
      </w:r>
      <w:bookmarkEnd w:id="129"/>
    </w:p>
    <w:p>
      <w:pPr>
        <w:ind w:firstLine="480"/>
      </w:pPr>
      <w:r>
        <w:rPr>
          <w:rFonts w:hint="eastAsia"/>
        </w:rPr>
        <w:t>（1）物质危险性及分布情况：根据《危险化学品名录》，拟建项目涉及的危险化学品主要有：甲烷、甲醇、NH</w:t>
      </w:r>
      <w:r>
        <w:rPr>
          <w:rFonts w:hint="eastAsia"/>
          <w:vertAlign w:val="subscript"/>
        </w:rPr>
        <w:t>3</w:t>
      </w:r>
      <w:r>
        <w:rPr>
          <w:rFonts w:hint="eastAsia"/>
        </w:rPr>
        <w:t>、H</w:t>
      </w:r>
      <w:r>
        <w:rPr>
          <w:rFonts w:hint="eastAsia"/>
          <w:vertAlign w:val="subscript"/>
        </w:rPr>
        <w:t>2</w:t>
      </w:r>
      <w:r>
        <w:rPr>
          <w:rFonts w:hint="eastAsia"/>
        </w:rPr>
        <w:t>、一氧化碳和二氧化碳等危险化学品，但不涉及剧毒化学品，且均不具有致畸性、致癌性、致敏性和致突变性。</w:t>
      </w:r>
    </w:p>
    <w:p>
      <w:pPr>
        <w:ind w:firstLine="480"/>
      </w:pPr>
      <w:r>
        <w:rPr>
          <w:rFonts w:hint="eastAsia"/>
        </w:rPr>
        <w:t>其中，甲烷、氨、甲醇等属于《建设项目环境风险评价技术导则》（HJ169-2018）附录B中有临界量的重点关注的危险物质。拟建项目涉及的危险化学品理化性质和毒理指标见下表6.2-1。</w:t>
      </w:r>
    </w:p>
    <w:p>
      <w:pPr>
        <w:ind w:firstLine="480"/>
      </w:pPr>
      <w:r>
        <w:rPr>
          <w:rFonts w:hint="eastAsia"/>
        </w:rPr>
        <w:t>拟建项目建成后，主要原料天然气和卡贝乐甲醇装置驰放气均来自园区内企业，不在厂区内贮存；脱硫剂、催化剂和吸附剂等定期由厂家更换，不在厂区内储存；产品液氨不在厂区内储存，直接通过管道供给飞华公司；本工程涉及的储运工程主要为CO</w:t>
      </w:r>
      <w:r>
        <w:rPr>
          <w:rFonts w:hint="eastAsia"/>
          <w:vertAlign w:val="subscript"/>
        </w:rPr>
        <w:t>2</w:t>
      </w:r>
      <w:r>
        <w:rPr>
          <w:rFonts w:hint="eastAsia"/>
        </w:rPr>
        <w:t>储罐。因此，本工程环境风险源主要为装置区和物料管道。</w:t>
      </w:r>
    </w:p>
    <w:p>
      <w:pPr>
        <w:ind w:firstLine="480"/>
      </w:pPr>
      <w:r>
        <w:rPr>
          <w:rFonts w:hint="eastAsia"/>
        </w:rPr>
        <w:t>（2）生产工艺特点：拟建项目综合利用卡贝乐公司甲醇装置驰放气、补充部分天然气为原料合成氨，主要包括：天然气脱硫（钴钼加氢、ZnO脱硫）、一段蒸汽转化、高温变换、膜分离回收氢、变压吸附（PSA）脱碳提氢和氨合成工序。同时，针对合成氨装置副产品CO</w:t>
      </w:r>
      <w:r>
        <w:rPr>
          <w:rFonts w:hint="eastAsia"/>
          <w:vertAlign w:val="subscript"/>
        </w:rPr>
        <w:t>2</w:t>
      </w:r>
      <w:r>
        <w:rPr>
          <w:rFonts w:hint="eastAsia"/>
        </w:rPr>
        <w:t>配套建设CO</w:t>
      </w:r>
      <w:r>
        <w:rPr>
          <w:rFonts w:hint="eastAsia"/>
          <w:vertAlign w:val="subscript"/>
        </w:rPr>
        <w:t>2</w:t>
      </w:r>
      <w:r>
        <w:rPr>
          <w:rFonts w:hint="eastAsia"/>
        </w:rPr>
        <w:t>回收装置，主要包括：催化氧化脱烃、提纯干燥、液化等工序。</w:t>
      </w:r>
    </w:p>
    <w:p>
      <w:pPr>
        <w:ind w:firstLine="480"/>
        <w:rPr>
          <w:rFonts w:ascii="宋体" w:hAnsi="宋体"/>
        </w:rPr>
        <w:sectPr>
          <w:pgSz w:w="11906" w:h="16838"/>
          <w:pgMar w:top="1440" w:right="1800" w:bottom="1440" w:left="1800" w:header="851" w:footer="992" w:gutter="0"/>
          <w:cols w:space="425" w:num="1"/>
          <w:docGrid w:type="lines" w:linePitch="326" w:charSpace="0"/>
        </w:sectPr>
      </w:pPr>
      <w:r>
        <w:rPr>
          <w:rFonts w:hint="eastAsia"/>
        </w:rPr>
        <w:t>项目生产过程中涉及的高温设备主要包括钴钼反应器、脱硫槽、一段蒸汽转化炉、高温变换炉、氨合成塔、</w:t>
      </w:r>
      <w:r>
        <w:rPr>
          <w:rFonts w:hint="eastAsia" w:ascii="宋体" w:hAnsi="宋体"/>
        </w:rPr>
        <w:t>脱烃反应器；涉及的高压设备主要为氨合成塔。</w:t>
      </w:r>
    </w:p>
    <w:p>
      <w:pPr>
        <w:pStyle w:val="41"/>
      </w:pPr>
      <w:r>
        <w:rPr>
          <w:rFonts w:hint="eastAsia"/>
        </w:rPr>
        <w:t>表7.2-1 拟建项目涉及的危险物质及其危险特性一览表</w:t>
      </w:r>
    </w:p>
    <w:tbl>
      <w:tblPr>
        <w:tblStyle w:val="33"/>
        <w:tblpPr w:leftFromText="180" w:rightFromText="180" w:vertAnchor="text" w:tblpY="1"/>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91"/>
        <w:gridCol w:w="850"/>
        <w:gridCol w:w="709"/>
        <w:gridCol w:w="709"/>
        <w:gridCol w:w="709"/>
        <w:gridCol w:w="850"/>
        <w:gridCol w:w="853"/>
        <w:gridCol w:w="991"/>
        <w:gridCol w:w="1274"/>
        <w:gridCol w:w="994"/>
        <w:gridCol w:w="1078"/>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pPr>
              <w:pStyle w:val="42"/>
              <w:rPr>
                <w:sz w:val="18"/>
                <w:szCs w:val="18"/>
              </w:rPr>
            </w:pPr>
            <w:r>
              <w:rPr>
                <w:sz w:val="18"/>
                <w:szCs w:val="18"/>
              </w:rPr>
              <w:t>物质</w:t>
            </w:r>
          </w:p>
          <w:p>
            <w:pPr>
              <w:pStyle w:val="42"/>
              <w:rPr>
                <w:sz w:val="18"/>
                <w:szCs w:val="18"/>
              </w:rPr>
            </w:pPr>
            <w:r>
              <w:rPr>
                <w:sz w:val="18"/>
                <w:szCs w:val="18"/>
              </w:rPr>
              <w:t>名称</w:t>
            </w:r>
          </w:p>
        </w:tc>
        <w:tc>
          <w:tcPr>
            <w:tcW w:w="344" w:type="pct"/>
            <w:vMerge w:val="restart"/>
            <w:vAlign w:val="center"/>
          </w:tcPr>
          <w:p>
            <w:pPr>
              <w:pStyle w:val="42"/>
              <w:rPr>
                <w:sz w:val="18"/>
                <w:szCs w:val="18"/>
              </w:rPr>
            </w:pPr>
            <w:r>
              <w:rPr>
                <w:sz w:val="18"/>
                <w:szCs w:val="18"/>
              </w:rPr>
              <w:t>外观</w:t>
            </w:r>
          </w:p>
        </w:tc>
        <w:tc>
          <w:tcPr>
            <w:tcW w:w="1328" w:type="pct"/>
            <w:gridSpan w:val="5"/>
            <w:vAlign w:val="center"/>
          </w:tcPr>
          <w:p>
            <w:pPr>
              <w:pStyle w:val="42"/>
              <w:rPr>
                <w:sz w:val="18"/>
                <w:szCs w:val="18"/>
              </w:rPr>
            </w:pPr>
            <w:r>
              <w:rPr>
                <w:sz w:val="18"/>
                <w:szCs w:val="18"/>
              </w:rPr>
              <w:t>燃烧爆炸性</w:t>
            </w:r>
          </w:p>
        </w:tc>
        <w:tc>
          <w:tcPr>
            <w:tcW w:w="296" w:type="pct"/>
            <w:vMerge w:val="restart"/>
            <w:vAlign w:val="center"/>
          </w:tcPr>
          <w:p>
            <w:pPr>
              <w:pStyle w:val="42"/>
              <w:rPr>
                <w:sz w:val="18"/>
                <w:szCs w:val="18"/>
              </w:rPr>
            </w:pPr>
            <w:r>
              <w:rPr>
                <w:sz w:val="18"/>
                <w:szCs w:val="18"/>
              </w:rPr>
              <w:t>危险</w:t>
            </w:r>
          </w:p>
          <w:p>
            <w:pPr>
              <w:pStyle w:val="42"/>
              <w:rPr>
                <w:sz w:val="18"/>
                <w:szCs w:val="18"/>
              </w:rPr>
            </w:pPr>
            <w:r>
              <w:rPr>
                <w:sz w:val="18"/>
                <w:szCs w:val="18"/>
              </w:rPr>
              <w:t>标记</w:t>
            </w:r>
          </w:p>
        </w:tc>
        <w:tc>
          <w:tcPr>
            <w:tcW w:w="344" w:type="pct"/>
            <w:vMerge w:val="restart"/>
            <w:vAlign w:val="center"/>
          </w:tcPr>
          <w:p>
            <w:pPr>
              <w:pStyle w:val="42"/>
              <w:rPr>
                <w:sz w:val="18"/>
                <w:szCs w:val="18"/>
              </w:rPr>
            </w:pPr>
            <w:r>
              <w:rPr>
                <w:sz w:val="18"/>
                <w:szCs w:val="18"/>
              </w:rPr>
              <w:t>LD</w:t>
            </w:r>
            <w:r>
              <w:rPr>
                <w:sz w:val="18"/>
                <w:szCs w:val="18"/>
                <w:vertAlign w:val="subscript"/>
              </w:rPr>
              <w:t>50</w:t>
            </w:r>
          </w:p>
          <w:p>
            <w:pPr>
              <w:pStyle w:val="42"/>
              <w:rPr>
                <w:sz w:val="18"/>
                <w:szCs w:val="18"/>
              </w:rPr>
            </w:pPr>
            <w:r>
              <w:rPr>
                <w:sz w:val="18"/>
                <w:szCs w:val="18"/>
              </w:rPr>
              <w:t>mg/kg</w:t>
            </w:r>
          </w:p>
        </w:tc>
        <w:tc>
          <w:tcPr>
            <w:tcW w:w="442" w:type="pct"/>
            <w:vMerge w:val="restart"/>
            <w:vAlign w:val="center"/>
          </w:tcPr>
          <w:p>
            <w:pPr>
              <w:pStyle w:val="42"/>
              <w:rPr>
                <w:sz w:val="18"/>
                <w:szCs w:val="18"/>
              </w:rPr>
            </w:pPr>
            <w:r>
              <w:rPr>
                <w:sz w:val="18"/>
                <w:szCs w:val="18"/>
              </w:rPr>
              <w:t>LC</w:t>
            </w:r>
            <w:r>
              <w:rPr>
                <w:sz w:val="18"/>
                <w:szCs w:val="18"/>
                <w:vertAlign w:val="subscript"/>
              </w:rPr>
              <w:t>50</w:t>
            </w:r>
          </w:p>
          <w:p>
            <w:pPr>
              <w:pStyle w:val="42"/>
              <w:rPr>
                <w:sz w:val="18"/>
                <w:szCs w:val="18"/>
              </w:rPr>
            </w:pPr>
            <w:r>
              <w:rPr>
                <w:sz w:val="18"/>
                <w:szCs w:val="18"/>
              </w:rPr>
              <w:t>mg/m</w:t>
            </w:r>
            <w:r>
              <w:rPr>
                <w:sz w:val="18"/>
                <w:szCs w:val="18"/>
                <w:vertAlign w:val="superscript"/>
              </w:rPr>
              <w:t>3</w:t>
            </w:r>
          </w:p>
        </w:tc>
        <w:tc>
          <w:tcPr>
            <w:tcW w:w="345" w:type="pct"/>
            <w:vMerge w:val="restart"/>
            <w:vAlign w:val="center"/>
          </w:tcPr>
          <w:p>
            <w:pPr>
              <w:pStyle w:val="42"/>
              <w:rPr>
                <w:sz w:val="18"/>
                <w:szCs w:val="18"/>
              </w:rPr>
            </w:pPr>
            <w:r>
              <w:rPr>
                <w:sz w:val="18"/>
                <w:szCs w:val="18"/>
              </w:rPr>
              <w:t>毒性终点浓度-1</w:t>
            </w:r>
          </w:p>
          <w:p>
            <w:pPr>
              <w:pStyle w:val="42"/>
              <w:rPr>
                <w:sz w:val="18"/>
                <w:szCs w:val="18"/>
              </w:rPr>
            </w:pPr>
            <w:r>
              <w:rPr>
                <w:sz w:val="18"/>
                <w:szCs w:val="18"/>
              </w:rPr>
              <w:t>mg/m</w:t>
            </w:r>
            <w:r>
              <w:rPr>
                <w:sz w:val="18"/>
                <w:szCs w:val="18"/>
                <w:vertAlign w:val="superscript"/>
              </w:rPr>
              <w:t>3</w:t>
            </w:r>
          </w:p>
        </w:tc>
        <w:tc>
          <w:tcPr>
            <w:tcW w:w="374" w:type="pct"/>
            <w:vMerge w:val="restart"/>
            <w:vAlign w:val="center"/>
          </w:tcPr>
          <w:p>
            <w:pPr>
              <w:pStyle w:val="42"/>
              <w:rPr>
                <w:sz w:val="18"/>
                <w:szCs w:val="18"/>
              </w:rPr>
            </w:pPr>
            <w:r>
              <w:rPr>
                <w:sz w:val="18"/>
                <w:szCs w:val="18"/>
              </w:rPr>
              <w:t>毒性终点浓度-2</w:t>
            </w:r>
          </w:p>
          <w:p>
            <w:pPr>
              <w:pStyle w:val="42"/>
              <w:rPr>
                <w:sz w:val="18"/>
                <w:szCs w:val="18"/>
              </w:rPr>
            </w:pPr>
            <w:r>
              <w:rPr>
                <w:sz w:val="18"/>
                <w:szCs w:val="18"/>
              </w:rPr>
              <w:t>mg/m</w:t>
            </w:r>
            <w:r>
              <w:rPr>
                <w:sz w:val="18"/>
                <w:szCs w:val="18"/>
                <w:vertAlign w:val="superscript"/>
              </w:rPr>
              <w:t>3</w:t>
            </w:r>
          </w:p>
        </w:tc>
        <w:tc>
          <w:tcPr>
            <w:tcW w:w="1194" w:type="pct"/>
            <w:vMerge w:val="restart"/>
            <w:vAlign w:val="center"/>
          </w:tcPr>
          <w:p>
            <w:pPr>
              <w:pStyle w:val="42"/>
              <w:rPr>
                <w:sz w:val="18"/>
                <w:szCs w:val="18"/>
              </w:rPr>
            </w:pPr>
            <w:r>
              <w:rPr>
                <w:sz w:val="18"/>
                <w:szCs w:val="18"/>
              </w:rPr>
              <w:t>危险特征备注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pPr>
              <w:pStyle w:val="42"/>
              <w:rPr>
                <w:sz w:val="18"/>
                <w:szCs w:val="18"/>
              </w:rPr>
            </w:pPr>
          </w:p>
        </w:tc>
        <w:tc>
          <w:tcPr>
            <w:tcW w:w="344" w:type="pct"/>
            <w:vMerge w:val="continue"/>
            <w:vAlign w:val="center"/>
          </w:tcPr>
          <w:p>
            <w:pPr>
              <w:pStyle w:val="42"/>
              <w:rPr>
                <w:sz w:val="18"/>
                <w:szCs w:val="18"/>
              </w:rPr>
            </w:pPr>
          </w:p>
        </w:tc>
        <w:tc>
          <w:tcPr>
            <w:tcW w:w="295" w:type="pct"/>
            <w:vAlign w:val="center"/>
          </w:tcPr>
          <w:p>
            <w:pPr>
              <w:pStyle w:val="42"/>
              <w:rPr>
                <w:sz w:val="18"/>
                <w:szCs w:val="18"/>
              </w:rPr>
            </w:pPr>
            <w:r>
              <w:rPr>
                <w:sz w:val="18"/>
                <w:szCs w:val="18"/>
              </w:rPr>
              <w:t>熔点</w:t>
            </w:r>
          </w:p>
          <w:p>
            <w:pPr>
              <w:pStyle w:val="42"/>
              <w:rPr>
                <w:sz w:val="18"/>
                <w:szCs w:val="18"/>
              </w:rPr>
            </w:pPr>
            <w:r>
              <w:rPr>
                <w:rFonts w:hint="eastAsia" w:cs="宋体"/>
                <w:sz w:val="18"/>
                <w:szCs w:val="18"/>
              </w:rPr>
              <w:t>℃</w:t>
            </w:r>
          </w:p>
        </w:tc>
        <w:tc>
          <w:tcPr>
            <w:tcW w:w="246" w:type="pct"/>
            <w:vAlign w:val="center"/>
          </w:tcPr>
          <w:p>
            <w:pPr>
              <w:pStyle w:val="42"/>
              <w:rPr>
                <w:sz w:val="18"/>
                <w:szCs w:val="18"/>
              </w:rPr>
            </w:pPr>
            <w:r>
              <w:rPr>
                <w:sz w:val="18"/>
                <w:szCs w:val="18"/>
              </w:rPr>
              <w:t>沸点</w:t>
            </w:r>
          </w:p>
          <w:p>
            <w:pPr>
              <w:pStyle w:val="42"/>
              <w:rPr>
                <w:sz w:val="18"/>
                <w:szCs w:val="18"/>
              </w:rPr>
            </w:pPr>
            <w:r>
              <w:rPr>
                <w:rFonts w:hint="eastAsia" w:cs="宋体"/>
                <w:sz w:val="18"/>
                <w:szCs w:val="18"/>
              </w:rPr>
              <w:t>℃</w:t>
            </w:r>
          </w:p>
        </w:tc>
        <w:tc>
          <w:tcPr>
            <w:tcW w:w="246" w:type="pct"/>
            <w:vAlign w:val="center"/>
          </w:tcPr>
          <w:p>
            <w:pPr>
              <w:pStyle w:val="42"/>
              <w:rPr>
                <w:sz w:val="18"/>
                <w:szCs w:val="18"/>
              </w:rPr>
            </w:pPr>
            <w:r>
              <w:rPr>
                <w:sz w:val="18"/>
                <w:szCs w:val="18"/>
              </w:rPr>
              <w:t>闪点</w:t>
            </w:r>
          </w:p>
          <w:p>
            <w:pPr>
              <w:pStyle w:val="42"/>
              <w:rPr>
                <w:sz w:val="18"/>
                <w:szCs w:val="18"/>
              </w:rPr>
            </w:pPr>
            <w:r>
              <w:rPr>
                <w:rFonts w:hint="eastAsia" w:cs="宋体"/>
                <w:sz w:val="18"/>
                <w:szCs w:val="18"/>
              </w:rPr>
              <w:t>℃</w:t>
            </w:r>
          </w:p>
        </w:tc>
        <w:tc>
          <w:tcPr>
            <w:tcW w:w="246" w:type="pct"/>
            <w:vAlign w:val="center"/>
          </w:tcPr>
          <w:p>
            <w:pPr>
              <w:pStyle w:val="42"/>
              <w:rPr>
                <w:sz w:val="18"/>
                <w:szCs w:val="18"/>
              </w:rPr>
            </w:pPr>
            <w:r>
              <w:rPr>
                <w:sz w:val="18"/>
                <w:szCs w:val="18"/>
              </w:rPr>
              <w:t>燃点</w:t>
            </w:r>
          </w:p>
          <w:p>
            <w:pPr>
              <w:pStyle w:val="42"/>
              <w:rPr>
                <w:sz w:val="18"/>
                <w:szCs w:val="18"/>
              </w:rPr>
            </w:pPr>
            <w:r>
              <w:rPr>
                <w:rFonts w:hint="eastAsia" w:cs="宋体"/>
                <w:sz w:val="18"/>
                <w:szCs w:val="18"/>
              </w:rPr>
              <w:t>℃</w:t>
            </w:r>
          </w:p>
        </w:tc>
        <w:tc>
          <w:tcPr>
            <w:tcW w:w="295" w:type="pct"/>
            <w:vAlign w:val="center"/>
          </w:tcPr>
          <w:p>
            <w:pPr>
              <w:pStyle w:val="42"/>
              <w:rPr>
                <w:sz w:val="18"/>
                <w:szCs w:val="18"/>
              </w:rPr>
            </w:pPr>
            <w:r>
              <w:rPr>
                <w:sz w:val="18"/>
                <w:szCs w:val="18"/>
              </w:rPr>
              <w:t>爆炸</w:t>
            </w:r>
          </w:p>
          <w:p>
            <w:pPr>
              <w:pStyle w:val="42"/>
              <w:rPr>
                <w:sz w:val="18"/>
                <w:szCs w:val="18"/>
              </w:rPr>
            </w:pPr>
            <w:r>
              <w:rPr>
                <w:sz w:val="18"/>
                <w:szCs w:val="18"/>
              </w:rPr>
              <w:t>极限</w:t>
            </w:r>
          </w:p>
          <w:p>
            <w:pPr>
              <w:pStyle w:val="42"/>
              <w:rPr>
                <w:sz w:val="18"/>
                <w:szCs w:val="18"/>
              </w:rPr>
            </w:pPr>
            <w:r>
              <w:rPr>
                <w:sz w:val="18"/>
                <w:szCs w:val="18"/>
              </w:rPr>
              <w:t>%V</w:t>
            </w:r>
          </w:p>
        </w:tc>
        <w:tc>
          <w:tcPr>
            <w:tcW w:w="296" w:type="pct"/>
            <w:vMerge w:val="continue"/>
            <w:vAlign w:val="center"/>
          </w:tcPr>
          <w:p>
            <w:pPr>
              <w:pStyle w:val="42"/>
              <w:rPr>
                <w:sz w:val="18"/>
                <w:szCs w:val="18"/>
              </w:rPr>
            </w:pPr>
          </w:p>
        </w:tc>
        <w:tc>
          <w:tcPr>
            <w:tcW w:w="344" w:type="pct"/>
            <w:vMerge w:val="continue"/>
            <w:vAlign w:val="center"/>
          </w:tcPr>
          <w:p>
            <w:pPr>
              <w:pStyle w:val="42"/>
              <w:rPr>
                <w:sz w:val="18"/>
                <w:szCs w:val="18"/>
              </w:rPr>
            </w:pPr>
          </w:p>
        </w:tc>
        <w:tc>
          <w:tcPr>
            <w:tcW w:w="442" w:type="pct"/>
            <w:vMerge w:val="continue"/>
            <w:vAlign w:val="center"/>
          </w:tcPr>
          <w:p>
            <w:pPr>
              <w:pStyle w:val="42"/>
              <w:rPr>
                <w:sz w:val="18"/>
                <w:szCs w:val="18"/>
              </w:rPr>
            </w:pPr>
          </w:p>
        </w:tc>
        <w:tc>
          <w:tcPr>
            <w:tcW w:w="345" w:type="pct"/>
            <w:vMerge w:val="continue"/>
            <w:vAlign w:val="center"/>
          </w:tcPr>
          <w:p>
            <w:pPr>
              <w:pStyle w:val="42"/>
              <w:rPr>
                <w:sz w:val="18"/>
                <w:szCs w:val="18"/>
              </w:rPr>
            </w:pPr>
          </w:p>
        </w:tc>
        <w:tc>
          <w:tcPr>
            <w:tcW w:w="374" w:type="pct"/>
            <w:vMerge w:val="continue"/>
            <w:vAlign w:val="center"/>
          </w:tcPr>
          <w:p>
            <w:pPr>
              <w:pStyle w:val="42"/>
              <w:rPr>
                <w:sz w:val="18"/>
                <w:szCs w:val="18"/>
              </w:rPr>
            </w:pPr>
          </w:p>
        </w:tc>
        <w:tc>
          <w:tcPr>
            <w:tcW w:w="1194" w:type="pct"/>
            <w:vMerge w:val="continue"/>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天然气（甲烷）</w:t>
            </w:r>
          </w:p>
        </w:tc>
        <w:tc>
          <w:tcPr>
            <w:tcW w:w="344" w:type="pct"/>
            <w:vAlign w:val="center"/>
          </w:tcPr>
          <w:p>
            <w:pPr>
              <w:pStyle w:val="42"/>
              <w:rPr>
                <w:sz w:val="18"/>
                <w:szCs w:val="18"/>
              </w:rPr>
            </w:pPr>
            <w:r>
              <w:rPr>
                <w:rFonts w:hint="eastAsia"/>
                <w:sz w:val="18"/>
                <w:szCs w:val="18"/>
              </w:rPr>
              <w:t>无色无臭气体</w:t>
            </w:r>
          </w:p>
        </w:tc>
        <w:tc>
          <w:tcPr>
            <w:tcW w:w="295" w:type="pct"/>
            <w:vAlign w:val="center"/>
          </w:tcPr>
          <w:p>
            <w:pPr>
              <w:pStyle w:val="42"/>
              <w:rPr>
                <w:sz w:val="18"/>
                <w:szCs w:val="18"/>
              </w:rPr>
            </w:pPr>
            <w:r>
              <w:rPr>
                <w:sz w:val="18"/>
                <w:szCs w:val="18"/>
              </w:rPr>
              <w:t>-182.5</w:t>
            </w:r>
          </w:p>
        </w:tc>
        <w:tc>
          <w:tcPr>
            <w:tcW w:w="246" w:type="pct"/>
            <w:vAlign w:val="center"/>
          </w:tcPr>
          <w:p>
            <w:pPr>
              <w:pStyle w:val="42"/>
              <w:rPr>
                <w:sz w:val="18"/>
                <w:szCs w:val="18"/>
              </w:rPr>
            </w:pPr>
            <w:r>
              <w:rPr>
                <w:sz w:val="18"/>
                <w:szCs w:val="18"/>
              </w:rPr>
              <w:t>-161.5</w:t>
            </w:r>
          </w:p>
        </w:tc>
        <w:tc>
          <w:tcPr>
            <w:tcW w:w="246" w:type="pct"/>
            <w:vAlign w:val="center"/>
          </w:tcPr>
          <w:p>
            <w:pPr>
              <w:pStyle w:val="42"/>
              <w:rPr>
                <w:sz w:val="18"/>
                <w:szCs w:val="18"/>
              </w:rPr>
            </w:pPr>
            <w:r>
              <w:rPr>
                <w:sz w:val="18"/>
                <w:szCs w:val="18"/>
              </w:rPr>
              <w:t>-188</w:t>
            </w:r>
          </w:p>
        </w:tc>
        <w:tc>
          <w:tcPr>
            <w:tcW w:w="246" w:type="pct"/>
            <w:vAlign w:val="center"/>
          </w:tcPr>
          <w:p>
            <w:pPr>
              <w:pStyle w:val="42"/>
              <w:rPr>
                <w:sz w:val="18"/>
                <w:szCs w:val="18"/>
              </w:rPr>
            </w:pPr>
            <w:r>
              <w:rPr>
                <w:sz w:val="18"/>
                <w:szCs w:val="18"/>
              </w:rPr>
              <w:t>/</w:t>
            </w:r>
          </w:p>
        </w:tc>
        <w:tc>
          <w:tcPr>
            <w:tcW w:w="295" w:type="pct"/>
            <w:vAlign w:val="center"/>
          </w:tcPr>
          <w:p>
            <w:pPr>
              <w:pStyle w:val="42"/>
              <w:rPr>
                <w:sz w:val="18"/>
                <w:szCs w:val="18"/>
              </w:rPr>
            </w:pPr>
            <w:r>
              <w:rPr>
                <w:sz w:val="18"/>
                <w:szCs w:val="18"/>
              </w:rPr>
              <w:t>3.8-13</w:t>
            </w:r>
          </w:p>
        </w:tc>
        <w:tc>
          <w:tcPr>
            <w:tcW w:w="296" w:type="pct"/>
            <w:vAlign w:val="center"/>
          </w:tcPr>
          <w:p>
            <w:pPr>
              <w:pStyle w:val="42"/>
              <w:rPr>
                <w:sz w:val="18"/>
                <w:szCs w:val="18"/>
              </w:rPr>
            </w:pPr>
            <w:r>
              <w:rPr>
                <w:sz w:val="18"/>
                <w:szCs w:val="18"/>
              </w:rPr>
              <w:t>4(</w:t>
            </w:r>
            <w:r>
              <w:rPr>
                <w:rFonts w:hint="eastAsia"/>
                <w:sz w:val="18"/>
                <w:szCs w:val="18"/>
              </w:rPr>
              <w:t>易燃气体</w:t>
            </w:r>
            <w:r>
              <w:rPr>
                <w:sz w:val="18"/>
                <w:szCs w:val="18"/>
              </w:rPr>
              <w:t>)</w:t>
            </w:r>
          </w:p>
        </w:tc>
        <w:tc>
          <w:tcPr>
            <w:tcW w:w="344" w:type="pct"/>
            <w:vAlign w:val="center"/>
          </w:tcPr>
          <w:p>
            <w:pPr>
              <w:pStyle w:val="42"/>
              <w:rPr>
                <w:sz w:val="18"/>
                <w:szCs w:val="18"/>
              </w:rPr>
            </w:pPr>
            <w:r>
              <w:rPr>
                <w:rFonts w:hint="eastAsia"/>
                <w:sz w:val="18"/>
                <w:szCs w:val="18"/>
              </w:rPr>
              <w:t>/</w:t>
            </w:r>
          </w:p>
        </w:tc>
        <w:tc>
          <w:tcPr>
            <w:tcW w:w="442" w:type="pct"/>
            <w:vAlign w:val="center"/>
          </w:tcPr>
          <w:p>
            <w:pPr>
              <w:pStyle w:val="42"/>
              <w:rPr>
                <w:sz w:val="18"/>
                <w:szCs w:val="18"/>
              </w:rPr>
            </w:pPr>
            <w:r>
              <w:rPr>
                <w:rFonts w:hint="eastAsia"/>
                <w:sz w:val="18"/>
                <w:szCs w:val="18"/>
              </w:rPr>
              <w:t>/</w:t>
            </w:r>
          </w:p>
        </w:tc>
        <w:tc>
          <w:tcPr>
            <w:tcW w:w="345" w:type="pct"/>
            <w:vAlign w:val="center"/>
          </w:tcPr>
          <w:p>
            <w:pPr>
              <w:pStyle w:val="42"/>
              <w:rPr>
                <w:sz w:val="18"/>
                <w:szCs w:val="18"/>
              </w:rPr>
            </w:pPr>
            <w:r>
              <w:rPr>
                <w:rFonts w:hint="eastAsia"/>
                <w:sz w:val="18"/>
                <w:szCs w:val="18"/>
              </w:rPr>
              <w:t>260000</w:t>
            </w:r>
          </w:p>
        </w:tc>
        <w:tc>
          <w:tcPr>
            <w:tcW w:w="374" w:type="pct"/>
            <w:vAlign w:val="center"/>
          </w:tcPr>
          <w:p>
            <w:pPr>
              <w:pStyle w:val="42"/>
              <w:rPr>
                <w:sz w:val="18"/>
                <w:szCs w:val="18"/>
              </w:rPr>
            </w:pPr>
            <w:r>
              <w:rPr>
                <w:rFonts w:hint="eastAsia"/>
                <w:sz w:val="18"/>
                <w:szCs w:val="18"/>
              </w:rPr>
              <w:t>150000</w:t>
            </w:r>
          </w:p>
        </w:tc>
        <w:tc>
          <w:tcPr>
            <w:tcW w:w="1194" w:type="pct"/>
            <w:vAlign w:val="center"/>
          </w:tcPr>
          <w:p>
            <w:pPr>
              <w:pStyle w:val="42"/>
              <w:rPr>
                <w:sz w:val="18"/>
                <w:szCs w:val="18"/>
              </w:rPr>
            </w:pPr>
            <w:r>
              <w:rPr>
                <w:rFonts w:hint="eastAsia"/>
                <w:sz w:val="18"/>
                <w:szCs w:val="18"/>
              </w:rPr>
              <w:t>易燃，与空气混合能形成爆炸性混合物，遇热源和明火有燃烧爆炸的危险。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氨</w:t>
            </w:r>
          </w:p>
        </w:tc>
        <w:tc>
          <w:tcPr>
            <w:tcW w:w="344" w:type="pct"/>
            <w:vAlign w:val="center"/>
          </w:tcPr>
          <w:p>
            <w:pPr>
              <w:pStyle w:val="42"/>
              <w:rPr>
                <w:sz w:val="18"/>
                <w:szCs w:val="18"/>
              </w:rPr>
            </w:pPr>
            <w:r>
              <w:rPr>
                <w:rFonts w:hint="eastAsia"/>
                <w:sz w:val="18"/>
                <w:szCs w:val="18"/>
              </w:rPr>
              <w:t>无色有刺激性恶臭的气体</w:t>
            </w:r>
          </w:p>
        </w:tc>
        <w:tc>
          <w:tcPr>
            <w:tcW w:w="295" w:type="pct"/>
            <w:vAlign w:val="center"/>
          </w:tcPr>
          <w:p>
            <w:pPr>
              <w:pStyle w:val="42"/>
              <w:rPr>
                <w:sz w:val="18"/>
                <w:szCs w:val="18"/>
              </w:rPr>
            </w:pPr>
            <w:r>
              <w:rPr>
                <w:rFonts w:hint="eastAsia"/>
                <w:sz w:val="18"/>
                <w:szCs w:val="18"/>
              </w:rPr>
              <w:t>-77.7</w:t>
            </w:r>
          </w:p>
        </w:tc>
        <w:tc>
          <w:tcPr>
            <w:tcW w:w="246" w:type="pct"/>
            <w:vAlign w:val="center"/>
          </w:tcPr>
          <w:p>
            <w:pPr>
              <w:pStyle w:val="42"/>
              <w:rPr>
                <w:sz w:val="18"/>
                <w:szCs w:val="18"/>
              </w:rPr>
            </w:pPr>
            <w:r>
              <w:rPr>
                <w:rFonts w:hint="eastAsia"/>
                <w:sz w:val="18"/>
                <w:szCs w:val="18"/>
              </w:rPr>
              <w:t>-33.5</w:t>
            </w:r>
          </w:p>
        </w:tc>
        <w:tc>
          <w:tcPr>
            <w:tcW w:w="246" w:type="pct"/>
            <w:vAlign w:val="center"/>
          </w:tcPr>
          <w:p>
            <w:pPr>
              <w:pStyle w:val="42"/>
              <w:rPr>
                <w:sz w:val="18"/>
                <w:szCs w:val="18"/>
              </w:rPr>
            </w:pPr>
            <w:r>
              <w:rPr>
                <w:rFonts w:hint="eastAsia"/>
                <w:sz w:val="18"/>
                <w:szCs w:val="18"/>
              </w:rPr>
              <w:t>-54</w:t>
            </w:r>
          </w:p>
        </w:tc>
        <w:tc>
          <w:tcPr>
            <w:tcW w:w="246" w:type="pct"/>
            <w:vAlign w:val="center"/>
          </w:tcPr>
          <w:p>
            <w:pPr>
              <w:pStyle w:val="42"/>
              <w:rPr>
                <w:sz w:val="18"/>
                <w:szCs w:val="18"/>
              </w:rPr>
            </w:pPr>
            <w:r>
              <w:rPr>
                <w:sz w:val="18"/>
                <w:szCs w:val="18"/>
              </w:rPr>
              <w:t>651.1</w:t>
            </w:r>
          </w:p>
        </w:tc>
        <w:tc>
          <w:tcPr>
            <w:tcW w:w="295" w:type="pct"/>
            <w:vAlign w:val="center"/>
          </w:tcPr>
          <w:p>
            <w:pPr>
              <w:pStyle w:val="42"/>
              <w:rPr>
                <w:sz w:val="18"/>
                <w:szCs w:val="18"/>
              </w:rPr>
            </w:pPr>
            <w:r>
              <w:rPr>
                <w:rFonts w:hint="eastAsia"/>
                <w:sz w:val="18"/>
                <w:szCs w:val="18"/>
              </w:rPr>
              <w:t>16.1~25</w:t>
            </w:r>
          </w:p>
        </w:tc>
        <w:tc>
          <w:tcPr>
            <w:tcW w:w="296" w:type="pct"/>
            <w:vAlign w:val="center"/>
          </w:tcPr>
          <w:p>
            <w:pPr>
              <w:pStyle w:val="42"/>
              <w:rPr>
                <w:sz w:val="18"/>
                <w:szCs w:val="18"/>
              </w:rPr>
            </w:pPr>
            <w:r>
              <w:rPr>
                <w:rFonts w:hint="eastAsia"/>
                <w:sz w:val="18"/>
                <w:szCs w:val="18"/>
              </w:rPr>
              <w:t>6(有毒气体)</w:t>
            </w:r>
          </w:p>
        </w:tc>
        <w:tc>
          <w:tcPr>
            <w:tcW w:w="344" w:type="pct"/>
            <w:vAlign w:val="center"/>
          </w:tcPr>
          <w:p>
            <w:pPr>
              <w:pStyle w:val="42"/>
              <w:rPr>
                <w:sz w:val="18"/>
                <w:szCs w:val="18"/>
              </w:rPr>
            </w:pPr>
            <w:r>
              <w:rPr>
                <w:rFonts w:hint="eastAsia"/>
                <w:sz w:val="18"/>
                <w:szCs w:val="18"/>
              </w:rPr>
              <w:t>350 (大鼠经口)</w:t>
            </w:r>
            <w:r>
              <w:rPr>
                <w:sz w:val="18"/>
                <w:szCs w:val="18"/>
              </w:rPr>
              <w:t xml:space="preserve"> </w:t>
            </w:r>
          </w:p>
        </w:tc>
        <w:tc>
          <w:tcPr>
            <w:tcW w:w="442" w:type="pct"/>
            <w:vAlign w:val="center"/>
          </w:tcPr>
          <w:p>
            <w:pPr>
              <w:pStyle w:val="42"/>
              <w:rPr>
                <w:sz w:val="18"/>
                <w:szCs w:val="18"/>
              </w:rPr>
            </w:pPr>
            <w:r>
              <w:rPr>
                <w:rFonts w:hint="eastAsia"/>
                <w:sz w:val="18"/>
                <w:szCs w:val="18"/>
              </w:rPr>
              <w:t>1390，4小时，(大鼠吸入)</w:t>
            </w:r>
          </w:p>
        </w:tc>
        <w:tc>
          <w:tcPr>
            <w:tcW w:w="345" w:type="pct"/>
            <w:vAlign w:val="center"/>
          </w:tcPr>
          <w:p>
            <w:pPr>
              <w:pStyle w:val="42"/>
              <w:rPr>
                <w:sz w:val="18"/>
                <w:szCs w:val="18"/>
              </w:rPr>
            </w:pPr>
            <w:r>
              <w:rPr>
                <w:rFonts w:hint="eastAsia"/>
                <w:sz w:val="18"/>
                <w:szCs w:val="18"/>
              </w:rPr>
              <w:t>770</w:t>
            </w:r>
          </w:p>
        </w:tc>
        <w:tc>
          <w:tcPr>
            <w:tcW w:w="374" w:type="pct"/>
            <w:vAlign w:val="center"/>
          </w:tcPr>
          <w:p>
            <w:pPr>
              <w:pStyle w:val="42"/>
              <w:rPr>
                <w:sz w:val="18"/>
                <w:szCs w:val="18"/>
              </w:rPr>
            </w:pPr>
            <w:r>
              <w:rPr>
                <w:rFonts w:hint="eastAsia"/>
                <w:sz w:val="18"/>
                <w:szCs w:val="18"/>
              </w:rPr>
              <w:t>110</w:t>
            </w:r>
          </w:p>
        </w:tc>
        <w:tc>
          <w:tcPr>
            <w:tcW w:w="1194" w:type="pct"/>
            <w:vAlign w:val="center"/>
          </w:tcPr>
          <w:p>
            <w:pPr>
              <w:pStyle w:val="42"/>
              <w:rPr>
                <w:sz w:val="18"/>
                <w:szCs w:val="18"/>
              </w:rPr>
            </w:pPr>
            <w:r>
              <w:rPr>
                <w:rFonts w:hint="eastAsia"/>
                <w:sz w:val="18"/>
                <w:szCs w:val="18"/>
              </w:rPr>
              <w:t>与空气混合能形成爆炸性混合物。遇明火、高热能引起燃烧爆炸。与氟、氯等接触会发生剧烈的化学反应。若遇高热，容器内压增大，有开裂和爆炸的危险。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氢气</w:t>
            </w:r>
          </w:p>
        </w:tc>
        <w:tc>
          <w:tcPr>
            <w:tcW w:w="344" w:type="pct"/>
            <w:vAlign w:val="center"/>
          </w:tcPr>
          <w:p>
            <w:pPr>
              <w:pStyle w:val="42"/>
              <w:rPr>
                <w:sz w:val="18"/>
                <w:szCs w:val="18"/>
              </w:rPr>
            </w:pPr>
            <w:r>
              <w:rPr>
                <w:rFonts w:hint="eastAsia"/>
                <w:sz w:val="18"/>
                <w:szCs w:val="18"/>
              </w:rPr>
              <w:t>无色无味气体</w:t>
            </w:r>
          </w:p>
        </w:tc>
        <w:tc>
          <w:tcPr>
            <w:tcW w:w="295" w:type="pct"/>
            <w:vAlign w:val="center"/>
          </w:tcPr>
          <w:p>
            <w:pPr>
              <w:pStyle w:val="42"/>
              <w:rPr>
                <w:sz w:val="18"/>
                <w:szCs w:val="18"/>
              </w:rPr>
            </w:pPr>
            <w:r>
              <w:rPr>
                <w:rFonts w:hint="eastAsia"/>
                <w:sz w:val="18"/>
                <w:szCs w:val="18"/>
              </w:rPr>
              <w:t>-259.2</w:t>
            </w:r>
          </w:p>
        </w:tc>
        <w:tc>
          <w:tcPr>
            <w:tcW w:w="246" w:type="pct"/>
            <w:vAlign w:val="center"/>
          </w:tcPr>
          <w:p>
            <w:pPr>
              <w:pStyle w:val="42"/>
              <w:rPr>
                <w:sz w:val="18"/>
                <w:szCs w:val="18"/>
              </w:rPr>
            </w:pPr>
            <w:r>
              <w:rPr>
                <w:rFonts w:hint="eastAsia"/>
                <w:sz w:val="18"/>
                <w:szCs w:val="18"/>
              </w:rPr>
              <w:t>-252.8</w:t>
            </w:r>
          </w:p>
        </w:tc>
        <w:tc>
          <w:tcPr>
            <w:tcW w:w="246" w:type="pct"/>
            <w:vAlign w:val="center"/>
          </w:tcPr>
          <w:p>
            <w:pPr>
              <w:pStyle w:val="42"/>
              <w:rPr>
                <w:sz w:val="18"/>
                <w:szCs w:val="18"/>
              </w:rPr>
            </w:pPr>
            <w:r>
              <w:rPr>
                <w:rFonts w:hint="eastAsia" w:ascii="宋体" w:hAnsi="宋体"/>
                <w:sz w:val="18"/>
                <w:szCs w:val="18"/>
              </w:rPr>
              <w:t>＜</w:t>
            </w:r>
            <w:r>
              <w:rPr>
                <w:rFonts w:hint="eastAsia"/>
                <w:sz w:val="18"/>
                <w:szCs w:val="18"/>
              </w:rPr>
              <w:t>50</w:t>
            </w:r>
          </w:p>
        </w:tc>
        <w:tc>
          <w:tcPr>
            <w:tcW w:w="246" w:type="pct"/>
            <w:vAlign w:val="center"/>
          </w:tcPr>
          <w:p>
            <w:pPr>
              <w:pStyle w:val="42"/>
              <w:rPr>
                <w:sz w:val="18"/>
                <w:szCs w:val="18"/>
              </w:rPr>
            </w:pPr>
          </w:p>
        </w:tc>
        <w:tc>
          <w:tcPr>
            <w:tcW w:w="295" w:type="pct"/>
            <w:vAlign w:val="center"/>
          </w:tcPr>
          <w:p>
            <w:pPr>
              <w:pStyle w:val="42"/>
              <w:rPr>
                <w:sz w:val="18"/>
                <w:szCs w:val="18"/>
              </w:rPr>
            </w:pPr>
            <w:r>
              <w:rPr>
                <w:rFonts w:hint="eastAsia"/>
                <w:sz w:val="18"/>
                <w:szCs w:val="18"/>
              </w:rPr>
              <w:t>4.0~74.2</w:t>
            </w:r>
          </w:p>
        </w:tc>
        <w:tc>
          <w:tcPr>
            <w:tcW w:w="296" w:type="pct"/>
            <w:vAlign w:val="center"/>
          </w:tcPr>
          <w:p>
            <w:pPr>
              <w:pStyle w:val="42"/>
              <w:rPr>
                <w:sz w:val="18"/>
                <w:szCs w:val="18"/>
              </w:rPr>
            </w:pPr>
            <w:r>
              <w:rPr>
                <w:rFonts w:hint="eastAsia"/>
                <w:sz w:val="18"/>
                <w:szCs w:val="18"/>
              </w:rPr>
              <w:t>4(易燃气体)</w:t>
            </w:r>
          </w:p>
        </w:tc>
        <w:tc>
          <w:tcPr>
            <w:tcW w:w="344" w:type="pct"/>
            <w:vAlign w:val="center"/>
          </w:tcPr>
          <w:p>
            <w:pPr>
              <w:pStyle w:val="42"/>
              <w:rPr>
                <w:sz w:val="18"/>
                <w:szCs w:val="18"/>
              </w:rPr>
            </w:pPr>
            <w:r>
              <w:rPr>
                <w:rFonts w:hint="eastAsia"/>
                <w:sz w:val="18"/>
                <w:szCs w:val="18"/>
              </w:rPr>
              <w:t>/</w:t>
            </w:r>
          </w:p>
        </w:tc>
        <w:tc>
          <w:tcPr>
            <w:tcW w:w="442" w:type="pct"/>
            <w:vAlign w:val="center"/>
          </w:tcPr>
          <w:p>
            <w:pPr>
              <w:pStyle w:val="42"/>
              <w:rPr>
                <w:sz w:val="18"/>
                <w:szCs w:val="18"/>
              </w:rPr>
            </w:pPr>
            <w:r>
              <w:rPr>
                <w:rFonts w:hint="eastAsia"/>
                <w:sz w:val="18"/>
                <w:szCs w:val="18"/>
              </w:rPr>
              <w:t>/</w:t>
            </w:r>
          </w:p>
        </w:tc>
        <w:tc>
          <w:tcPr>
            <w:tcW w:w="345" w:type="pct"/>
            <w:vAlign w:val="center"/>
          </w:tcPr>
          <w:p>
            <w:pPr>
              <w:pStyle w:val="42"/>
              <w:rPr>
                <w:sz w:val="18"/>
                <w:szCs w:val="18"/>
              </w:rPr>
            </w:pPr>
            <w:r>
              <w:rPr>
                <w:rFonts w:hint="eastAsia"/>
                <w:sz w:val="18"/>
                <w:szCs w:val="18"/>
              </w:rPr>
              <w:t>/</w:t>
            </w:r>
          </w:p>
        </w:tc>
        <w:tc>
          <w:tcPr>
            <w:tcW w:w="374" w:type="pct"/>
            <w:vAlign w:val="center"/>
          </w:tcPr>
          <w:p>
            <w:pPr>
              <w:pStyle w:val="42"/>
              <w:rPr>
                <w:sz w:val="18"/>
                <w:szCs w:val="18"/>
              </w:rPr>
            </w:pPr>
            <w:r>
              <w:rPr>
                <w:rFonts w:hint="eastAsia"/>
                <w:sz w:val="18"/>
                <w:szCs w:val="18"/>
              </w:rPr>
              <w:t>/</w:t>
            </w:r>
          </w:p>
        </w:tc>
        <w:tc>
          <w:tcPr>
            <w:tcW w:w="1194" w:type="pct"/>
            <w:vAlign w:val="center"/>
          </w:tcPr>
          <w:p>
            <w:pPr>
              <w:pStyle w:val="42"/>
              <w:rPr>
                <w:sz w:val="18"/>
                <w:szCs w:val="18"/>
              </w:rPr>
            </w:pPr>
            <w:r>
              <w:rPr>
                <w:rFonts w:hint="eastAsia"/>
                <w:sz w:val="18"/>
                <w:szCs w:val="18"/>
              </w:rPr>
              <w:t>与空气混合能形成爆炸性混合物，遇热或明火即会发生爆炸。气体比空气轻，在室内使用和储存时，漏气上升滞留屋顶不易排出，遇火星会引起爆炸。氢气与氟、氯、溴等卤素会剧烈反应。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二氧化碳</w:t>
            </w:r>
          </w:p>
        </w:tc>
        <w:tc>
          <w:tcPr>
            <w:tcW w:w="344" w:type="pct"/>
            <w:vAlign w:val="center"/>
          </w:tcPr>
          <w:p>
            <w:pPr>
              <w:pStyle w:val="42"/>
              <w:rPr>
                <w:sz w:val="18"/>
                <w:szCs w:val="18"/>
              </w:rPr>
            </w:pPr>
            <w:r>
              <w:rPr>
                <w:rFonts w:hint="eastAsia"/>
                <w:sz w:val="18"/>
                <w:szCs w:val="18"/>
              </w:rPr>
              <w:t>无色无臭气体</w:t>
            </w:r>
          </w:p>
        </w:tc>
        <w:tc>
          <w:tcPr>
            <w:tcW w:w="295" w:type="pct"/>
            <w:vAlign w:val="center"/>
          </w:tcPr>
          <w:p>
            <w:pPr>
              <w:pStyle w:val="42"/>
              <w:rPr>
                <w:sz w:val="18"/>
                <w:szCs w:val="18"/>
              </w:rPr>
            </w:pPr>
            <w:r>
              <w:rPr>
                <w:rFonts w:hint="eastAsia"/>
                <w:sz w:val="18"/>
                <w:szCs w:val="18"/>
              </w:rPr>
              <w:t>-56.6</w:t>
            </w:r>
          </w:p>
        </w:tc>
        <w:tc>
          <w:tcPr>
            <w:tcW w:w="246" w:type="pct"/>
            <w:vAlign w:val="center"/>
          </w:tcPr>
          <w:p>
            <w:pPr>
              <w:pStyle w:val="42"/>
              <w:rPr>
                <w:sz w:val="18"/>
                <w:szCs w:val="18"/>
              </w:rPr>
            </w:pPr>
            <w:r>
              <w:rPr>
                <w:rFonts w:hint="eastAsia"/>
                <w:sz w:val="18"/>
                <w:szCs w:val="18"/>
              </w:rPr>
              <w:t>-78.5</w:t>
            </w:r>
          </w:p>
        </w:tc>
        <w:tc>
          <w:tcPr>
            <w:tcW w:w="246" w:type="pct"/>
            <w:vAlign w:val="center"/>
          </w:tcPr>
          <w:p>
            <w:pPr>
              <w:pStyle w:val="42"/>
              <w:rPr>
                <w:sz w:val="18"/>
                <w:szCs w:val="18"/>
              </w:rPr>
            </w:pPr>
            <w:r>
              <w:rPr>
                <w:rFonts w:hint="eastAsia"/>
                <w:sz w:val="18"/>
                <w:szCs w:val="18"/>
              </w:rPr>
              <w:t>/</w:t>
            </w:r>
          </w:p>
        </w:tc>
        <w:tc>
          <w:tcPr>
            <w:tcW w:w="246" w:type="pct"/>
            <w:vAlign w:val="center"/>
          </w:tcPr>
          <w:p>
            <w:pPr>
              <w:pStyle w:val="42"/>
              <w:rPr>
                <w:sz w:val="18"/>
                <w:szCs w:val="18"/>
              </w:rPr>
            </w:pPr>
            <w:r>
              <w:rPr>
                <w:rFonts w:hint="eastAsia"/>
                <w:sz w:val="18"/>
                <w:szCs w:val="18"/>
              </w:rPr>
              <w:t>/</w:t>
            </w:r>
          </w:p>
        </w:tc>
        <w:tc>
          <w:tcPr>
            <w:tcW w:w="295" w:type="pct"/>
            <w:vAlign w:val="center"/>
          </w:tcPr>
          <w:p>
            <w:pPr>
              <w:pStyle w:val="42"/>
              <w:rPr>
                <w:sz w:val="18"/>
                <w:szCs w:val="18"/>
              </w:rPr>
            </w:pPr>
            <w:r>
              <w:rPr>
                <w:rFonts w:hint="eastAsia"/>
                <w:sz w:val="18"/>
                <w:szCs w:val="18"/>
              </w:rPr>
              <w:t>/</w:t>
            </w:r>
          </w:p>
        </w:tc>
        <w:tc>
          <w:tcPr>
            <w:tcW w:w="296" w:type="pct"/>
            <w:vAlign w:val="center"/>
          </w:tcPr>
          <w:p>
            <w:pPr>
              <w:pStyle w:val="42"/>
              <w:rPr>
                <w:sz w:val="18"/>
                <w:szCs w:val="18"/>
              </w:rPr>
            </w:pPr>
            <w:r>
              <w:rPr>
                <w:rFonts w:hint="eastAsia"/>
                <w:sz w:val="18"/>
                <w:szCs w:val="18"/>
              </w:rPr>
              <w:t>5(不燃气体)</w:t>
            </w:r>
          </w:p>
        </w:tc>
        <w:tc>
          <w:tcPr>
            <w:tcW w:w="344" w:type="pct"/>
            <w:vAlign w:val="center"/>
          </w:tcPr>
          <w:p>
            <w:pPr>
              <w:pStyle w:val="42"/>
              <w:rPr>
                <w:sz w:val="18"/>
                <w:szCs w:val="18"/>
              </w:rPr>
            </w:pPr>
            <w:r>
              <w:rPr>
                <w:rFonts w:hint="eastAsia"/>
                <w:sz w:val="18"/>
                <w:szCs w:val="18"/>
              </w:rPr>
              <w:t>/</w:t>
            </w:r>
          </w:p>
        </w:tc>
        <w:tc>
          <w:tcPr>
            <w:tcW w:w="442" w:type="pct"/>
            <w:vAlign w:val="center"/>
          </w:tcPr>
          <w:p>
            <w:pPr>
              <w:pStyle w:val="42"/>
              <w:rPr>
                <w:sz w:val="18"/>
                <w:szCs w:val="18"/>
              </w:rPr>
            </w:pPr>
            <w:r>
              <w:rPr>
                <w:rFonts w:hint="eastAsia"/>
                <w:sz w:val="18"/>
                <w:szCs w:val="18"/>
              </w:rPr>
              <w:t>/</w:t>
            </w:r>
          </w:p>
        </w:tc>
        <w:tc>
          <w:tcPr>
            <w:tcW w:w="345" w:type="pct"/>
            <w:vAlign w:val="center"/>
          </w:tcPr>
          <w:p>
            <w:pPr>
              <w:pStyle w:val="42"/>
              <w:rPr>
                <w:sz w:val="18"/>
                <w:szCs w:val="18"/>
              </w:rPr>
            </w:pPr>
            <w:r>
              <w:rPr>
                <w:rFonts w:hint="eastAsia"/>
                <w:sz w:val="18"/>
                <w:szCs w:val="18"/>
              </w:rPr>
              <w:t>/</w:t>
            </w:r>
          </w:p>
        </w:tc>
        <w:tc>
          <w:tcPr>
            <w:tcW w:w="374" w:type="pct"/>
            <w:vAlign w:val="center"/>
          </w:tcPr>
          <w:p>
            <w:pPr>
              <w:pStyle w:val="42"/>
              <w:rPr>
                <w:sz w:val="18"/>
                <w:szCs w:val="18"/>
              </w:rPr>
            </w:pPr>
            <w:r>
              <w:rPr>
                <w:rFonts w:hint="eastAsia"/>
                <w:sz w:val="18"/>
                <w:szCs w:val="18"/>
              </w:rPr>
              <w:t>/</w:t>
            </w:r>
          </w:p>
        </w:tc>
        <w:tc>
          <w:tcPr>
            <w:tcW w:w="1194" w:type="pct"/>
            <w:vAlign w:val="center"/>
          </w:tcPr>
          <w:p>
            <w:pPr>
              <w:pStyle w:val="42"/>
              <w:rPr>
                <w:sz w:val="18"/>
                <w:szCs w:val="18"/>
              </w:rPr>
            </w:pPr>
            <w:r>
              <w:rPr>
                <w:rFonts w:hint="eastAsia"/>
                <w:sz w:val="18"/>
                <w:szCs w:val="18"/>
              </w:rPr>
              <w:t>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一氧化碳</w:t>
            </w:r>
          </w:p>
        </w:tc>
        <w:tc>
          <w:tcPr>
            <w:tcW w:w="344" w:type="pct"/>
            <w:vAlign w:val="center"/>
          </w:tcPr>
          <w:p>
            <w:pPr>
              <w:pStyle w:val="42"/>
              <w:rPr>
                <w:sz w:val="18"/>
                <w:szCs w:val="18"/>
              </w:rPr>
            </w:pPr>
            <w:r>
              <w:rPr>
                <w:rFonts w:hint="eastAsia"/>
                <w:sz w:val="18"/>
                <w:szCs w:val="18"/>
              </w:rPr>
              <w:t>无色无臭气体</w:t>
            </w:r>
          </w:p>
        </w:tc>
        <w:tc>
          <w:tcPr>
            <w:tcW w:w="295" w:type="pct"/>
            <w:vAlign w:val="center"/>
          </w:tcPr>
          <w:p>
            <w:pPr>
              <w:pStyle w:val="42"/>
              <w:rPr>
                <w:sz w:val="18"/>
                <w:szCs w:val="18"/>
              </w:rPr>
            </w:pPr>
            <w:r>
              <w:rPr>
                <w:rFonts w:hint="eastAsia"/>
                <w:sz w:val="18"/>
                <w:szCs w:val="18"/>
              </w:rPr>
              <w:t>-199.1</w:t>
            </w:r>
          </w:p>
        </w:tc>
        <w:tc>
          <w:tcPr>
            <w:tcW w:w="246" w:type="pct"/>
            <w:vAlign w:val="center"/>
          </w:tcPr>
          <w:p>
            <w:pPr>
              <w:pStyle w:val="42"/>
              <w:rPr>
                <w:sz w:val="18"/>
                <w:szCs w:val="18"/>
              </w:rPr>
            </w:pPr>
            <w:r>
              <w:rPr>
                <w:rFonts w:hint="eastAsia"/>
                <w:sz w:val="18"/>
                <w:szCs w:val="18"/>
              </w:rPr>
              <w:t>-191.4</w:t>
            </w:r>
          </w:p>
        </w:tc>
        <w:tc>
          <w:tcPr>
            <w:tcW w:w="246" w:type="pct"/>
            <w:vAlign w:val="center"/>
          </w:tcPr>
          <w:p>
            <w:pPr>
              <w:pStyle w:val="42"/>
              <w:rPr>
                <w:sz w:val="18"/>
                <w:szCs w:val="18"/>
              </w:rPr>
            </w:pPr>
            <w:r>
              <w:rPr>
                <w:rFonts w:hint="eastAsia" w:ascii="宋体" w:hAnsi="宋体"/>
                <w:sz w:val="18"/>
                <w:szCs w:val="18"/>
              </w:rPr>
              <w:t>＜</w:t>
            </w:r>
            <w:r>
              <w:rPr>
                <w:rFonts w:hint="eastAsia"/>
                <w:sz w:val="18"/>
                <w:szCs w:val="18"/>
              </w:rPr>
              <w:t>50</w:t>
            </w:r>
          </w:p>
        </w:tc>
        <w:tc>
          <w:tcPr>
            <w:tcW w:w="246" w:type="pct"/>
            <w:vAlign w:val="center"/>
          </w:tcPr>
          <w:p>
            <w:pPr>
              <w:pStyle w:val="42"/>
              <w:rPr>
                <w:sz w:val="18"/>
                <w:szCs w:val="18"/>
              </w:rPr>
            </w:pPr>
            <w:r>
              <w:rPr>
                <w:rFonts w:hint="eastAsia"/>
                <w:sz w:val="18"/>
                <w:szCs w:val="18"/>
              </w:rPr>
              <w:t>610</w:t>
            </w:r>
          </w:p>
        </w:tc>
        <w:tc>
          <w:tcPr>
            <w:tcW w:w="295" w:type="pct"/>
            <w:vAlign w:val="center"/>
          </w:tcPr>
          <w:p>
            <w:pPr>
              <w:pStyle w:val="42"/>
              <w:rPr>
                <w:sz w:val="18"/>
                <w:szCs w:val="18"/>
              </w:rPr>
            </w:pPr>
            <w:r>
              <w:rPr>
                <w:rFonts w:hint="eastAsia"/>
                <w:sz w:val="18"/>
                <w:szCs w:val="18"/>
              </w:rPr>
              <w:t>12.5~74.2</w:t>
            </w:r>
          </w:p>
        </w:tc>
        <w:tc>
          <w:tcPr>
            <w:tcW w:w="296" w:type="pct"/>
            <w:vAlign w:val="center"/>
          </w:tcPr>
          <w:p>
            <w:pPr>
              <w:pStyle w:val="42"/>
              <w:rPr>
                <w:sz w:val="18"/>
                <w:szCs w:val="18"/>
              </w:rPr>
            </w:pPr>
            <w:r>
              <w:rPr>
                <w:rFonts w:hint="eastAsia"/>
                <w:sz w:val="18"/>
                <w:szCs w:val="18"/>
              </w:rPr>
              <w:t>4(易燃气体)</w:t>
            </w:r>
          </w:p>
        </w:tc>
        <w:tc>
          <w:tcPr>
            <w:tcW w:w="344" w:type="pct"/>
            <w:vAlign w:val="center"/>
          </w:tcPr>
          <w:p>
            <w:pPr>
              <w:pStyle w:val="42"/>
              <w:rPr>
                <w:sz w:val="18"/>
                <w:szCs w:val="18"/>
              </w:rPr>
            </w:pPr>
            <w:r>
              <w:rPr>
                <w:rFonts w:hint="eastAsia"/>
                <w:sz w:val="18"/>
                <w:szCs w:val="18"/>
              </w:rPr>
              <w:t>/</w:t>
            </w:r>
          </w:p>
        </w:tc>
        <w:tc>
          <w:tcPr>
            <w:tcW w:w="442" w:type="pct"/>
            <w:vAlign w:val="center"/>
          </w:tcPr>
          <w:p>
            <w:pPr>
              <w:pStyle w:val="42"/>
              <w:rPr>
                <w:sz w:val="18"/>
                <w:szCs w:val="18"/>
              </w:rPr>
            </w:pPr>
            <w:r>
              <w:rPr>
                <w:rFonts w:hint="eastAsia"/>
                <w:sz w:val="18"/>
                <w:szCs w:val="18"/>
              </w:rPr>
              <w:t>2069，4小时(大鼠吸入)</w:t>
            </w:r>
          </w:p>
        </w:tc>
        <w:tc>
          <w:tcPr>
            <w:tcW w:w="345" w:type="pct"/>
            <w:vAlign w:val="center"/>
          </w:tcPr>
          <w:p>
            <w:pPr>
              <w:pStyle w:val="42"/>
              <w:rPr>
                <w:sz w:val="18"/>
                <w:szCs w:val="18"/>
              </w:rPr>
            </w:pPr>
            <w:r>
              <w:rPr>
                <w:rFonts w:hint="eastAsia"/>
                <w:sz w:val="18"/>
                <w:szCs w:val="18"/>
              </w:rPr>
              <w:t>380</w:t>
            </w:r>
          </w:p>
        </w:tc>
        <w:tc>
          <w:tcPr>
            <w:tcW w:w="374" w:type="pct"/>
            <w:vAlign w:val="center"/>
          </w:tcPr>
          <w:p>
            <w:pPr>
              <w:pStyle w:val="42"/>
              <w:rPr>
                <w:sz w:val="18"/>
                <w:szCs w:val="18"/>
              </w:rPr>
            </w:pPr>
            <w:r>
              <w:rPr>
                <w:rFonts w:hint="eastAsia"/>
                <w:sz w:val="18"/>
                <w:szCs w:val="18"/>
              </w:rPr>
              <w:t>95</w:t>
            </w:r>
          </w:p>
        </w:tc>
        <w:tc>
          <w:tcPr>
            <w:tcW w:w="119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pPr>
              <w:pStyle w:val="42"/>
              <w:rPr>
                <w:sz w:val="18"/>
                <w:szCs w:val="18"/>
              </w:rPr>
            </w:pPr>
            <w:r>
              <w:rPr>
                <w:rFonts w:hint="eastAsia"/>
                <w:sz w:val="18"/>
                <w:szCs w:val="18"/>
              </w:rPr>
              <w:t>甲醇</w:t>
            </w:r>
          </w:p>
        </w:tc>
        <w:tc>
          <w:tcPr>
            <w:tcW w:w="344" w:type="pct"/>
            <w:vAlign w:val="center"/>
          </w:tcPr>
          <w:p>
            <w:pPr>
              <w:pStyle w:val="42"/>
              <w:rPr>
                <w:sz w:val="18"/>
                <w:szCs w:val="18"/>
              </w:rPr>
            </w:pPr>
            <w:r>
              <w:rPr>
                <w:rFonts w:hint="eastAsia"/>
                <w:sz w:val="18"/>
                <w:szCs w:val="18"/>
              </w:rPr>
              <w:t>无色澄清液体，有刺激性气味</w:t>
            </w:r>
          </w:p>
        </w:tc>
        <w:tc>
          <w:tcPr>
            <w:tcW w:w="295" w:type="pct"/>
            <w:vAlign w:val="center"/>
          </w:tcPr>
          <w:p>
            <w:pPr>
              <w:pStyle w:val="42"/>
              <w:rPr>
                <w:sz w:val="18"/>
                <w:szCs w:val="18"/>
              </w:rPr>
            </w:pPr>
            <w:r>
              <w:rPr>
                <w:sz w:val="18"/>
                <w:szCs w:val="18"/>
              </w:rPr>
              <w:t>-97.8</w:t>
            </w:r>
          </w:p>
        </w:tc>
        <w:tc>
          <w:tcPr>
            <w:tcW w:w="246" w:type="pct"/>
            <w:vAlign w:val="center"/>
          </w:tcPr>
          <w:p>
            <w:pPr>
              <w:pStyle w:val="42"/>
              <w:rPr>
                <w:sz w:val="18"/>
                <w:szCs w:val="18"/>
              </w:rPr>
            </w:pPr>
            <w:r>
              <w:rPr>
                <w:sz w:val="18"/>
                <w:szCs w:val="18"/>
              </w:rPr>
              <w:t>64.8</w:t>
            </w:r>
          </w:p>
        </w:tc>
        <w:tc>
          <w:tcPr>
            <w:tcW w:w="246" w:type="pct"/>
            <w:vAlign w:val="center"/>
          </w:tcPr>
          <w:p>
            <w:pPr>
              <w:pStyle w:val="42"/>
              <w:rPr>
                <w:sz w:val="18"/>
                <w:szCs w:val="18"/>
              </w:rPr>
            </w:pPr>
            <w:r>
              <w:rPr>
                <w:sz w:val="18"/>
                <w:szCs w:val="18"/>
              </w:rPr>
              <w:t>11</w:t>
            </w:r>
          </w:p>
        </w:tc>
        <w:tc>
          <w:tcPr>
            <w:tcW w:w="246" w:type="pct"/>
            <w:vAlign w:val="center"/>
          </w:tcPr>
          <w:p>
            <w:pPr>
              <w:pStyle w:val="42"/>
              <w:rPr>
                <w:sz w:val="18"/>
                <w:szCs w:val="18"/>
              </w:rPr>
            </w:pPr>
            <w:r>
              <w:rPr>
                <w:sz w:val="18"/>
                <w:szCs w:val="18"/>
              </w:rPr>
              <w:t>385</w:t>
            </w:r>
          </w:p>
        </w:tc>
        <w:tc>
          <w:tcPr>
            <w:tcW w:w="295" w:type="pct"/>
            <w:vAlign w:val="center"/>
          </w:tcPr>
          <w:p>
            <w:pPr>
              <w:pStyle w:val="42"/>
              <w:rPr>
                <w:sz w:val="18"/>
                <w:szCs w:val="18"/>
              </w:rPr>
            </w:pPr>
            <w:r>
              <w:rPr>
                <w:sz w:val="18"/>
                <w:szCs w:val="18"/>
              </w:rPr>
              <w:t>5.5-44</w:t>
            </w:r>
          </w:p>
        </w:tc>
        <w:tc>
          <w:tcPr>
            <w:tcW w:w="296" w:type="pct"/>
            <w:vAlign w:val="center"/>
          </w:tcPr>
          <w:p>
            <w:pPr>
              <w:pStyle w:val="42"/>
              <w:rPr>
                <w:sz w:val="18"/>
                <w:szCs w:val="18"/>
              </w:rPr>
            </w:pPr>
            <w:r>
              <w:rPr>
                <w:sz w:val="18"/>
                <w:szCs w:val="18"/>
              </w:rPr>
              <w:t>3.2中闪点易燃液体</w:t>
            </w:r>
          </w:p>
        </w:tc>
        <w:tc>
          <w:tcPr>
            <w:tcW w:w="344" w:type="pct"/>
            <w:vAlign w:val="center"/>
          </w:tcPr>
          <w:p>
            <w:pPr>
              <w:pStyle w:val="42"/>
              <w:rPr>
                <w:sz w:val="18"/>
                <w:szCs w:val="18"/>
              </w:rPr>
            </w:pPr>
            <w:r>
              <w:rPr>
                <w:sz w:val="18"/>
                <w:szCs w:val="18"/>
              </w:rPr>
              <w:t>5628</w:t>
            </w:r>
          </w:p>
          <w:p>
            <w:pPr>
              <w:pStyle w:val="42"/>
              <w:rPr>
                <w:sz w:val="18"/>
                <w:szCs w:val="18"/>
              </w:rPr>
            </w:pPr>
            <w:r>
              <w:rPr>
                <w:sz w:val="18"/>
                <w:szCs w:val="18"/>
              </w:rPr>
              <w:t>大鼠经口</w:t>
            </w:r>
          </w:p>
        </w:tc>
        <w:tc>
          <w:tcPr>
            <w:tcW w:w="442" w:type="pct"/>
            <w:vAlign w:val="center"/>
          </w:tcPr>
          <w:p>
            <w:pPr>
              <w:pStyle w:val="42"/>
              <w:rPr>
                <w:sz w:val="18"/>
                <w:szCs w:val="18"/>
              </w:rPr>
            </w:pPr>
            <w:r>
              <w:rPr>
                <w:sz w:val="18"/>
                <w:szCs w:val="18"/>
              </w:rPr>
              <w:t>83776</w:t>
            </w:r>
          </w:p>
          <w:p>
            <w:pPr>
              <w:pStyle w:val="42"/>
              <w:rPr>
                <w:sz w:val="18"/>
                <w:szCs w:val="18"/>
              </w:rPr>
            </w:pPr>
            <w:r>
              <w:rPr>
                <w:sz w:val="18"/>
                <w:szCs w:val="18"/>
              </w:rPr>
              <w:t>4小时</w:t>
            </w:r>
          </w:p>
          <w:p>
            <w:pPr>
              <w:pStyle w:val="42"/>
              <w:rPr>
                <w:sz w:val="18"/>
                <w:szCs w:val="18"/>
              </w:rPr>
            </w:pPr>
            <w:r>
              <w:rPr>
                <w:sz w:val="18"/>
                <w:szCs w:val="18"/>
              </w:rPr>
              <w:t>大鼠吸入</w:t>
            </w:r>
          </w:p>
        </w:tc>
        <w:tc>
          <w:tcPr>
            <w:tcW w:w="345" w:type="pct"/>
            <w:vAlign w:val="center"/>
          </w:tcPr>
          <w:p>
            <w:pPr>
              <w:pStyle w:val="42"/>
              <w:rPr>
                <w:sz w:val="18"/>
                <w:szCs w:val="18"/>
              </w:rPr>
            </w:pPr>
            <w:r>
              <w:rPr>
                <w:sz w:val="18"/>
                <w:szCs w:val="18"/>
              </w:rPr>
              <w:t>9400</w:t>
            </w:r>
          </w:p>
        </w:tc>
        <w:tc>
          <w:tcPr>
            <w:tcW w:w="374" w:type="pct"/>
            <w:vAlign w:val="center"/>
          </w:tcPr>
          <w:p>
            <w:pPr>
              <w:pStyle w:val="42"/>
              <w:rPr>
                <w:sz w:val="18"/>
                <w:szCs w:val="18"/>
              </w:rPr>
            </w:pPr>
            <w:r>
              <w:rPr>
                <w:sz w:val="18"/>
                <w:szCs w:val="18"/>
              </w:rPr>
              <w:t>2700</w:t>
            </w:r>
          </w:p>
        </w:tc>
        <w:tc>
          <w:tcPr>
            <w:tcW w:w="1194" w:type="pct"/>
            <w:vAlign w:val="center"/>
          </w:tcPr>
          <w:p>
            <w:pPr>
              <w:pStyle w:val="42"/>
              <w:rPr>
                <w:sz w:val="18"/>
                <w:szCs w:val="18"/>
              </w:rPr>
            </w:pPr>
            <w:r>
              <w:rPr>
                <w:sz w:val="18"/>
                <w:szCs w:val="18"/>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bl>
    <w:p>
      <w:pPr>
        <w:pStyle w:val="41"/>
        <w:sectPr>
          <w:pgSz w:w="16838" w:h="11906" w:orient="landscape"/>
          <w:pgMar w:top="1800" w:right="1440" w:bottom="1800" w:left="1440" w:header="851" w:footer="992" w:gutter="0"/>
          <w:cols w:space="425" w:num="1"/>
          <w:docGrid w:type="lines" w:linePitch="326" w:charSpace="0"/>
        </w:sectPr>
      </w:pPr>
    </w:p>
    <w:p>
      <w:pPr>
        <w:pStyle w:val="4"/>
        <w:spacing w:before="156" w:after="156"/>
      </w:pPr>
      <w:bookmarkStart w:id="130" w:name="_Toc84844300"/>
      <w:r>
        <w:rPr>
          <w:rFonts w:hint="eastAsia"/>
        </w:rPr>
        <w:t>6.2.2环境敏感目标调查</w:t>
      </w:r>
      <w:bookmarkEnd w:id="130"/>
    </w:p>
    <w:p>
      <w:pPr>
        <w:ind w:firstLine="480"/>
      </w:pPr>
      <w:r>
        <w:rPr>
          <w:rFonts w:hint="eastAsia"/>
        </w:rPr>
        <w:t>拟建项目位于长寿经开区晏家组团，厂区周围均为工业用地，无风景名胜、自然保护区、生态农业示范园和重点文物保护单位，也未发现珍稀动植物和矿产资源。</w:t>
      </w:r>
      <w:r>
        <w:t>厂址周围5km范围内主要环境空气环境保护目标主要为晏家街道、居民、农户等；项目受纳水体为长江，根据《重庆市人民政府批转重庆市地表水环境功能类别调整方案的通知》（渝府发[2012]4号），长江为III类水域功能区；项目所在区域地下水属《地下水质量标准》（GB/T14848-2017）中</w:t>
      </w:r>
      <w:r>
        <w:rPr>
          <w:rFonts w:hint="eastAsia" w:ascii="宋体" w:hAnsi="宋体" w:cs="宋体"/>
        </w:rPr>
        <w:t>Ⅲ</w:t>
      </w:r>
      <w:r>
        <w:t>类标准。</w:t>
      </w:r>
    </w:p>
    <w:p>
      <w:pPr>
        <w:ind w:firstLine="480"/>
      </w:pPr>
      <w:r>
        <w:rPr>
          <w:rFonts w:hint="eastAsia"/>
        </w:rPr>
        <w:t>拟建项目环境敏感特征详见表6.2-2及附图5。</w:t>
      </w:r>
    </w:p>
    <w:p>
      <w:pPr>
        <w:pStyle w:val="41"/>
      </w:pPr>
      <w:r>
        <w:rPr>
          <w:rFonts w:hint="eastAsia"/>
        </w:rPr>
        <w:t>表6.2-2 拟建项目环境敏感特征一览表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4"/>
        <w:gridCol w:w="472"/>
        <w:gridCol w:w="1719"/>
        <w:gridCol w:w="1190"/>
        <w:gridCol w:w="1453"/>
        <w:gridCol w:w="1089"/>
        <w:gridCol w:w="496"/>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tcBorders>
              <w:left w:val="single" w:color="auto" w:sz="4" w:space="0"/>
            </w:tcBorders>
            <w:vAlign w:val="center"/>
          </w:tcPr>
          <w:p>
            <w:pPr>
              <w:pStyle w:val="42"/>
            </w:pPr>
            <w:r>
              <w:t>类别</w:t>
            </w:r>
          </w:p>
        </w:tc>
        <w:tc>
          <w:tcPr>
            <w:tcW w:w="7848" w:type="dxa"/>
            <w:gridSpan w:val="7"/>
            <w:vAlign w:val="center"/>
          </w:tcPr>
          <w:p>
            <w:pPr>
              <w:pStyle w:val="42"/>
            </w:pPr>
            <w: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restart"/>
            <w:tcBorders>
              <w:left w:val="single" w:color="auto" w:sz="4" w:space="0"/>
            </w:tcBorders>
            <w:vAlign w:val="center"/>
          </w:tcPr>
          <w:p>
            <w:pPr>
              <w:pStyle w:val="42"/>
            </w:pPr>
            <w:r>
              <w:t>环境</w:t>
            </w:r>
          </w:p>
          <w:p>
            <w:pPr>
              <w:pStyle w:val="42"/>
            </w:pPr>
            <w:r>
              <w:t>空气</w:t>
            </w:r>
          </w:p>
        </w:tc>
        <w:tc>
          <w:tcPr>
            <w:tcW w:w="7848" w:type="dxa"/>
            <w:gridSpan w:val="7"/>
            <w:vAlign w:val="center"/>
          </w:tcPr>
          <w:p>
            <w:pPr>
              <w:pStyle w:val="42"/>
            </w:pPr>
            <w:r>
              <w:t>厂址周边5km范围内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序号</w:t>
            </w:r>
          </w:p>
        </w:tc>
        <w:tc>
          <w:tcPr>
            <w:tcW w:w="1719" w:type="dxa"/>
            <w:vAlign w:val="center"/>
          </w:tcPr>
          <w:p>
            <w:pPr>
              <w:pStyle w:val="42"/>
            </w:pPr>
            <w:r>
              <w:t>敏感点名称</w:t>
            </w:r>
          </w:p>
        </w:tc>
        <w:tc>
          <w:tcPr>
            <w:tcW w:w="1190" w:type="dxa"/>
            <w:vAlign w:val="center"/>
          </w:tcPr>
          <w:p>
            <w:pPr>
              <w:pStyle w:val="42"/>
            </w:pPr>
            <w:r>
              <w:t>与厂区方位</w:t>
            </w:r>
          </w:p>
        </w:tc>
        <w:tc>
          <w:tcPr>
            <w:tcW w:w="1453" w:type="dxa"/>
            <w:vAlign w:val="center"/>
          </w:tcPr>
          <w:p>
            <w:pPr>
              <w:pStyle w:val="42"/>
            </w:pPr>
            <w:r>
              <w:t>相对距离（m）</w:t>
            </w:r>
          </w:p>
        </w:tc>
        <w:tc>
          <w:tcPr>
            <w:tcW w:w="1585" w:type="dxa"/>
            <w:gridSpan w:val="2"/>
            <w:vAlign w:val="center"/>
          </w:tcPr>
          <w:p>
            <w:pPr>
              <w:pStyle w:val="42"/>
            </w:pPr>
            <w:r>
              <w:t>环境特征</w:t>
            </w:r>
          </w:p>
        </w:tc>
        <w:tc>
          <w:tcPr>
            <w:tcW w:w="1429" w:type="dxa"/>
            <w:vAlign w:val="center"/>
          </w:tcPr>
          <w:p>
            <w:pPr>
              <w:pStyle w:val="42"/>
            </w:pPr>
            <w: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w:t>
            </w:r>
          </w:p>
        </w:tc>
        <w:tc>
          <w:tcPr>
            <w:tcW w:w="1719" w:type="dxa"/>
            <w:vAlign w:val="center"/>
          </w:tcPr>
          <w:p>
            <w:pPr>
              <w:pStyle w:val="42"/>
              <w:rPr>
                <w:sz w:val="18"/>
                <w:szCs w:val="18"/>
              </w:rPr>
            </w:pPr>
            <w:r>
              <w:rPr>
                <w:sz w:val="18"/>
                <w:szCs w:val="18"/>
              </w:rPr>
              <w:t>晏家街道</w:t>
            </w:r>
          </w:p>
        </w:tc>
        <w:tc>
          <w:tcPr>
            <w:tcW w:w="1190" w:type="dxa"/>
            <w:vAlign w:val="center"/>
          </w:tcPr>
          <w:p>
            <w:pPr>
              <w:pStyle w:val="42"/>
              <w:rPr>
                <w:sz w:val="18"/>
                <w:szCs w:val="18"/>
              </w:rPr>
            </w:pPr>
            <w:r>
              <w:rPr>
                <w:rFonts w:hint="eastAsia"/>
                <w:sz w:val="18"/>
                <w:szCs w:val="18"/>
              </w:rPr>
              <w:t>SE</w:t>
            </w:r>
          </w:p>
        </w:tc>
        <w:tc>
          <w:tcPr>
            <w:tcW w:w="1453" w:type="dxa"/>
            <w:vAlign w:val="center"/>
          </w:tcPr>
          <w:p>
            <w:pPr>
              <w:pStyle w:val="42"/>
              <w:rPr>
                <w:sz w:val="18"/>
                <w:szCs w:val="18"/>
              </w:rPr>
            </w:pPr>
            <w:r>
              <w:rPr>
                <w:rFonts w:hint="eastAsia"/>
                <w:sz w:val="18"/>
                <w:szCs w:val="18"/>
              </w:rPr>
              <w:t>2000</w:t>
            </w:r>
          </w:p>
        </w:tc>
        <w:tc>
          <w:tcPr>
            <w:tcW w:w="1585" w:type="dxa"/>
            <w:gridSpan w:val="2"/>
            <w:vAlign w:val="center"/>
          </w:tcPr>
          <w:p>
            <w:pPr>
              <w:pStyle w:val="42"/>
              <w:rPr>
                <w:sz w:val="18"/>
                <w:szCs w:val="18"/>
              </w:rPr>
            </w:pPr>
            <w:r>
              <w:rPr>
                <w:rFonts w:hint="eastAsia"/>
                <w:sz w:val="18"/>
                <w:szCs w:val="18"/>
              </w:rPr>
              <w:t>居民区</w:t>
            </w:r>
          </w:p>
        </w:tc>
        <w:tc>
          <w:tcPr>
            <w:tcW w:w="1429" w:type="dxa"/>
            <w:vAlign w:val="center"/>
          </w:tcPr>
          <w:p>
            <w:pPr>
              <w:pStyle w:val="42"/>
            </w:pPr>
            <w:r>
              <w:rPr>
                <w:sz w:val="18"/>
                <w:szCs w:val="18"/>
              </w:rPr>
              <w:t>约</w:t>
            </w:r>
            <w:r>
              <w:rPr>
                <w:rFonts w:hint="eastAsia"/>
                <w:sz w:val="18"/>
                <w:szCs w:val="18"/>
              </w:rPr>
              <w:t>5万</w:t>
            </w:r>
            <w:r>
              <w:rPr>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2</w:t>
            </w:r>
          </w:p>
        </w:tc>
        <w:tc>
          <w:tcPr>
            <w:tcW w:w="1719" w:type="dxa"/>
            <w:vAlign w:val="center"/>
          </w:tcPr>
          <w:p>
            <w:pPr>
              <w:pStyle w:val="42"/>
              <w:rPr>
                <w:sz w:val="18"/>
                <w:szCs w:val="18"/>
              </w:rPr>
            </w:pPr>
            <w:r>
              <w:rPr>
                <w:sz w:val="18"/>
                <w:szCs w:val="18"/>
              </w:rPr>
              <w:t>长寿经开区管委会</w:t>
            </w:r>
          </w:p>
        </w:tc>
        <w:tc>
          <w:tcPr>
            <w:tcW w:w="1190" w:type="dxa"/>
            <w:vAlign w:val="center"/>
          </w:tcPr>
          <w:p>
            <w:pPr>
              <w:pStyle w:val="42"/>
              <w:rPr>
                <w:sz w:val="18"/>
                <w:szCs w:val="18"/>
              </w:rPr>
            </w:pPr>
            <w:r>
              <w:rPr>
                <w:rFonts w:hint="eastAsia"/>
                <w:sz w:val="18"/>
                <w:szCs w:val="18"/>
              </w:rPr>
              <w:t>W</w:t>
            </w:r>
          </w:p>
        </w:tc>
        <w:tc>
          <w:tcPr>
            <w:tcW w:w="1453" w:type="dxa"/>
            <w:vAlign w:val="center"/>
          </w:tcPr>
          <w:p>
            <w:pPr>
              <w:pStyle w:val="42"/>
              <w:rPr>
                <w:sz w:val="18"/>
                <w:szCs w:val="18"/>
              </w:rPr>
            </w:pPr>
            <w:r>
              <w:rPr>
                <w:rFonts w:hint="eastAsia"/>
                <w:sz w:val="18"/>
                <w:szCs w:val="18"/>
              </w:rPr>
              <w:t>1900</w:t>
            </w:r>
          </w:p>
        </w:tc>
        <w:tc>
          <w:tcPr>
            <w:tcW w:w="1585" w:type="dxa"/>
            <w:gridSpan w:val="2"/>
            <w:vAlign w:val="center"/>
          </w:tcPr>
          <w:p>
            <w:pPr>
              <w:pStyle w:val="42"/>
              <w:rPr>
                <w:sz w:val="18"/>
                <w:szCs w:val="18"/>
              </w:rPr>
            </w:pPr>
            <w:r>
              <w:rPr>
                <w:rFonts w:hint="eastAsia"/>
                <w:sz w:val="18"/>
                <w:szCs w:val="18"/>
              </w:rPr>
              <w:t>办公区</w:t>
            </w:r>
          </w:p>
        </w:tc>
        <w:tc>
          <w:tcPr>
            <w:tcW w:w="1429" w:type="dxa"/>
            <w:vAlign w:val="center"/>
          </w:tcPr>
          <w:p>
            <w:pPr>
              <w:pStyle w:val="42"/>
            </w:pPr>
            <w:r>
              <w:rPr>
                <w:sz w:val="18"/>
                <w:szCs w:val="18"/>
              </w:rPr>
              <w:t>约200人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3</w:t>
            </w:r>
          </w:p>
        </w:tc>
        <w:tc>
          <w:tcPr>
            <w:tcW w:w="1719" w:type="dxa"/>
            <w:vAlign w:val="center"/>
          </w:tcPr>
          <w:p>
            <w:pPr>
              <w:pStyle w:val="42"/>
              <w:rPr>
                <w:sz w:val="18"/>
                <w:szCs w:val="18"/>
              </w:rPr>
            </w:pPr>
            <w:r>
              <w:rPr>
                <w:sz w:val="18"/>
                <w:szCs w:val="18"/>
              </w:rPr>
              <w:t>晏家中学</w:t>
            </w:r>
          </w:p>
        </w:tc>
        <w:tc>
          <w:tcPr>
            <w:tcW w:w="1190" w:type="dxa"/>
            <w:vAlign w:val="center"/>
          </w:tcPr>
          <w:p>
            <w:pPr>
              <w:pStyle w:val="42"/>
              <w:rPr>
                <w:sz w:val="18"/>
                <w:szCs w:val="18"/>
              </w:rPr>
            </w:pPr>
            <w:r>
              <w:rPr>
                <w:rFonts w:hint="eastAsia"/>
                <w:sz w:val="18"/>
                <w:szCs w:val="18"/>
              </w:rPr>
              <w:t>SE</w:t>
            </w:r>
          </w:p>
        </w:tc>
        <w:tc>
          <w:tcPr>
            <w:tcW w:w="1453" w:type="dxa"/>
            <w:vAlign w:val="center"/>
          </w:tcPr>
          <w:p>
            <w:pPr>
              <w:pStyle w:val="42"/>
              <w:rPr>
                <w:sz w:val="18"/>
                <w:szCs w:val="18"/>
              </w:rPr>
            </w:pPr>
            <w:r>
              <w:rPr>
                <w:rFonts w:hint="eastAsia"/>
                <w:sz w:val="18"/>
                <w:szCs w:val="18"/>
              </w:rPr>
              <w:t>2700</w:t>
            </w:r>
          </w:p>
        </w:tc>
        <w:tc>
          <w:tcPr>
            <w:tcW w:w="1585" w:type="dxa"/>
            <w:gridSpan w:val="2"/>
            <w:vAlign w:val="center"/>
          </w:tcPr>
          <w:p>
            <w:pPr>
              <w:pStyle w:val="42"/>
              <w:rPr>
                <w:sz w:val="18"/>
                <w:szCs w:val="18"/>
              </w:rPr>
            </w:pPr>
            <w:r>
              <w:rPr>
                <w:rFonts w:hint="eastAsia"/>
                <w:sz w:val="18"/>
                <w:szCs w:val="18"/>
              </w:rPr>
              <w:t>学校</w:t>
            </w:r>
          </w:p>
        </w:tc>
        <w:tc>
          <w:tcPr>
            <w:tcW w:w="1429" w:type="dxa"/>
            <w:vAlign w:val="center"/>
          </w:tcPr>
          <w:p>
            <w:pPr>
              <w:pStyle w:val="42"/>
            </w:pPr>
            <w:r>
              <w:rPr>
                <w:sz w:val="18"/>
                <w:szCs w:val="18"/>
              </w:rPr>
              <w:t>师生约2500人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4</w:t>
            </w:r>
          </w:p>
        </w:tc>
        <w:tc>
          <w:tcPr>
            <w:tcW w:w="1719" w:type="dxa"/>
            <w:vAlign w:val="center"/>
          </w:tcPr>
          <w:p>
            <w:pPr>
              <w:pStyle w:val="42"/>
              <w:rPr>
                <w:sz w:val="18"/>
                <w:szCs w:val="18"/>
              </w:rPr>
            </w:pPr>
            <w:r>
              <w:rPr>
                <w:sz w:val="18"/>
                <w:szCs w:val="18"/>
              </w:rPr>
              <w:t>晏家实验小学</w:t>
            </w:r>
          </w:p>
        </w:tc>
        <w:tc>
          <w:tcPr>
            <w:tcW w:w="1190" w:type="dxa"/>
            <w:vAlign w:val="center"/>
          </w:tcPr>
          <w:p>
            <w:pPr>
              <w:pStyle w:val="42"/>
              <w:rPr>
                <w:sz w:val="18"/>
                <w:szCs w:val="18"/>
              </w:rPr>
            </w:pPr>
            <w:r>
              <w:rPr>
                <w:rFonts w:hint="eastAsia"/>
                <w:sz w:val="18"/>
                <w:szCs w:val="18"/>
              </w:rPr>
              <w:t>W</w:t>
            </w:r>
          </w:p>
        </w:tc>
        <w:tc>
          <w:tcPr>
            <w:tcW w:w="1453" w:type="dxa"/>
            <w:vAlign w:val="center"/>
          </w:tcPr>
          <w:p>
            <w:pPr>
              <w:pStyle w:val="42"/>
              <w:rPr>
                <w:sz w:val="18"/>
                <w:szCs w:val="18"/>
              </w:rPr>
            </w:pPr>
            <w:r>
              <w:rPr>
                <w:rFonts w:hint="eastAsia"/>
                <w:sz w:val="18"/>
                <w:szCs w:val="18"/>
              </w:rPr>
              <w:t>2420</w:t>
            </w:r>
          </w:p>
        </w:tc>
        <w:tc>
          <w:tcPr>
            <w:tcW w:w="1585" w:type="dxa"/>
            <w:gridSpan w:val="2"/>
            <w:vAlign w:val="center"/>
          </w:tcPr>
          <w:p>
            <w:pPr>
              <w:pStyle w:val="42"/>
              <w:rPr>
                <w:sz w:val="18"/>
                <w:szCs w:val="18"/>
              </w:rPr>
            </w:pPr>
            <w:r>
              <w:rPr>
                <w:rFonts w:hint="eastAsia"/>
                <w:sz w:val="18"/>
                <w:szCs w:val="18"/>
              </w:rPr>
              <w:t>学校</w:t>
            </w:r>
          </w:p>
        </w:tc>
        <w:tc>
          <w:tcPr>
            <w:tcW w:w="1429" w:type="dxa"/>
            <w:vAlign w:val="center"/>
          </w:tcPr>
          <w:p>
            <w:pPr>
              <w:pStyle w:val="42"/>
            </w:pPr>
            <w:r>
              <w:rPr>
                <w:sz w:val="18"/>
                <w:szCs w:val="18"/>
              </w:rPr>
              <w:t>师生约2600人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5</w:t>
            </w:r>
          </w:p>
        </w:tc>
        <w:tc>
          <w:tcPr>
            <w:tcW w:w="1719" w:type="dxa"/>
            <w:vAlign w:val="center"/>
          </w:tcPr>
          <w:p>
            <w:pPr>
              <w:pStyle w:val="42"/>
              <w:rPr>
                <w:sz w:val="18"/>
                <w:szCs w:val="18"/>
              </w:rPr>
            </w:pPr>
            <w:r>
              <w:rPr>
                <w:rFonts w:hint="eastAsia"/>
                <w:sz w:val="18"/>
                <w:szCs w:val="18"/>
              </w:rPr>
              <w:t>泓原</w:t>
            </w:r>
            <w:r>
              <w:rPr>
                <w:sz w:val="18"/>
                <w:szCs w:val="18"/>
              </w:rPr>
              <w:t>医院</w:t>
            </w:r>
          </w:p>
        </w:tc>
        <w:tc>
          <w:tcPr>
            <w:tcW w:w="1190" w:type="dxa"/>
            <w:vAlign w:val="center"/>
          </w:tcPr>
          <w:p>
            <w:pPr>
              <w:pStyle w:val="42"/>
              <w:rPr>
                <w:sz w:val="18"/>
                <w:szCs w:val="18"/>
              </w:rPr>
            </w:pPr>
            <w:r>
              <w:rPr>
                <w:rFonts w:hint="eastAsia"/>
                <w:sz w:val="18"/>
                <w:szCs w:val="18"/>
              </w:rPr>
              <w:t>W</w:t>
            </w:r>
          </w:p>
        </w:tc>
        <w:tc>
          <w:tcPr>
            <w:tcW w:w="1453" w:type="dxa"/>
            <w:vAlign w:val="center"/>
          </w:tcPr>
          <w:p>
            <w:pPr>
              <w:pStyle w:val="42"/>
              <w:rPr>
                <w:sz w:val="18"/>
                <w:szCs w:val="18"/>
              </w:rPr>
            </w:pPr>
            <w:r>
              <w:rPr>
                <w:rFonts w:hint="eastAsia"/>
                <w:sz w:val="18"/>
                <w:szCs w:val="18"/>
              </w:rPr>
              <w:t>2000</w:t>
            </w:r>
          </w:p>
        </w:tc>
        <w:tc>
          <w:tcPr>
            <w:tcW w:w="1585" w:type="dxa"/>
            <w:gridSpan w:val="2"/>
            <w:vAlign w:val="center"/>
          </w:tcPr>
          <w:p>
            <w:pPr>
              <w:pStyle w:val="42"/>
              <w:rPr>
                <w:sz w:val="18"/>
                <w:szCs w:val="18"/>
              </w:rPr>
            </w:pPr>
            <w:r>
              <w:rPr>
                <w:rFonts w:hint="eastAsia"/>
                <w:sz w:val="18"/>
                <w:szCs w:val="18"/>
              </w:rPr>
              <w:t>医院</w:t>
            </w:r>
          </w:p>
        </w:tc>
        <w:tc>
          <w:tcPr>
            <w:tcW w:w="1429" w:type="dxa"/>
            <w:vAlign w:val="center"/>
          </w:tcPr>
          <w:p>
            <w:pPr>
              <w:pStyle w:val="42"/>
            </w:pPr>
            <w:r>
              <w:rPr>
                <w:sz w:val="18"/>
                <w:szCs w:val="18"/>
              </w:rPr>
              <w:t>床位约50张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6</w:t>
            </w:r>
          </w:p>
        </w:tc>
        <w:tc>
          <w:tcPr>
            <w:tcW w:w="1719" w:type="dxa"/>
            <w:vAlign w:val="center"/>
          </w:tcPr>
          <w:p>
            <w:pPr>
              <w:pStyle w:val="42"/>
              <w:rPr>
                <w:sz w:val="18"/>
                <w:szCs w:val="18"/>
              </w:rPr>
            </w:pPr>
            <w:r>
              <w:rPr>
                <w:rFonts w:hint="eastAsia"/>
                <w:sz w:val="18"/>
                <w:szCs w:val="18"/>
              </w:rPr>
              <w:t>龙口村居民点</w:t>
            </w:r>
          </w:p>
        </w:tc>
        <w:tc>
          <w:tcPr>
            <w:tcW w:w="1190" w:type="dxa"/>
            <w:vAlign w:val="center"/>
          </w:tcPr>
          <w:p>
            <w:pPr>
              <w:pStyle w:val="42"/>
              <w:rPr>
                <w:sz w:val="18"/>
                <w:szCs w:val="18"/>
              </w:rPr>
            </w:pPr>
            <w:r>
              <w:rPr>
                <w:rFonts w:hint="eastAsia"/>
                <w:sz w:val="18"/>
                <w:szCs w:val="18"/>
              </w:rPr>
              <w:t>NWN</w:t>
            </w:r>
          </w:p>
        </w:tc>
        <w:tc>
          <w:tcPr>
            <w:tcW w:w="1453" w:type="dxa"/>
            <w:vAlign w:val="center"/>
          </w:tcPr>
          <w:p>
            <w:pPr>
              <w:pStyle w:val="42"/>
              <w:rPr>
                <w:sz w:val="18"/>
                <w:szCs w:val="18"/>
              </w:rPr>
            </w:pPr>
            <w:r>
              <w:rPr>
                <w:rFonts w:hint="eastAsia"/>
                <w:sz w:val="18"/>
                <w:szCs w:val="18"/>
              </w:rPr>
              <w:t>2300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7</w:t>
            </w:r>
          </w:p>
        </w:tc>
        <w:tc>
          <w:tcPr>
            <w:tcW w:w="1719" w:type="dxa"/>
            <w:vAlign w:val="center"/>
          </w:tcPr>
          <w:p>
            <w:pPr>
              <w:pStyle w:val="42"/>
              <w:rPr>
                <w:sz w:val="18"/>
                <w:szCs w:val="18"/>
              </w:rPr>
            </w:pPr>
            <w:r>
              <w:rPr>
                <w:rFonts w:hint="eastAsia"/>
                <w:sz w:val="18"/>
                <w:szCs w:val="18"/>
              </w:rPr>
              <w:t>观双村居民点</w:t>
            </w:r>
          </w:p>
        </w:tc>
        <w:tc>
          <w:tcPr>
            <w:tcW w:w="1190" w:type="dxa"/>
            <w:vAlign w:val="center"/>
          </w:tcPr>
          <w:p>
            <w:pPr>
              <w:pStyle w:val="42"/>
              <w:rPr>
                <w:sz w:val="18"/>
                <w:szCs w:val="18"/>
              </w:rPr>
            </w:pPr>
            <w:r>
              <w:rPr>
                <w:rFonts w:hint="eastAsia"/>
                <w:sz w:val="18"/>
                <w:szCs w:val="18"/>
              </w:rPr>
              <w:t>N</w:t>
            </w:r>
          </w:p>
        </w:tc>
        <w:tc>
          <w:tcPr>
            <w:tcW w:w="1453" w:type="dxa"/>
            <w:vAlign w:val="center"/>
          </w:tcPr>
          <w:p>
            <w:pPr>
              <w:pStyle w:val="42"/>
              <w:rPr>
                <w:sz w:val="18"/>
                <w:szCs w:val="18"/>
              </w:rPr>
            </w:pPr>
            <w:r>
              <w:rPr>
                <w:rFonts w:hint="eastAsia"/>
                <w:sz w:val="18"/>
                <w:szCs w:val="18"/>
              </w:rPr>
              <w:t>2450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8</w:t>
            </w:r>
          </w:p>
        </w:tc>
        <w:tc>
          <w:tcPr>
            <w:tcW w:w="1719" w:type="dxa"/>
            <w:vAlign w:val="center"/>
          </w:tcPr>
          <w:p>
            <w:pPr>
              <w:pStyle w:val="42"/>
              <w:rPr>
                <w:sz w:val="18"/>
                <w:szCs w:val="18"/>
              </w:rPr>
            </w:pPr>
            <w:r>
              <w:rPr>
                <w:rFonts w:hint="eastAsia"/>
                <w:sz w:val="18"/>
                <w:szCs w:val="18"/>
              </w:rPr>
              <w:t>黄连寺居民点</w:t>
            </w:r>
          </w:p>
        </w:tc>
        <w:tc>
          <w:tcPr>
            <w:tcW w:w="1190" w:type="dxa"/>
            <w:vAlign w:val="center"/>
          </w:tcPr>
          <w:p>
            <w:pPr>
              <w:pStyle w:val="42"/>
              <w:rPr>
                <w:sz w:val="18"/>
                <w:szCs w:val="18"/>
              </w:rPr>
            </w:pPr>
            <w:r>
              <w:rPr>
                <w:rFonts w:hint="eastAsia"/>
                <w:sz w:val="18"/>
                <w:szCs w:val="18"/>
              </w:rPr>
              <w:t>NWN</w:t>
            </w:r>
          </w:p>
        </w:tc>
        <w:tc>
          <w:tcPr>
            <w:tcW w:w="1453" w:type="dxa"/>
            <w:vAlign w:val="center"/>
          </w:tcPr>
          <w:p>
            <w:pPr>
              <w:pStyle w:val="42"/>
              <w:rPr>
                <w:sz w:val="18"/>
                <w:szCs w:val="18"/>
              </w:rPr>
            </w:pPr>
            <w:r>
              <w:rPr>
                <w:rFonts w:hint="eastAsia"/>
                <w:sz w:val="18"/>
                <w:szCs w:val="18"/>
              </w:rPr>
              <w:t>2650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9</w:t>
            </w:r>
          </w:p>
        </w:tc>
        <w:tc>
          <w:tcPr>
            <w:tcW w:w="1719" w:type="dxa"/>
            <w:vAlign w:val="center"/>
          </w:tcPr>
          <w:p>
            <w:pPr>
              <w:pStyle w:val="42"/>
              <w:rPr>
                <w:sz w:val="18"/>
                <w:szCs w:val="18"/>
              </w:rPr>
            </w:pPr>
            <w:r>
              <w:rPr>
                <w:rFonts w:hint="eastAsia"/>
                <w:sz w:val="18"/>
                <w:szCs w:val="18"/>
              </w:rPr>
              <w:t>雷家湾居民点</w:t>
            </w:r>
          </w:p>
        </w:tc>
        <w:tc>
          <w:tcPr>
            <w:tcW w:w="1190" w:type="dxa"/>
            <w:vAlign w:val="center"/>
          </w:tcPr>
          <w:p>
            <w:pPr>
              <w:pStyle w:val="42"/>
              <w:rPr>
                <w:sz w:val="18"/>
                <w:szCs w:val="18"/>
              </w:rPr>
            </w:pPr>
            <w:r>
              <w:rPr>
                <w:rFonts w:hint="eastAsia"/>
                <w:sz w:val="18"/>
                <w:szCs w:val="18"/>
              </w:rPr>
              <w:t>NE</w:t>
            </w:r>
          </w:p>
        </w:tc>
        <w:tc>
          <w:tcPr>
            <w:tcW w:w="1453" w:type="dxa"/>
            <w:vAlign w:val="center"/>
          </w:tcPr>
          <w:p>
            <w:pPr>
              <w:pStyle w:val="42"/>
              <w:rPr>
                <w:sz w:val="18"/>
                <w:szCs w:val="18"/>
              </w:rPr>
            </w:pPr>
            <w:r>
              <w:rPr>
                <w:rFonts w:hint="eastAsia"/>
                <w:sz w:val="18"/>
                <w:szCs w:val="18"/>
              </w:rPr>
              <w:t>3600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10</w:t>
            </w:r>
          </w:p>
        </w:tc>
        <w:tc>
          <w:tcPr>
            <w:tcW w:w="1719" w:type="dxa"/>
            <w:vAlign w:val="center"/>
          </w:tcPr>
          <w:p>
            <w:pPr>
              <w:pStyle w:val="42"/>
              <w:rPr>
                <w:sz w:val="18"/>
                <w:szCs w:val="18"/>
              </w:rPr>
            </w:pPr>
            <w:r>
              <w:rPr>
                <w:rFonts w:hint="eastAsia"/>
                <w:sz w:val="18"/>
                <w:szCs w:val="18"/>
              </w:rPr>
              <w:t>朱家沟居民点</w:t>
            </w:r>
          </w:p>
        </w:tc>
        <w:tc>
          <w:tcPr>
            <w:tcW w:w="1190" w:type="dxa"/>
            <w:vAlign w:val="center"/>
          </w:tcPr>
          <w:p>
            <w:pPr>
              <w:pStyle w:val="42"/>
              <w:rPr>
                <w:sz w:val="18"/>
                <w:szCs w:val="18"/>
              </w:rPr>
            </w:pPr>
            <w:r>
              <w:rPr>
                <w:rFonts w:hint="eastAsia"/>
                <w:sz w:val="18"/>
                <w:szCs w:val="18"/>
              </w:rPr>
              <w:t>NE</w:t>
            </w:r>
          </w:p>
        </w:tc>
        <w:tc>
          <w:tcPr>
            <w:tcW w:w="1453" w:type="dxa"/>
            <w:vAlign w:val="center"/>
          </w:tcPr>
          <w:p>
            <w:pPr>
              <w:pStyle w:val="42"/>
              <w:rPr>
                <w:sz w:val="18"/>
                <w:szCs w:val="18"/>
              </w:rPr>
            </w:pPr>
            <w:r>
              <w:rPr>
                <w:rFonts w:hint="eastAsia"/>
                <w:sz w:val="18"/>
                <w:szCs w:val="18"/>
              </w:rPr>
              <w:t>4000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11</w:t>
            </w:r>
          </w:p>
        </w:tc>
        <w:tc>
          <w:tcPr>
            <w:tcW w:w="1719" w:type="dxa"/>
            <w:vAlign w:val="center"/>
          </w:tcPr>
          <w:p>
            <w:pPr>
              <w:pStyle w:val="42"/>
              <w:rPr>
                <w:sz w:val="18"/>
                <w:szCs w:val="18"/>
              </w:rPr>
            </w:pPr>
            <w:r>
              <w:rPr>
                <w:rFonts w:hint="eastAsia"/>
                <w:sz w:val="18"/>
                <w:szCs w:val="18"/>
              </w:rPr>
              <w:t>龙潭村居民点</w:t>
            </w:r>
          </w:p>
        </w:tc>
        <w:tc>
          <w:tcPr>
            <w:tcW w:w="1190" w:type="dxa"/>
            <w:vAlign w:val="center"/>
          </w:tcPr>
          <w:p>
            <w:pPr>
              <w:pStyle w:val="42"/>
              <w:rPr>
                <w:sz w:val="18"/>
                <w:szCs w:val="18"/>
              </w:rPr>
            </w:pPr>
            <w:r>
              <w:rPr>
                <w:rFonts w:hint="eastAsia"/>
                <w:sz w:val="18"/>
                <w:szCs w:val="18"/>
              </w:rPr>
              <w:t>ENE</w:t>
            </w:r>
          </w:p>
        </w:tc>
        <w:tc>
          <w:tcPr>
            <w:tcW w:w="1453" w:type="dxa"/>
            <w:vAlign w:val="center"/>
          </w:tcPr>
          <w:p>
            <w:pPr>
              <w:pStyle w:val="42"/>
              <w:rPr>
                <w:sz w:val="18"/>
                <w:szCs w:val="18"/>
              </w:rPr>
            </w:pPr>
            <w:r>
              <w:rPr>
                <w:rFonts w:hint="eastAsia"/>
                <w:sz w:val="18"/>
                <w:szCs w:val="18"/>
              </w:rPr>
              <w:t>3650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约180人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12</w:t>
            </w:r>
          </w:p>
        </w:tc>
        <w:tc>
          <w:tcPr>
            <w:tcW w:w="1719" w:type="dxa"/>
            <w:vAlign w:val="center"/>
          </w:tcPr>
          <w:p>
            <w:pPr>
              <w:pStyle w:val="42"/>
              <w:rPr>
                <w:sz w:val="18"/>
                <w:szCs w:val="18"/>
              </w:rPr>
            </w:pPr>
            <w:r>
              <w:rPr>
                <w:rFonts w:hint="eastAsia"/>
                <w:sz w:val="18"/>
                <w:szCs w:val="18"/>
              </w:rPr>
              <w:t>迎风场居民区</w:t>
            </w:r>
          </w:p>
        </w:tc>
        <w:tc>
          <w:tcPr>
            <w:tcW w:w="1190" w:type="dxa"/>
            <w:vAlign w:val="center"/>
          </w:tcPr>
          <w:p>
            <w:pPr>
              <w:pStyle w:val="42"/>
              <w:rPr>
                <w:sz w:val="18"/>
                <w:szCs w:val="18"/>
              </w:rPr>
            </w:pPr>
            <w:r>
              <w:rPr>
                <w:rFonts w:hint="eastAsia"/>
                <w:sz w:val="18"/>
                <w:szCs w:val="18"/>
              </w:rPr>
              <w:t>SE</w:t>
            </w:r>
          </w:p>
        </w:tc>
        <w:tc>
          <w:tcPr>
            <w:tcW w:w="1453" w:type="dxa"/>
            <w:vAlign w:val="center"/>
          </w:tcPr>
          <w:p>
            <w:pPr>
              <w:pStyle w:val="42"/>
              <w:rPr>
                <w:sz w:val="18"/>
                <w:szCs w:val="18"/>
              </w:rPr>
            </w:pPr>
            <w:r>
              <w:rPr>
                <w:rFonts w:hint="eastAsia"/>
                <w:sz w:val="18"/>
                <w:szCs w:val="18"/>
              </w:rPr>
              <w:t>3970</w:t>
            </w:r>
          </w:p>
        </w:tc>
        <w:tc>
          <w:tcPr>
            <w:tcW w:w="1585" w:type="dxa"/>
            <w:gridSpan w:val="2"/>
            <w:vAlign w:val="center"/>
          </w:tcPr>
          <w:p>
            <w:pPr>
              <w:pStyle w:val="42"/>
              <w:rPr>
                <w:sz w:val="18"/>
                <w:szCs w:val="18"/>
              </w:rPr>
            </w:pPr>
            <w:r>
              <w:rPr>
                <w:rFonts w:hint="eastAsia"/>
                <w:sz w:val="18"/>
                <w:szCs w:val="18"/>
              </w:rPr>
              <w:t>居民区</w:t>
            </w:r>
          </w:p>
        </w:tc>
        <w:tc>
          <w:tcPr>
            <w:tcW w:w="1429" w:type="dxa"/>
            <w:vAlign w:val="center"/>
          </w:tcPr>
          <w:p>
            <w:pPr>
              <w:pStyle w:val="42"/>
            </w:pPr>
            <w:r>
              <w:rPr>
                <w:sz w:val="18"/>
                <w:szCs w:val="18"/>
              </w:rPr>
              <w:t>约300户，1000人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w:t>
            </w:r>
            <w:r>
              <w:rPr>
                <w:rFonts w:hint="eastAsia"/>
              </w:rPr>
              <w:t>3</w:t>
            </w:r>
          </w:p>
        </w:tc>
        <w:tc>
          <w:tcPr>
            <w:tcW w:w="1719" w:type="dxa"/>
            <w:vAlign w:val="center"/>
          </w:tcPr>
          <w:p>
            <w:pPr>
              <w:pStyle w:val="42"/>
              <w:rPr>
                <w:sz w:val="18"/>
                <w:szCs w:val="18"/>
              </w:rPr>
            </w:pPr>
            <w:r>
              <w:rPr>
                <w:sz w:val="18"/>
                <w:szCs w:val="18"/>
              </w:rPr>
              <w:t>川维厂家属区</w:t>
            </w:r>
          </w:p>
        </w:tc>
        <w:tc>
          <w:tcPr>
            <w:tcW w:w="1190" w:type="dxa"/>
            <w:vAlign w:val="center"/>
          </w:tcPr>
          <w:p>
            <w:pPr>
              <w:pStyle w:val="42"/>
              <w:rPr>
                <w:sz w:val="18"/>
                <w:szCs w:val="18"/>
              </w:rPr>
            </w:pPr>
            <w:r>
              <w:rPr>
                <w:rFonts w:hint="eastAsia"/>
                <w:sz w:val="18"/>
                <w:szCs w:val="18"/>
              </w:rPr>
              <w:t>SE</w:t>
            </w:r>
          </w:p>
        </w:tc>
        <w:tc>
          <w:tcPr>
            <w:tcW w:w="1453" w:type="dxa"/>
            <w:vAlign w:val="center"/>
          </w:tcPr>
          <w:p>
            <w:pPr>
              <w:pStyle w:val="42"/>
              <w:rPr>
                <w:sz w:val="18"/>
                <w:szCs w:val="18"/>
              </w:rPr>
            </w:pPr>
            <w:r>
              <w:rPr>
                <w:rFonts w:hint="eastAsia"/>
                <w:sz w:val="18"/>
                <w:szCs w:val="18"/>
              </w:rPr>
              <w:t>4900</w:t>
            </w:r>
          </w:p>
        </w:tc>
        <w:tc>
          <w:tcPr>
            <w:tcW w:w="1585" w:type="dxa"/>
            <w:gridSpan w:val="2"/>
            <w:vAlign w:val="center"/>
          </w:tcPr>
          <w:p>
            <w:pPr>
              <w:pStyle w:val="42"/>
              <w:rPr>
                <w:sz w:val="18"/>
                <w:szCs w:val="18"/>
              </w:rPr>
            </w:pPr>
            <w:r>
              <w:rPr>
                <w:rFonts w:hint="eastAsia"/>
                <w:sz w:val="18"/>
                <w:szCs w:val="18"/>
              </w:rPr>
              <w:t>居民区</w:t>
            </w:r>
          </w:p>
        </w:tc>
        <w:tc>
          <w:tcPr>
            <w:tcW w:w="1429" w:type="dxa"/>
            <w:vAlign w:val="center"/>
          </w:tcPr>
          <w:p>
            <w:pPr>
              <w:pStyle w:val="42"/>
            </w:pPr>
            <w:r>
              <w:rPr>
                <w:sz w:val="18"/>
                <w:szCs w:val="18"/>
              </w:rPr>
              <w:t>约</w:t>
            </w:r>
            <w:r>
              <w:rPr>
                <w:rFonts w:hint="eastAsia"/>
                <w:sz w:val="18"/>
                <w:szCs w:val="18"/>
              </w:rPr>
              <w:t>56</w:t>
            </w:r>
            <w:r>
              <w:rPr>
                <w:sz w:val="18"/>
                <w:szCs w:val="18"/>
              </w:rPr>
              <w:t>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rPr>
                <w:rFonts w:hint="eastAsia"/>
              </w:rPr>
              <w:t>14</w:t>
            </w:r>
          </w:p>
        </w:tc>
        <w:tc>
          <w:tcPr>
            <w:tcW w:w="1719" w:type="dxa"/>
            <w:vAlign w:val="center"/>
          </w:tcPr>
          <w:p>
            <w:pPr>
              <w:pStyle w:val="42"/>
              <w:rPr>
                <w:sz w:val="18"/>
                <w:szCs w:val="18"/>
              </w:rPr>
            </w:pPr>
            <w:r>
              <w:rPr>
                <w:sz w:val="18"/>
                <w:szCs w:val="18"/>
              </w:rPr>
              <w:t>长寿</w:t>
            </w:r>
            <w:r>
              <w:rPr>
                <w:rFonts w:hint="eastAsia"/>
                <w:sz w:val="18"/>
                <w:szCs w:val="18"/>
              </w:rPr>
              <w:t>化工</w:t>
            </w:r>
            <w:r>
              <w:rPr>
                <w:sz w:val="18"/>
                <w:szCs w:val="18"/>
              </w:rPr>
              <w:t>园区医院</w:t>
            </w:r>
          </w:p>
        </w:tc>
        <w:tc>
          <w:tcPr>
            <w:tcW w:w="1190" w:type="dxa"/>
            <w:vAlign w:val="center"/>
          </w:tcPr>
          <w:p>
            <w:pPr>
              <w:pStyle w:val="42"/>
              <w:rPr>
                <w:sz w:val="18"/>
                <w:szCs w:val="18"/>
              </w:rPr>
            </w:pPr>
            <w:r>
              <w:rPr>
                <w:rFonts w:hint="eastAsia"/>
                <w:sz w:val="18"/>
                <w:szCs w:val="18"/>
              </w:rPr>
              <w:t>SE</w:t>
            </w:r>
          </w:p>
        </w:tc>
        <w:tc>
          <w:tcPr>
            <w:tcW w:w="1453" w:type="dxa"/>
            <w:vAlign w:val="center"/>
          </w:tcPr>
          <w:p>
            <w:pPr>
              <w:pStyle w:val="42"/>
              <w:rPr>
                <w:sz w:val="18"/>
                <w:szCs w:val="18"/>
              </w:rPr>
            </w:pPr>
            <w:r>
              <w:rPr>
                <w:rFonts w:hint="eastAsia"/>
                <w:sz w:val="18"/>
                <w:szCs w:val="18"/>
              </w:rPr>
              <w:t>4900</w:t>
            </w:r>
          </w:p>
        </w:tc>
        <w:tc>
          <w:tcPr>
            <w:tcW w:w="1585" w:type="dxa"/>
            <w:gridSpan w:val="2"/>
            <w:vAlign w:val="center"/>
          </w:tcPr>
          <w:p>
            <w:pPr>
              <w:pStyle w:val="42"/>
              <w:rPr>
                <w:sz w:val="18"/>
                <w:szCs w:val="18"/>
              </w:rPr>
            </w:pPr>
            <w:r>
              <w:rPr>
                <w:rFonts w:hint="eastAsia"/>
                <w:sz w:val="18"/>
                <w:szCs w:val="18"/>
              </w:rPr>
              <w:t>医院</w:t>
            </w:r>
          </w:p>
        </w:tc>
        <w:tc>
          <w:tcPr>
            <w:tcW w:w="1429" w:type="dxa"/>
            <w:vAlign w:val="center"/>
          </w:tcPr>
          <w:p>
            <w:pPr>
              <w:pStyle w:val="42"/>
              <w:rPr>
                <w:szCs w:val="21"/>
              </w:rPr>
            </w:pPr>
            <w:r>
              <w:rPr>
                <w:sz w:val="18"/>
                <w:szCs w:val="18"/>
              </w:rPr>
              <w:t>床位约300张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rPr>
                <w:rFonts w:hint="eastAsia"/>
              </w:rPr>
              <w:t>15</w:t>
            </w:r>
          </w:p>
        </w:tc>
        <w:tc>
          <w:tcPr>
            <w:tcW w:w="1719" w:type="dxa"/>
            <w:vAlign w:val="center"/>
          </w:tcPr>
          <w:p>
            <w:pPr>
              <w:pStyle w:val="42"/>
              <w:rPr>
                <w:sz w:val="18"/>
                <w:szCs w:val="18"/>
              </w:rPr>
            </w:pPr>
            <w:r>
              <w:rPr>
                <w:sz w:val="18"/>
                <w:szCs w:val="18"/>
              </w:rPr>
              <w:t>王家湾</w:t>
            </w:r>
            <w:r>
              <w:rPr>
                <w:rFonts w:hint="eastAsia"/>
                <w:sz w:val="18"/>
                <w:szCs w:val="18"/>
              </w:rPr>
              <w:t>居民点</w:t>
            </w:r>
          </w:p>
        </w:tc>
        <w:tc>
          <w:tcPr>
            <w:tcW w:w="1190" w:type="dxa"/>
            <w:vAlign w:val="center"/>
          </w:tcPr>
          <w:p>
            <w:pPr>
              <w:pStyle w:val="42"/>
              <w:rPr>
                <w:sz w:val="18"/>
                <w:szCs w:val="18"/>
              </w:rPr>
            </w:pPr>
            <w:r>
              <w:rPr>
                <w:rFonts w:hint="eastAsia"/>
                <w:sz w:val="18"/>
                <w:szCs w:val="18"/>
              </w:rPr>
              <w:t>S</w:t>
            </w:r>
          </w:p>
        </w:tc>
        <w:tc>
          <w:tcPr>
            <w:tcW w:w="1453" w:type="dxa"/>
            <w:vAlign w:val="center"/>
          </w:tcPr>
          <w:p>
            <w:pPr>
              <w:pStyle w:val="42"/>
              <w:rPr>
                <w:sz w:val="18"/>
                <w:szCs w:val="18"/>
              </w:rPr>
            </w:pPr>
            <w:r>
              <w:rPr>
                <w:rFonts w:hint="eastAsia"/>
                <w:sz w:val="18"/>
                <w:szCs w:val="18"/>
              </w:rPr>
              <w:t>4750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rPr>
                <w:szCs w:val="21"/>
              </w:rPr>
            </w:pPr>
            <w:r>
              <w:rPr>
                <w:sz w:val="18"/>
                <w:szCs w:val="18"/>
              </w:rPr>
              <w:t>约</w:t>
            </w:r>
            <w:r>
              <w:rPr>
                <w:rFonts w:hint="eastAsia"/>
                <w:sz w:val="18"/>
                <w:szCs w:val="18"/>
              </w:rPr>
              <w:t>7</w:t>
            </w:r>
            <w:r>
              <w:rPr>
                <w:sz w:val="18"/>
                <w:szCs w:val="18"/>
              </w:rPr>
              <w:t>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rPr>
                <w:rFonts w:hint="eastAsia"/>
              </w:rPr>
              <w:t>16</w:t>
            </w:r>
          </w:p>
        </w:tc>
        <w:tc>
          <w:tcPr>
            <w:tcW w:w="1719" w:type="dxa"/>
            <w:vAlign w:val="center"/>
          </w:tcPr>
          <w:p>
            <w:pPr>
              <w:pStyle w:val="42"/>
              <w:rPr>
                <w:sz w:val="18"/>
                <w:szCs w:val="18"/>
              </w:rPr>
            </w:pPr>
            <w:r>
              <w:rPr>
                <w:rFonts w:hint="eastAsia"/>
                <w:sz w:val="18"/>
                <w:szCs w:val="18"/>
              </w:rPr>
              <w:t>傅</w:t>
            </w:r>
            <w:r>
              <w:rPr>
                <w:sz w:val="18"/>
                <w:szCs w:val="18"/>
              </w:rPr>
              <w:t>家湾</w:t>
            </w:r>
            <w:r>
              <w:rPr>
                <w:rFonts w:hint="eastAsia"/>
                <w:sz w:val="18"/>
                <w:szCs w:val="18"/>
              </w:rPr>
              <w:t>居民点</w:t>
            </w:r>
          </w:p>
        </w:tc>
        <w:tc>
          <w:tcPr>
            <w:tcW w:w="1190" w:type="dxa"/>
            <w:vAlign w:val="center"/>
          </w:tcPr>
          <w:p>
            <w:pPr>
              <w:pStyle w:val="42"/>
              <w:rPr>
                <w:sz w:val="18"/>
                <w:szCs w:val="18"/>
              </w:rPr>
            </w:pPr>
            <w:r>
              <w:rPr>
                <w:rFonts w:hint="eastAsia"/>
                <w:sz w:val="18"/>
                <w:szCs w:val="18"/>
              </w:rPr>
              <w:t>S</w:t>
            </w:r>
          </w:p>
        </w:tc>
        <w:tc>
          <w:tcPr>
            <w:tcW w:w="1453" w:type="dxa"/>
            <w:vAlign w:val="center"/>
          </w:tcPr>
          <w:p>
            <w:pPr>
              <w:pStyle w:val="42"/>
              <w:rPr>
                <w:sz w:val="18"/>
                <w:szCs w:val="18"/>
              </w:rPr>
            </w:pPr>
            <w:r>
              <w:rPr>
                <w:rFonts w:hint="eastAsia"/>
                <w:sz w:val="18"/>
                <w:szCs w:val="18"/>
              </w:rPr>
              <w:t>4970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rPr>
                <w:szCs w:val="21"/>
              </w:rPr>
            </w:pPr>
            <w:r>
              <w:rPr>
                <w:sz w:val="18"/>
                <w:szCs w:val="18"/>
              </w:rPr>
              <w:t>约</w:t>
            </w:r>
            <w:r>
              <w:rPr>
                <w:rFonts w:hint="eastAsia"/>
                <w:sz w:val="18"/>
                <w:szCs w:val="18"/>
              </w:rPr>
              <w:t>12</w:t>
            </w:r>
            <w:r>
              <w:rPr>
                <w:sz w:val="18"/>
                <w:szCs w:val="18"/>
              </w:rPr>
              <w:t>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rPr>
                <w:rFonts w:hint="eastAsia"/>
              </w:rPr>
              <w:t>17</w:t>
            </w:r>
          </w:p>
        </w:tc>
        <w:tc>
          <w:tcPr>
            <w:tcW w:w="1719" w:type="dxa"/>
            <w:vAlign w:val="center"/>
          </w:tcPr>
          <w:p>
            <w:pPr>
              <w:pStyle w:val="42"/>
              <w:rPr>
                <w:sz w:val="18"/>
                <w:szCs w:val="18"/>
              </w:rPr>
            </w:pPr>
            <w:r>
              <w:rPr>
                <w:rFonts w:hint="eastAsia"/>
                <w:sz w:val="18"/>
                <w:szCs w:val="18"/>
              </w:rPr>
              <w:t>罗家沟居民点</w:t>
            </w:r>
          </w:p>
        </w:tc>
        <w:tc>
          <w:tcPr>
            <w:tcW w:w="1190" w:type="dxa"/>
            <w:vAlign w:val="center"/>
          </w:tcPr>
          <w:p>
            <w:pPr>
              <w:pStyle w:val="42"/>
              <w:rPr>
                <w:sz w:val="18"/>
                <w:szCs w:val="18"/>
              </w:rPr>
            </w:pPr>
            <w:r>
              <w:rPr>
                <w:rFonts w:hint="eastAsia"/>
                <w:sz w:val="18"/>
                <w:szCs w:val="18"/>
              </w:rPr>
              <w:t>WSW</w:t>
            </w:r>
          </w:p>
        </w:tc>
        <w:tc>
          <w:tcPr>
            <w:tcW w:w="1453" w:type="dxa"/>
            <w:vAlign w:val="center"/>
          </w:tcPr>
          <w:p>
            <w:pPr>
              <w:pStyle w:val="42"/>
              <w:rPr>
                <w:sz w:val="18"/>
                <w:szCs w:val="18"/>
              </w:rPr>
            </w:pPr>
            <w:r>
              <w:rPr>
                <w:rFonts w:hint="eastAsia"/>
                <w:sz w:val="18"/>
                <w:szCs w:val="18"/>
              </w:rPr>
              <w:t>5000</w:t>
            </w:r>
          </w:p>
        </w:tc>
        <w:tc>
          <w:tcPr>
            <w:tcW w:w="1585" w:type="dxa"/>
            <w:gridSpan w:val="2"/>
            <w:vAlign w:val="center"/>
          </w:tcPr>
          <w:p>
            <w:pPr>
              <w:pStyle w:val="42"/>
              <w:rPr>
                <w:sz w:val="18"/>
                <w:szCs w:val="18"/>
              </w:rPr>
            </w:pPr>
            <w:r>
              <w:rPr>
                <w:rFonts w:hint="eastAsia"/>
                <w:sz w:val="18"/>
                <w:szCs w:val="18"/>
              </w:rPr>
              <w:t>居民点</w:t>
            </w:r>
          </w:p>
        </w:tc>
        <w:tc>
          <w:tcPr>
            <w:tcW w:w="1429" w:type="dxa"/>
            <w:vAlign w:val="center"/>
          </w:tcPr>
          <w:p>
            <w:pPr>
              <w:pStyle w:val="42"/>
            </w:pPr>
            <w:r>
              <w:rPr>
                <w:rFonts w:hint="eastAsia"/>
                <w:sz w:val="18"/>
                <w:szCs w:val="18"/>
              </w:rPr>
              <w:t>约50人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6419" w:type="dxa"/>
            <w:gridSpan w:val="6"/>
            <w:vAlign w:val="center"/>
          </w:tcPr>
          <w:p>
            <w:pPr>
              <w:pStyle w:val="42"/>
            </w:pPr>
            <w:r>
              <w:t>厂址周边500m范围人口数小计</w:t>
            </w:r>
          </w:p>
        </w:tc>
        <w:tc>
          <w:tcPr>
            <w:tcW w:w="1429" w:type="dxa"/>
            <w:vAlign w:val="center"/>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6419" w:type="dxa"/>
            <w:gridSpan w:val="6"/>
            <w:vAlign w:val="center"/>
          </w:tcPr>
          <w:p>
            <w:pPr>
              <w:pStyle w:val="42"/>
            </w:pPr>
            <w:r>
              <w:t>厂址周边5km范围内人口数小计</w:t>
            </w:r>
          </w:p>
        </w:tc>
        <w:tc>
          <w:tcPr>
            <w:tcW w:w="1429" w:type="dxa"/>
            <w:vAlign w:val="center"/>
          </w:tcPr>
          <w:p>
            <w:pPr>
              <w:pStyle w:val="42"/>
            </w:pPr>
            <w:r>
              <w:t>约</w:t>
            </w:r>
            <w:r>
              <w:rPr>
                <w:rFonts w:hint="eastAsia" w:ascii="宋体" w:hAnsi="宋体"/>
              </w:rPr>
              <w:t>＞</w:t>
            </w:r>
            <w:r>
              <w:rPr>
                <w:rFonts w:hint="eastAsia"/>
              </w:rPr>
              <w:t>5</w:t>
            </w:r>
            <w: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6419" w:type="dxa"/>
            <w:gridSpan w:val="6"/>
            <w:vAlign w:val="center"/>
          </w:tcPr>
          <w:p>
            <w:pPr>
              <w:pStyle w:val="42"/>
            </w:pPr>
            <w:r>
              <w:t>大气环境敏感程度E值</w:t>
            </w:r>
          </w:p>
        </w:tc>
        <w:tc>
          <w:tcPr>
            <w:tcW w:w="1429" w:type="dxa"/>
            <w:vAlign w:val="center"/>
          </w:tcPr>
          <w:p>
            <w:pPr>
              <w:pStyle w:val="42"/>
            </w:pPr>
            <w: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restart"/>
            <w:tcBorders>
              <w:left w:val="single" w:color="auto" w:sz="4" w:space="0"/>
            </w:tcBorders>
            <w:vAlign w:val="center"/>
          </w:tcPr>
          <w:p>
            <w:pPr>
              <w:pStyle w:val="42"/>
            </w:pPr>
            <w:r>
              <w:t>地表水</w:t>
            </w:r>
          </w:p>
        </w:tc>
        <w:tc>
          <w:tcPr>
            <w:tcW w:w="7848" w:type="dxa"/>
            <w:gridSpan w:val="7"/>
            <w:vAlign w:val="center"/>
          </w:tcPr>
          <w:p>
            <w:pPr>
              <w:pStyle w:val="42"/>
            </w:pPr>
            <w: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序号</w:t>
            </w:r>
          </w:p>
        </w:tc>
        <w:tc>
          <w:tcPr>
            <w:tcW w:w="2909" w:type="dxa"/>
            <w:gridSpan w:val="2"/>
            <w:vAlign w:val="center"/>
          </w:tcPr>
          <w:p>
            <w:pPr>
              <w:pStyle w:val="42"/>
            </w:pPr>
            <w:r>
              <w:t>受纳水体名称</w:t>
            </w:r>
          </w:p>
        </w:tc>
        <w:tc>
          <w:tcPr>
            <w:tcW w:w="2542" w:type="dxa"/>
            <w:gridSpan w:val="2"/>
            <w:vAlign w:val="center"/>
          </w:tcPr>
          <w:p>
            <w:pPr>
              <w:pStyle w:val="42"/>
            </w:pPr>
            <w:r>
              <w:t>排放点水域功能</w:t>
            </w:r>
          </w:p>
        </w:tc>
        <w:tc>
          <w:tcPr>
            <w:tcW w:w="1925" w:type="dxa"/>
            <w:gridSpan w:val="2"/>
            <w:vAlign w:val="center"/>
          </w:tcPr>
          <w:p>
            <w:pPr>
              <w:pStyle w:val="42"/>
            </w:pPr>
            <w:r>
              <w:t>24h内流经范围/Km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w:t>
            </w:r>
          </w:p>
        </w:tc>
        <w:tc>
          <w:tcPr>
            <w:tcW w:w="2909" w:type="dxa"/>
            <w:gridSpan w:val="2"/>
            <w:vAlign w:val="center"/>
          </w:tcPr>
          <w:p>
            <w:pPr>
              <w:pStyle w:val="42"/>
            </w:pPr>
            <w:r>
              <w:t>长江</w:t>
            </w:r>
          </w:p>
        </w:tc>
        <w:tc>
          <w:tcPr>
            <w:tcW w:w="2542" w:type="dxa"/>
            <w:gridSpan w:val="2"/>
            <w:vAlign w:val="center"/>
          </w:tcPr>
          <w:p>
            <w:pPr>
              <w:pStyle w:val="42"/>
            </w:pPr>
            <w:r>
              <w:rPr>
                <w:rFonts w:hint="eastAsia" w:ascii="宋体" w:hAnsi="宋体"/>
              </w:rPr>
              <w:t>Ⅲ</w:t>
            </w:r>
            <w:r>
              <w:t>类</w:t>
            </w:r>
          </w:p>
        </w:tc>
        <w:tc>
          <w:tcPr>
            <w:tcW w:w="1925" w:type="dxa"/>
            <w:gridSpan w:val="2"/>
            <w:vAlign w:val="center"/>
          </w:tcPr>
          <w:p>
            <w:pPr>
              <w:pStyle w:val="42"/>
            </w:pPr>
            <w:r>
              <w:t>未跨省界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7848" w:type="dxa"/>
            <w:gridSpan w:val="7"/>
            <w:vAlign w:val="center"/>
          </w:tcPr>
          <w:p>
            <w:pPr>
              <w:pStyle w:val="42"/>
            </w:pPr>
            <w:r>
              <w:t>内陆水体排放点下游10km范围内敏感目标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序号</w:t>
            </w:r>
          </w:p>
        </w:tc>
        <w:tc>
          <w:tcPr>
            <w:tcW w:w="2909" w:type="dxa"/>
            <w:gridSpan w:val="2"/>
            <w:vAlign w:val="center"/>
          </w:tcPr>
          <w:p>
            <w:pPr>
              <w:pStyle w:val="42"/>
            </w:pPr>
            <w:r>
              <w:t>敏感点名称</w:t>
            </w:r>
          </w:p>
        </w:tc>
        <w:tc>
          <w:tcPr>
            <w:tcW w:w="1453" w:type="dxa"/>
            <w:vAlign w:val="center"/>
          </w:tcPr>
          <w:p>
            <w:pPr>
              <w:pStyle w:val="42"/>
            </w:pPr>
            <w:r>
              <w:t>环境敏感特征</w:t>
            </w:r>
          </w:p>
        </w:tc>
        <w:tc>
          <w:tcPr>
            <w:tcW w:w="1089" w:type="dxa"/>
            <w:vAlign w:val="center"/>
          </w:tcPr>
          <w:p>
            <w:pPr>
              <w:pStyle w:val="42"/>
            </w:pPr>
            <w:r>
              <w:t>水质目标</w:t>
            </w:r>
          </w:p>
        </w:tc>
        <w:tc>
          <w:tcPr>
            <w:tcW w:w="1925" w:type="dxa"/>
            <w:gridSpan w:val="2"/>
            <w:vAlign w:val="center"/>
          </w:tcPr>
          <w:p>
            <w:pPr>
              <w:pStyle w:val="42"/>
            </w:pPr>
            <w:r>
              <w:t>与排放点距离/m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w:t>
            </w:r>
          </w:p>
        </w:tc>
        <w:tc>
          <w:tcPr>
            <w:tcW w:w="2909" w:type="dxa"/>
            <w:gridSpan w:val="2"/>
            <w:vAlign w:val="center"/>
          </w:tcPr>
          <w:p>
            <w:pPr>
              <w:pStyle w:val="42"/>
            </w:pPr>
            <w:r>
              <w:t>川染能源公司取水点（生产2700m</w:t>
            </w:r>
            <w:r>
              <w:rPr>
                <w:vertAlign w:val="superscript"/>
              </w:rPr>
              <w:t>3</w:t>
            </w:r>
            <w:r>
              <w:t>/d）</w:t>
            </w:r>
          </w:p>
        </w:tc>
        <w:tc>
          <w:tcPr>
            <w:tcW w:w="1453" w:type="dxa"/>
            <w:vAlign w:val="center"/>
          </w:tcPr>
          <w:p>
            <w:pPr>
              <w:pStyle w:val="42"/>
            </w:pPr>
            <w:r>
              <w:t>生产用水</w:t>
            </w:r>
          </w:p>
        </w:tc>
        <w:tc>
          <w:tcPr>
            <w:tcW w:w="1089" w:type="dxa"/>
            <w:vAlign w:val="center"/>
          </w:tcPr>
          <w:p>
            <w:pPr>
              <w:pStyle w:val="42"/>
            </w:pPr>
            <w:r>
              <w:rPr>
                <w:rFonts w:hint="eastAsia" w:ascii="宋体" w:hAnsi="宋体"/>
              </w:rPr>
              <w:t>Ⅲ</w:t>
            </w:r>
            <w:r>
              <w:t>类</w:t>
            </w:r>
          </w:p>
        </w:tc>
        <w:tc>
          <w:tcPr>
            <w:tcW w:w="1925" w:type="dxa"/>
            <w:gridSpan w:val="2"/>
            <w:vAlign w:val="center"/>
          </w:tcPr>
          <w:p>
            <w:pPr>
              <w:pStyle w:val="42"/>
            </w:pPr>
            <w:r>
              <w:t>中法污水厂排口下游同侧约0.8km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2</w:t>
            </w:r>
          </w:p>
        </w:tc>
        <w:tc>
          <w:tcPr>
            <w:tcW w:w="2909" w:type="dxa"/>
            <w:gridSpan w:val="2"/>
            <w:vAlign w:val="center"/>
          </w:tcPr>
          <w:p>
            <w:pPr>
              <w:pStyle w:val="42"/>
            </w:pPr>
            <w:r>
              <w:t>长寿化工厂取水点（生产30000m</w:t>
            </w:r>
            <w:r>
              <w:rPr>
                <w:vertAlign w:val="superscript"/>
              </w:rPr>
              <w:t>3</w:t>
            </w:r>
            <w:r>
              <w:t>/d）</w:t>
            </w:r>
          </w:p>
        </w:tc>
        <w:tc>
          <w:tcPr>
            <w:tcW w:w="1453" w:type="dxa"/>
            <w:vAlign w:val="center"/>
          </w:tcPr>
          <w:p>
            <w:pPr>
              <w:pStyle w:val="42"/>
            </w:pPr>
            <w:r>
              <w:t>生产用水</w:t>
            </w:r>
          </w:p>
        </w:tc>
        <w:tc>
          <w:tcPr>
            <w:tcW w:w="1089" w:type="dxa"/>
            <w:vAlign w:val="center"/>
          </w:tcPr>
          <w:p>
            <w:pPr>
              <w:pStyle w:val="42"/>
            </w:pPr>
            <w:r>
              <w:rPr>
                <w:rFonts w:hint="eastAsia" w:ascii="宋体" w:hAnsi="宋体"/>
              </w:rPr>
              <w:t>Ⅲ</w:t>
            </w:r>
            <w:r>
              <w:t>类</w:t>
            </w:r>
          </w:p>
        </w:tc>
        <w:tc>
          <w:tcPr>
            <w:tcW w:w="1925" w:type="dxa"/>
            <w:gridSpan w:val="2"/>
            <w:vAlign w:val="center"/>
          </w:tcPr>
          <w:p>
            <w:pPr>
              <w:pStyle w:val="42"/>
            </w:pPr>
            <w:r>
              <w:t>中法污水厂排口下游同侧约4.5km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3</w:t>
            </w:r>
          </w:p>
        </w:tc>
        <w:tc>
          <w:tcPr>
            <w:tcW w:w="2909" w:type="dxa"/>
            <w:gridSpan w:val="2"/>
            <w:vAlign w:val="center"/>
          </w:tcPr>
          <w:p>
            <w:pPr>
              <w:pStyle w:val="42"/>
            </w:pPr>
            <w:r>
              <w:t>三灵化肥厂取水点（生产3300m</w:t>
            </w:r>
            <w:r>
              <w:rPr>
                <w:vertAlign w:val="superscript"/>
              </w:rPr>
              <w:t>3</w:t>
            </w:r>
            <w:r>
              <w:t>/d）</w:t>
            </w:r>
          </w:p>
        </w:tc>
        <w:tc>
          <w:tcPr>
            <w:tcW w:w="1453" w:type="dxa"/>
            <w:vAlign w:val="center"/>
          </w:tcPr>
          <w:p>
            <w:pPr>
              <w:pStyle w:val="42"/>
            </w:pPr>
            <w:r>
              <w:t>生产用水</w:t>
            </w:r>
          </w:p>
        </w:tc>
        <w:tc>
          <w:tcPr>
            <w:tcW w:w="1089" w:type="dxa"/>
            <w:vAlign w:val="center"/>
          </w:tcPr>
          <w:p>
            <w:pPr>
              <w:pStyle w:val="42"/>
            </w:pPr>
            <w:r>
              <w:rPr>
                <w:rFonts w:hint="eastAsia" w:ascii="宋体" w:hAnsi="宋体"/>
              </w:rPr>
              <w:t>Ⅲ</w:t>
            </w:r>
            <w:r>
              <w:t>类</w:t>
            </w:r>
          </w:p>
        </w:tc>
        <w:tc>
          <w:tcPr>
            <w:tcW w:w="1925" w:type="dxa"/>
            <w:gridSpan w:val="2"/>
            <w:vAlign w:val="center"/>
          </w:tcPr>
          <w:p>
            <w:pPr>
              <w:pStyle w:val="42"/>
            </w:pPr>
            <w:r>
              <w:t>中法污水厂排口下游同侧约2.5km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4</w:t>
            </w:r>
          </w:p>
        </w:tc>
        <w:tc>
          <w:tcPr>
            <w:tcW w:w="2909" w:type="dxa"/>
            <w:gridSpan w:val="2"/>
            <w:vAlign w:val="center"/>
          </w:tcPr>
          <w:p>
            <w:pPr>
              <w:pStyle w:val="42"/>
            </w:pPr>
            <w:r>
              <w:t>长江重庆段四大家鱼国家级水产种质资源保护区</w:t>
            </w:r>
          </w:p>
        </w:tc>
        <w:tc>
          <w:tcPr>
            <w:tcW w:w="1453" w:type="dxa"/>
            <w:vAlign w:val="center"/>
          </w:tcPr>
          <w:p>
            <w:pPr>
              <w:pStyle w:val="42"/>
            </w:pPr>
            <w:r>
              <w:t>实验区</w:t>
            </w:r>
          </w:p>
        </w:tc>
        <w:tc>
          <w:tcPr>
            <w:tcW w:w="1089" w:type="dxa"/>
            <w:vAlign w:val="center"/>
          </w:tcPr>
          <w:p>
            <w:pPr>
              <w:pStyle w:val="42"/>
            </w:pPr>
            <w:r>
              <w:rPr>
                <w:rFonts w:hint="eastAsia" w:ascii="宋体" w:hAnsi="宋体"/>
              </w:rPr>
              <w:t>Ⅲ</w:t>
            </w:r>
            <w:r>
              <w:t>类</w:t>
            </w:r>
          </w:p>
        </w:tc>
        <w:tc>
          <w:tcPr>
            <w:tcW w:w="1925" w:type="dxa"/>
            <w:gridSpan w:val="2"/>
            <w:vAlign w:val="center"/>
          </w:tcPr>
          <w:p>
            <w:pPr>
              <w:pStyle w:val="42"/>
            </w:pPr>
            <w:r>
              <w:t>中法污水厂排口下游约1.0km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5923" w:type="dxa"/>
            <w:gridSpan w:val="5"/>
            <w:vAlign w:val="center"/>
          </w:tcPr>
          <w:p>
            <w:pPr>
              <w:pStyle w:val="42"/>
            </w:pPr>
            <w:r>
              <w:t>地表水环境敏感程度E值</w:t>
            </w:r>
          </w:p>
        </w:tc>
        <w:tc>
          <w:tcPr>
            <w:tcW w:w="1925" w:type="dxa"/>
            <w:gridSpan w:val="2"/>
            <w:vAlign w:val="center"/>
          </w:tcPr>
          <w:p>
            <w:pPr>
              <w:pStyle w:val="42"/>
            </w:pPr>
            <w: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restart"/>
            <w:tcBorders>
              <w:left w:val="single" w:color="auto" w:sz="4" w:space="0"/>
            </w:tcBorders>
            <w:vAlign w:val="center"/>
          </w:tcPr>
          <w:p>
            <w:pPr>
              <w:pStyle w:val="42"/>
            </w:pPr>
            <w:r>
              <w:t>地下水</w:t>
            </w:r>
          </w:p>
        </w:tc>
        <w:tc>
          <w:tcPr>
            <w:tcW w:w="472" w:type="dxa"/>
            <w:vAlign w:val="center"/>
          </w:tcPr>
          <w:p>
            <w:pPr>
              <w:pStyle w:val="42"/>
            </w:pPr>
            <w:r>
              <w:t>序号</w:t>
            </w:r>
          </w:p>
        </w:tc>
        <w:tc>
          <w:tcPr>
            <w:tcW w:w="1719" w:type="dxa"/>
            <w:vAlign w:val="center"/>
          </w:tcPr>
          <w:p>
            <w:pPr>
              <w:pStyle w:val="42"/>
            </w:pPr>
            <w:r>
              <w:t>敏感点名称</w:t>
            </w:r>
          </w:p>
        </w:tc>
        <w:tc>
          <w:tcPr>
            <w:tcW w:w="1190" w:type="dxa"/>
            <w:vAlign w:val="center"/>
          </w:tcPr>
          <w:p>
            <w:pPr>
              <w:pStyle w:val="42"/>
            </w:pPr>
            <w:r>
              <w:t>环境敏感特征</w:t>
            </w:r>
          </w:p>
        </w:tc>
        <w:tc>
          <w:tcPr>
            <w:tcW w:w="1453" w:type="dxa"/>
            <w:vAlign w:val="center"/>
          </w:tcPr>
          <w:p>
            <w:pPr>
              <w:pStyle w:val="42"/>
            </w:pPr>
            <w:r>
              <w:t>水质目标</w:t>
            </w:r>
          </w:p>
        </w:tc>
        <w:tc>
          <w:tcPr>
            <w:tcW w:w="1089" w:type="dxa"/>
            <w:vAlign w:val="center"/>
          </w:tcPr>
          <w:p>
            <w:pPr>
              <w:pStyle w:val="42"/>
            </w:pPr>
            <w:r>
              <w:t>包气带防污性能</w:t>
            </w:r>
          </w:p>
        </w:tc>
        <w:tc>
          <w:tcPr>
            <w:tcW w:w="1925" w:type="dxa"/>
            <w:gridSpan w:val="2"/>
            <w:vAlign w:val="center"/>
          </w:tcPr>
          <w:p>
            <w:pPr>
              <w:pStyle w:val="42"/>
            </w:pPr>
            <w: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472" w:type="dxa"/>
            <w:vAlign w:val="center"/>
          </w:tcPr>
          <w:p>
            <w:pPr>
              <w:pStyle w:val="42"/>
            </w:pPr>
            <w:r>
              <w:t>1</w:t>
            </w:r>
          </w:p>
        </w:tc>
        <w:tc>
          <w:tcPr>
            <w:tcW w:w="1719" w:type="dxa"/>
            <w:vAlign w:val="center"/>
          </w:tcPr>
          <w:p>
            <w:pPr>
              <w:pStyle w:val="42"/>
            </w:pPr>
            <w:r>
              <w:t>无</w:t>
            </w:r>
          </w:p>
        </w:tc>
        <w:tc>
          <w:tcPr>
            <w:tcW w:w="1190" w:type="dxa"/>
            <w:vAlign w:val="center"/>
          </w:tcPr>
          <w:p>
            <w:pPr>
              <w:pStyle w:val="42"/>
            </w:pPr>
            <w:r>
              <w:rPr>
                <w:rFonts w:hint="eastAsia"/>
              </w:rPr>
              <w:t>/</w:t>
            </w:r>
          </w:p>
        </w:tc>
        <w:tc>
          <w:tcPr>
            <w:tcW w:w="1453" w:type="dxa"/>
            <w:vAlign w:val="center"/>
          </w:tcPr>
          <w:p>
            <w:pPr>
              <w:pStyle w:val="42"/>
            </w:pPr>
            <w:r>
              <w:rPr>
                <w:rFonts w:hint="eastAsia"/>
              </w:rPr>
              <w:t>/</w:t>
            </w:r>
          </w:p>
        </w:tc>
        <w:tc>
          <w:tcPr>
            <w:tcW w:w="1089" w:type="dxa"/>
            <w:vAlign w:val="center"/>
          </w:tcPr>
          <w:p>
            <w:pPr>
              <w:pStyle w:val="42"/>
            </w:pPr>
            <w:r>
              <w:rPr>
                <w:rFonts w:hint="eastAsia"/>
              </w:rPr>
              <w:t>/</w:t>
            </w:r>
          </w:p>
        </w:tc>
        <w:tc>
          <w:tcPr>
            <w:tcW w:w="1925" w:type="dxa"/>
            <w:gridSpan w:val="2"/>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rPr>
        <w:tc>
          <w:tcPr>
            <w:tcW w:w="514" w:type="dxa"/>
            <w:vMerge w:val="continue"/>
            <w:tcBorders>
              <w:left w:val="single" w:color="auto" w:sz="4" w:space="0"/>
            </w:tcBorders>
            <w:vAlign w:val="center"/>
          </w:tcPr>
          <w:p>
            <w:pPr>
              <w:pStyle w:val="42"/>
            </w:pPr>
          </w:p>
        </w:tc>
        <w:tc>
          <w:tcPr>
            <w:tcW w:w="5923" w:type="dxa"/>
            <w:gridSpan w:val="5"/>
            <w:vAlign w:val="center"/>
          </w:tcPr>
          <w:p>
            <w:pPr>
              <w:pStyle w:val="42"/>
            </w:pPr>
            <w:r>
              <w:t>地下水环境敏感程度E值</w:t>
            </w:r>
          </w:p>
        </w:tc>
        <w:tc>
          <w:tcPr>
            <w:tcW w:w="1925" w:type="dxa"/>
            <w:gridSpan w:val="2"/>
            <w:vAlign w:val="center"/>
          </w:tcPr>
          <w:p>
            <w:pPr>
              <w:pStyle w:val="42"/>
            </w:pPr>
            <w:r>
              <w:t>E2</w:t>
            </w:r>
          </w:p>
        </w:tc>
      </w:tr>
    </w:tbl>
    <w:p>
      <w:pPr>
        <w:pStyle w:val="3"/>
        <w:spacing w:before="156" w:after="156"/>
      </w:pPr>
      <w:bookmarkStart w:id="131" w:name="_Toc84844301"/>
      <w:r>
        <w:rPr>
          <w:rFonts w:hint="eastAsia"/>
        </w:rPr>
        <w:t>6.3环境风险潜势初判</w:t>
      </w:r>
      <w:bookmarkEnd w:id="131"/>
    </w:p>
    <w:p>
      <w:pPr>
        <w:ind w:firstLine="480"/>
      </w:pPr>
      <w:r>
        <w:rPr>
          <w:rFonts w:hint="eastAsia"/>
        </w:rPr>
        <w:t>根据拟建项目涉及的物质和工艺系统的危险性、及其本工程所在地的环境敏感程度，结合事故环境影响途径，确定拟建项目的环境风险潜势。</w:t>
      </w:r>
    </w:p>
    <w:p>
      <w:pPr>
        <w:pStyle w:val="4"/>
        <w:spacing w:before="156" w:after="156"/>
      </w:pPr>
      <w:bookmarkStart w:id="132" w:name="_Toc84844302"/>
      <w:r>
        <w:rPr>
          <w:rFonts w:hint="eastAsia"/>
        </w:rPr>
        <w:t>6.3.1P的分级确定</w:t>
      </w:r>
      <w:bookmarkEnd w:id="132"/>
    </w:p>
    <w:p>
      <w:pPr>
        <w:ind w:firstLine="480"/>
      </w:pPr>
      <w:r>
        <w:rPr>
          <w:rFonts w:hint="eastAsia"/>
        </w:rPr>
        <w:t>（1）危险物质数量与临界量比值（Q）</w:t>
      </w:r>
    </w:p>
    <w:p>
      <w:pPr>
        <w:ind w:firstLine="480"/>
      </w:pPr>
      <w:r>
        <w:rPr>
          <w:rFonts w:hint="eastAsia"/>
        </w:rPr>
        <w:t>根据拟建项目生产、使用和储存过程中涉及的有毒有害、易燃易爆物质在厂区内的最大存在总量，对比《建设项目环境风险评价技术导则》（HJ169-2018）附录B所列风险物质临界量，计算其厂界内的最大存在总量与其在附录B中对应的临界量的比值Q。</w:t>
      </w:r>
    </w:p>
    <w:p>
      <w:pPr>
        <w:ind w:firstLine="480"/>
      </w:pPr>
      <w:r>
        <w:rPr>
          <w:rFonts w:hint="eastAsia"/>
        </w:rPr>
        <w:t>当企业只涉及一种环境风险物质时，计算该物质的总数量与其临界量比值，即为Q；</w:t>
      </w:r>
    </w:p>
    <w:p>
      <w:pPr>
        <w:ind w:firstLine="480"/>
      </w:pPr>
      <w:r>
        <w:rPr>
          <w:rFonts w:hint="eastAsia"/>
        </w:rPr>
        <w:t>当企业存在多种环境风险物质时，按下式计算物质总量与其临界量比值（Q）：</w:t>
      </w:r>
    </w:p>
    <w:p>
      <w:pPr>
        <w:spacing w:before="156" w:after="156"/>
        <w:ind w:firstLine="480"/>
      </w:pPr>
      <m:oMathPara>
        <m:oMath>
          <m:r>
            <m:rPr>
              <m:sty m:val="p"/>
            </m:rPr>
            <w:rPr>
              <w:rFonts w:ascii="Cambria Math" w:hAnsi="Cambria Math"/>
            </w:rPr>
            <m:t>Q=</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Q</m:t>
                  </m:r>
                  <m:ctrlPr>
                    <w:rPr>
                      <w:rFonts w:ascii="Cambria Math" w:hAnsi="Cambria Math"/>
                    </w:rPr>
                  </m:ctrlPr>
                </m:e>
                <m:sub>
                  <m:r>
                    <w:rPr>
                      <w:rFonts w:ascii="Cambria Math" w:hAnsi="Cambria Math"/>
                    </w:rPr>
                    <m:t>2</m:t>
                  </m:r>
                  <m:ctrlPr>
                    <w:rPr>
                      <w:rFonts w:ascii="Cambria Math" w:hAnsi="Cambria Math"/>
                    </w:rPr>
                  </m:ctrlPr>
                </m:sub>
              </m:sSub>
              <m:ctrlPr>
                <w:rPr>
                  <w:rFonts w:ascii="Cambria Math" w:hAnsi="Cambria Math"/>
                </w:rPr>
              </m:ctrlPr>
            </m:den>
          </m:f>
          <m:r>
            <w:rPr>
              <w:rFonts w:ascii="Cambria Math" w:hAnsi="Cambria Math"/>
            </w:rPr>
            <m:t>+</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den>
          </m:f>
        </m:oMath>
      </m:oMathPara>
    </w:p>
    <w:p>
      <w:pPr>
        <w:ind w:firstLine="480"/>
      </w:pPr>
      <w:r>
        <w:rPr>
          <w:rFonts w:hint="eastAsia"/>
        </w:rPr>
        <w:t>式中：q</w:t>
      </w:r>
      <w:r>
        <w:rPr>
          <w:rFonts w:hint="eastAsia"/>
          <w:vertAlign w:val="subscript"/>
        </w:rPr>
        <w:t>1</w:t>
      </w:r>
      <w:r>
        <w:rPr>
          <w:rFonts w:hint="eastAsia"/>
        </w:rPr>
        <w:t>，q</w:t>
      </w:r>
      <w:r>
        <w:rPr>
          <w:rFonts w:hint="eastAsia"/>
          <w:vertAlign w:val="subscript"/>
        </w:rPr>
        <w:t>2</w:t>
      </w:r>
      <w:r>
        <w:rPr>
          <w:rFonts w:hint="eastAsia"/>
        </w:rPr>
        <w:t>，…，qn——每种环境风险物质的最大存在总量，t；</w:t>
      </w:r>
    </w:p>
    <w:p>
      <w:pPr>
        <w:ind w:firstLine="480"/>
      </w:pPr>
      <w:r>
        <w:rPr>
          <w:rFonts w:hint="eastAsia"/>
        </w:rPr>
        <w:t xml:space="preserve">      Q</w:t>
      </w:r>
      <w:r>
        <w:rPr>
          <w:rFonts w:hint="eastAsia"/>
          <w:vertAlign w:val="subscript"/>
        </w:rPr>
        <w:t>1</w:t>
      </w:r>
      <w:r>
        <w:rPr>
          <w:rFonts w:hint="eastAsia"/>
        </w:rPr>
        <w:t>，Q</w:t>
      </w:r>
      <w:r>
        <w:rPr>
          <w:rFonts w:hint="eastAsia"/>
          <w:vertAlign w:val="subscript"/>
        </w:rPr>
        <w:t>2</w:t>
      </w:r>
      <w:r>
        <w:rPr>
          <w:rFonts w:hint="eastAsia"/>
        </w:rPr>
        <w:t>，…，Qn——每种环境风险物质的临界量，t。</w:t>
      </w:r>
    </w:p>
    <w:p>
      <w:pPr>
        <w:ind w:firstLine="480"/>
      </w:pPr>
      <w:r>
        <w:rPr>
          <w:rFonts w:hint="eastAsia"/>
        </w:rPr>
        <w:t>当Q＜1时，该项目风险潜势为Ⅰ。</w:t>
      </w:r>
    </w:p>
    <w:p>
      <w:pPr>
        <w:ind w:firstLine="480"/>
      </w:pPr>
      <w:r>
        <w:rPr>
          <w:rFonts w:hint="eastAsia"/>
        </w:rPr>
        <w:t>当Q≥1时，将Q值划分为：</w:t>
      </w: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1≤Q＜10；</w:t>
      </w: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10≤Q＜100；</w:t>
      </w: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Q≥100。</w:t>
      </w:r>
    </w:p>
    <w:p>
      <w:pPr>
        <w:ind w:firstLine="480"/>
      </w:pPr>
      <w:r>
        <w:rPr>
          <w:rFonts w:hint="eastAsia"/>
        </w:rPr>
        <w:t>拟建项目建成后，主要原料天然气和卡贝乐甲醇装置驰放气均来自园区内企业，不在厂区内贮存；脱硫剂、催化剂和吸附剂等定期由厂家更换，不在厂区内储存；产品液氨不在厂区内储存，直接通过管道供给飞华公司；本工程涉及的储运工程主要为CO</w:t>
      </w:r>
      <w:r>
        <w:rPr>
          <w:rFonts w:hint="eastAsia"/>
          <w:vertAlign w:val="subscript"/>
        </w:rPr>
        <w:t>2</w:t>
      </w:r>
      <w:r>
        <w:rPr>
          <w:rFonts w:hint="eastAsia"/>
        </w:rPr>
        <w:t>储罐。因此，本工程有毒有害、易燃易爆物质的最大存在量主要考虑装置区在线量。</w:t>
      </w:r>
    </w:p>
    <w:p>
      <w:pPr>
        <w:ind w:firstLine="480"/>
      </w:pPr>
      <w:r>
        <w:rPr>
          <w:rFonts w:hint="eastAsia"/>
        </w:rPr>
        <w:t>对比《建设项目环境风险评价技术导则》（</w:t>
      </w:r>
      <w:r>
        <w:t>HJ169-2018</w:t>
      </w:r>
      <w:r>
        <w:rPr>
          <w:rFonts w:hint="eastAsia"/>
        </w:rPr>
        <w:t>）附录</w:t>
      </w:r>
      <w:r>
        <w:t>B</w:t>
      </w:r>
      <w:r>
        <w:rPr>
          <w:rFonts w:hint="eastAsia"/>
        </w:rPr>
        <w:t>，本工程环境风险物质最大存在量和临界量见表6</w:t>
      </w:r>
      <w:r>
        <w:t>.3-3</w:t>
      </w:r>
      <w:r>
        <w:rPr>
          <w:rFonts w:hint="eastAsia"/>
        </w:rPr>
        <w:t>。</w:t>
      </w:r>
    </w:p>
    <w:p>
      <w:pPr>
        <w:pStyle w:val="41"/>
      </w:pPr>
      <w:r>
        <w:rPr>
          <w:rFonts w:hint="eastAsia"/>
        </w:rPr>
        <w:t>表6.3-1 拟建项目环境风险物质存在量和临界量比值（Q）一览表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738"/>
        <w:gridCol w:w="1273"/>
        <w:gridCol w:w="1416"/>
        <w:gridCol w:w="186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9" w:type="pct"/>
            <w:vMerge w:val="restart"/>
            <w:vAlign w:val="center"/>
          </w:tcPr>
          <w:p>
            <w:pPr>
              <w:pStyle w:val="42"/>
            </w:pPr>
            <w:r>
              <w:t>序号</w:t>
            </w:r>
          </w:p>
        </w:tc>
        <w:tc>
          <w:tcPr>
            <w:tcW w:w="1020" w:type="pct"/>
            <w:vMerge w:val="restart"/>
            <w:vAlign w:val="center"/>
          </w:tcPr>
          <w:p>
            <w:pPr>
              <w:pStyle w:val="42"/>
            </w:pPr>
            <w:r>
              <w:t>危险物质名称</w:t>
            </w:r>
          </w:p>
        </w:tc>
        <w:tc>
          <w:tcPr>
            <w:tcW w:w="747" w:type="pct"/>
            <w:vMerge w:val="restart"/>
            <w:vAlign w:val="center"/>
          </w:tcPr>
          <w:p>
            <w:pPr>
              <w:pStyle w:val="42"/>
            </w:pPr>
            <w:r>
              <w:t>CAS号</w:t>
            </w:r>
          </w:p>
        </w:tc>
        <w:tc>
          <w:tcPr>
            <w:tcW w:w="831" w:type="pct"/>
            <w:vMerge w:val="restart"/>
            <w:vAlign w:val="center"/>
          </w:tcPr>
          <w:p>
            <w:pPr>
              <w:pStyle w:val="42"/>
            </w:pPr>
            <w:r>
              <w:t>临界量Qn/t</w:t>
            </w:r>
          </w:p>
        </w:tc>
        <w:tc>
          <w:tcPr>
            <w:tcW w:w="1943" w:type="pct"/>
            <w:gridSpan w:val="2"/>
            <w:vAlign w:val="center"/>
          </w:tcPr>
          <w:p>
            <w:pPr>
              <w:pStyle w:val="42"/>
            </w:pPr>
            <w:r>
              <w:rPr>
                <w:rFonts w:hint="eastAsia"/>
              </w:rPr>
              <w:t>拟建项目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9" w:type="pct"/>
            <w:vMerge w:val="continue"/>
            <w:vAlign w:val="center"/>
          </w:tcPr>
          <w:p>
            <w:pPr>
              <w:pStyle w:val="42"/>
            </w:pPr>
          </w:p>
        </w:tc>
        <w:tc>
          <w:tcPr>
            <w:tcW w:w="1020" w:type="pct"/>
            <w:vMerge w:val="continue"/>
            <w:vAlign w:val="center"/>
          </w:tcPr>
          <w:p>
            <w:pPr>
              <w:pStyle w:val="42"/>
            </w:pPr>
          </w:p>
        </w:tc>
        <w:tc>
          <w:tcPr>
            <w:tcW w:w="747" w:type="pct"/>
            <w:vMerge w:val="continue"/>
            <w:vAlign w:val="center"/>
          </w:tcPr>
          <w:p>
            <w:pPr>
              <w:pStyle w:val="42"/>
            </w:pPr>
          </w:p>
        </w:tc>
        <w:tc>
          <w:tcPr>
            <w:tcW w:w="831" w:type="pct"/>
            <w:vMerge w:val="continue"/>
            <w:vAlign w:val="center"/>
          </w:tcPr>
          <w:p>
            <w:pPr>
              <w:pStyle w:val="42"/>
            </w:pPr>
          </w:p>
        </w:tc>
        <w:tc>
          <w:tcPr>
            <w:tcW w:w="1091" w:type="pct"/>
            <w:vAlign w:val="center"/>
          </w:tcPr>
          <w:p>
            <w:pPr>
              <w:pStyle w:val="42"/>
            </w:pPr>
            <w:r>
              <w:t>最大存在量qn/t</w:t>
            </w:r>
          </w:p>
        </w:tc>
        <w:tc>
          <w:tcPr>
            <w:tcW w:w="852" w:type="pct"/>
            <w:vAlign w:val="center"/>
          </w:tcPr>
          <w:p>
            <w:pPr>
              <w:pStyle w:val="42"/>
            </w:pPr>
            <w: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pPr>
              <w:pStyle w:val="42"/>
            </w:pPr>
            <w:r>
              <w:t>1</w:t>
            </w:r>
          </w:p>
        </w:tc>
        <w:tc>
          <w:tcPr>
            <w:tcW w:w="1020" w:type="pct"/>
            <w:vAlign w:val="center"/>
          </w:tcPr>
          <w:p>
            <w:pPr>
              <w:pStyle w:val="42"/>
            </w:pPr>
            <w:r>
              <w:rPr>
                <w:rFonts w:hint="eastAsia"/>
              </w:rPr>
              <w:t>甲烷</w:t>
            </w:r>
          </w:p>
        </w:tc>
        <w:tc>
          <w:tcPr>
            <w:tcW w:w="747" w:type="pct"/>
            <w:vAlign w:val="center"/>
          </w:tcPr>
          <w:p>
            <w:pPr>
              <w:pStyle w:val="42"/>
            </w:pPr>
            <w:r>
              <w:t>74-82-8</w:t>
            </w:r>
          </w:p>
        </w:tc>
        <w:tc>
          <w:tcPr>
            <w:tcW w:w="831" w:type="pct"/>
            <w:vAlign w:val="center"/>
          </w:tcPr>
          <w:p>
            <w:pPr>
              <w:pStyle w:val="42"/>
            </w:pPr>
            <w:r>
              <w:rPr>
                <w:rFonts w:hint="eastAsia"/>
              </w:rPr>
              <w:t>10</w:t>
            </w:r>
          </w:p>
        </w:tc>
        <w:tc>
          <w:tcPr>
            <w:tcW w:w="1091" w:type="pct"/>
            <w:vAlign w:val="center"/>
          </w:tcPr>
          <w:p>
            <w:pPr>
              <w:pStyle w:val="42"/>
            </w:pPr>
            <w:r>
              <w:rPr>
                <w:rFonts w:hint="eastAsia"/>
              </w:rPr>
              <w:t>6.09</w:t>
            </w:r>
          </w:p>
        </w:tc>
        <w:tc>
          <w:tcPr>
            <w:tcW w:w="852" w:type="pct"/>
            <w:vAlign w:val="center"/>
          </w:tcPr>
          <w:p>
            <w:pPr>
              <w:pStyle w:val="42"/>
            </w:pPr>
            <w:r>
              <w:t>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pPr>
              <w:pStyle w:val="42"/>
            </w:pPr>
            <w:r>
              <w:t>2</w:t>
            </w:r>
          </w:p>
        </w:tc>
        <w:tc>
          <w:tcPr>
            <w:tcW w:w="1020" w:type="pct"/>
            <w:vAlign w:val="center"/>
          </w:tcPr>
          <w:p>
            <w:pPr>
              <w:pStyle w:val="42"/>
            </w:pPr>
            <w:r>
              <w:rPr>
                <w:rFonts w:hint="eastAsia"/>
              </w:rPr>
              <w:t>氨</w:t>
            </w:r>
          </w:p>
        </w:tc>
        <w:tc>
          <w:tcPr>
            <w:tcW w:w="747" w:type="pct"/>
            <w:vAlign w:val="center"/>
          </w:tcPr>
          <w:p>
            <w:pPr>
              <w:pStyle w:val="42"/>
            </w:pPr>
            <w:r>
              <w:t>7664-41-7</w:t>
            </w:r>
          </w:p>
        </w:tc>
        <w:tc>
          <w:tcPr>
            <w:tcW w:w="831" w:type="pct"/>
            <w:vAlign w:val="center"/>
          </w:tcPr>
          <w:p>
            <w:pPr>
              <w:pStyle w:val="42"/>
            </w:pPr>
            <w:r>
              <w:rPr>
                <w:rFonts w:hint="eastAsia"/>
              </w:rPr>
              <w:t>5</w:t>
            </w:r>
          </w:p>
        </w:tc>
        <w:tc>
          <w:tcPr>
            <w:tcW w:w="1091" w:type="pct"/>
            <w:vAlign w:val="center"/>
          </w:tcPr>
          <w:p>
            <w:pPr>
              <w:pStyle w:val="42"/>
            </w:pPr>
            <w:r>
              <w:rPr>
                <w:rFonts w:hint="eastAsia"/>
              </w:rPr>
              <w:t>29.74</w:t>
            </w:r>
          </w:p>
        </w:tc>
        <w:tc>
          <w:tcPr>
            <w:tcW w:w="852" w:type="pct"/>
            <w:vAlign w:val="center"/>
          </w:tcPr>
          <w:p>
            <w:pPr>
              <w:pStyle w:val="42"/>
            </w:pPr>
            <w:r>
              <w:t>5.948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pPr>
              <w:pStyle w:val="42"/>
            </w:pPr>
            <w:r>
              <w:t>3</w:t>
            </w:r>
          </w:p>
        </w:tc>
        <w:tc>
          <w:tcPr>
            <w:tcW w:w="1020" w:type="pct"/>
            <w:vAlign w:val="center"/>
          </w:tcPr>
          <w:p>
            <w:pPr>
              <w:pStyle w:val="42"/>
            </w:pPr>
            <w:r>
              <w:rPr>
                <w:rFonts w:hint="eastAsia"/>
              </w:rPr>
              <w:t>甲醇</w:t>
            </w:r>
          </w:p>
        </w:tc>
        <w:tc>
          <w:tcPr>
            <w:tcW w:w="747" w:type="pct"/>
            <w:vAlign w:val="center"/>
          </w:tcPr>
          <w:p>
            <w:pPr>
              <w:pStyle w:val="42"/>
            </w:pPr>
            <w:r>
              <w:t>67-56-1</w:t>
            </w:r>
          </w:p>
        </w:tc>
        <w:tc>
          <w:tcPr>
            <w:tcW w:w="831" w:type="pct"/>
            <w:vAlign w:val="center"/>
          </w:tcPr>
          <w:p>
            <w:pPr>
              <w:pStyle w:val="42"/>
            </w:pPr>
            <w:r>
              <w:rPr>
                <w:rFonts w:hint="eastAsia"/>
              </w:rPr>
              <w:t>10</w:t>
            </w:r>
          </w:p>
        </w:tc>
        <w:tc>
          <w:tcPr>
            <w:tcW w:w="1091" w:type="pct"/>
            <w:vAlign w:val="center"/>
          </w:tcPr>
          <w:p>
            <w:pPr>
              <w:pStyle w:val="42"/>
            </w:pPr>
            <w:r>
              <w:rPr>
                <w:rFonts w:hint="eastAsia"/>
              </w:rPr>
              <w:t>0.01</w:t>
            </w:r>
          </w:p>
        </w:tc>
        <w:tc>
          <w:tcPr>
            <w:tcW w:w="852" w:type="pct"/>
            <w:vAlign w:val="center"/>
          </w:tcPr>
          <w:p>
            <w:pPr>
              <w:pStyle w:val="42"/>
            </w:pPr>
            <w: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pPr>
              <w:pStyle w:val="42"/>
            </w:pPr>
            <w:r>
              <w:rPr>
                <w:rFonts w:hint="eastAsia"/>
              </w:rPr>
              <w:t>4</w:t>
            </w:r>
          </w:p>
        </w:tc>
        <w:tc>
          <w:tcPr>
            <w:tcW w:w="1020" w:type="pct"/>
            <w:vAlign w:val="center"/>
          </w:tcPr>
          <w:p>
            <w:pPr>
              <w:pStyle w:val="42"/>
            </w:pPr>
            <w:r>
              <w:rPr>
                <w:rFonts w:hint="eastAsia"/>
              </w:rPr>
              <w:t>一氧化碳</w:t>
            </w:r>
          </w:p>
        </w:tc>
        <w:tc>
          <w:tcPr>
            <w:tcW w:w="747" w:type="pct"/>
            <w:vAlign w:val="center"/>
          </w:tcPr>
          <w:p>
            <w:pPr>
              <w:pStyle w:val="42"/>
            </w:pPr>
            <w:r>
              <w:t>630-08-0</w:t>
            </w:r>
          </w:p>
        </w:tc>
        <w:tc>
          <w:tcPr>
            <w:tcW w:w="831" w:type="pct"/>
            <w:vAlign w:val="center"/>
          </w:tcPr>
          <w:p>
            <w:pPr>
              <w:pStyle w:val="42"/>
            </w:pPr>
            <w:r>
              <w:rPr>
                <w:rFonts w:hint="eastAsia"/>
              </w:rPr>
              <w:t>7.5</w:t>
            </w:r>
          </w:p>
        </w:tc>
        <w:tc>
          <w:tcPr>
            <w:tcW w:w="1091" w:type="pct"/>
            <w:vAlign w:val="center"/>
          </w:tcPr>
          <w:p>
            <w:pPr>
              <w:pStyle w:val="42"/>
            </w:pPr>
            <w:r>
              <w:rPr>
                <w:rFonts w:hint="eastAsia"/>
              </w:rPr>
              <w:t>11.02</w:t>
            </w:r>
          </w:p>
        </w:tc>
        <w:tc>
          <w:tcPr>
            <w:tcW w:w="852" w:type="pct"/>
            <w:vAlign w:val="center"/>
          </w:tcPr>
          <w:p>
            <w:pPr>
              <w:pStyle w:val="42"/>
            </w:pPr>
            <w:r>
              <w:rPr>
                <w:rFonts w:hint="eastAsia"/>
              </w:rPr>
              <w:t>1.469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59" w:type="pct"/>
            <w:vAlign w:val="center"/>
          </w:tcPr>
          <w:p>
            <w:pPr>
              <w:pStyle w:val="42"/>
            </w:pPr>
            <w:r>
              <w:rPr>
                <w:rFonts w:hint="eastAsia"/>
              </w:rPr>
              <w:t>合计</w:t>
            </w:r>
          </w:p>
        </w:tc>
        <w:tc>
          <w:tcPr>
            <w:tcW w:w="2597" w:type="pct"/>
            <w:gridSpan w:val="3"/>
            <w:vAlign w:val="center"/>
          </w:tcPr>
          <w:p>
            <w:pPr>
              <w:pStyle w:val="42"/>
            </w:pPr>
            <w:r>
              <w:t>Q=q1/Q1+ q2/Q2+…+ qn/Qn</w:t>
            </w:r>
          </w:p>
        </w:tc>
        <w:tc>
          <w:tcPr>
            <w:tcW w:w="1091" w:type="pct"/>
            <w:vAlign w:val="center"/>
          </w:tcPr>
          <w:p>
            <w:pPr>
              <w:pStyle w:val="42"/>
            </w:pPr>
            <w:r>
              <w:rPr>
                <w:rFonts w:hint="eastAsia"/>
              </w:rPr>
              <w:t>/</w:t>
            </w:r>
          </w:p>
        </w:tc>
        <w:tc>
          <w:tcPr>
            <w:tcW w:w="852" w:type="pct"/>
            <w:vAlign w:val="center"/>
          </w:tcPr>
          <w:p>
            <w:pPr>
              <w:pStyle w:val="42"/>
            </w:pPr>
            <w:r>
              <w:rPr>
                <w:rFonts w:hint="eastAsia"/>
              </w:rPr>
              <w:t>8.027</w:t>
            </w:r>
          </w:p>
        </w:tc>
      </w:tr>
    </w:tbl>
    <w:p>
      <w:pPr>
        <w:ind w:firstLine="480"/>
      </w:pPr>
      <w:r>
        <w:rPr>
          <w:rFonts w:hint="eastAsia"/>
        </w:rPr>
        <w:t>由表6.3-1可知，拟建项目Q=8.027，属于1≤Q＜10。</w:t>
      </w:r>
    </w:p>
    <w:p>
      <w:pPr>
        <w:ind w:firstLine="480"/>
      </w:pPr>
      <w:r>
        <w:rPr>
          <w:rFonts w:hint="eastAsia"/>
        </w:rPr>
        <w:t>（2）行业及生产工艺（M）</w:t>
      </w:r>
    </w:p>
    <w:p>
      <w:pPr>
        <w:ind w:firstLine="480"/>
      </w:pPr>
      <w:r>
        <w:rPr>
          <w:rFonts w:hint="eastAsia"/>
        </w:rPr>
        <w:t>根据拟建项目所属行业及生产工艺特点，对比《建设项目环境风险评价技术导则》（HJ169-2018）附录C评估生产工艺情况，确定M值。具有多套工艺单元的项目，对每套生产工艺分别评分并求和。将M划分为</w:t>
      </w: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M＞20；</w:t>
      </w: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10＜M≤20；</w:t>
      </w: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5＜M≤10；</w:t>
      </w: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M=5，分别以M1、M2、M3和M4表示。</w:t>
      </w:r>
    </w:p>
    <w:p>
      <w:pPr>
        <w:ind w:firstLine="480"/>
      </w:pPr>
      <w:r>
        <w:rPr>
          <w:rFonts w:hint="eastAsia"/>
        </w:rPr>
        <w:t>拟建项目属于合成氨项目，企业生产工艺过程评估分值详见表6.3-2。</w:t>
      </w:r>
    </w:p>
    <w:p>
      <w:pPr>
        <w:pStyle w:val="41"/>
      </w:pPr>
      <w:r>
        <w:rPr>
          <w:rFonts w:hint="eastAsia"/>
        </w:rPr>
        <w:t>表6.3-2  行业及生产工艺</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21"/>
        <w:gridCol w:w="3425"/>
        <w:gridCol w:w="880"/>
        <w:gridCol w:w="2050"/>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70" w:type="pct"/>
            <w:vMerge w:val="restart"/>
            <w:vAlign w:val="center"/>
          </w:tcPr>
          <w:p>
            <w:pPr>
              <w:pStyle w:val="42"/>
            </w:pPr>
            <w:r>
              <w:t>行业</w:t>
            </w:r>
          </w:p>
        </w:tc>
        <w:tc>
          <w:tcPr>
            <w:tcW w:w="2048" w:type="pct"/>
            <w:vMerge w:val="restart"/>
            <w:vAlign w:val="center"/>
          </w:tcPr>
          <w:p>
            <w:pPr>
              <w:pStyle w:val="42"/>
            </w:pPr>
            <w:r>
              <w:t>评估依据</w:t>
            </w:r>
          </w:p>
        </w:tc>
        <w:tc>
          <w:tcPr>
            <w:tcW w:w="526" w:type="pct"/>
            <w:vMerge w:val="restart"/>
            <w:vAlign w:val="center"/>
          </w:tcPr>
          <w:p>
            <w:pPr>
              <w:pStyle w:val="42"/>
            </w:pPr>
            <w:r>
              <w:t>分值</w:t>
            </w:r>
          </w:p>
        </w:tc>
        <w:tc>
          <w:tcPr>
            <w:tcW w:w="1756" w:type="pct"/>
            <w:gridSpan w:val="2"/>
            <w:vAlign w:val="center"/>
          </w:tcPr>
          <w:p>
            <w:pPr>
              <w:pStyle w:val="42"/>
            </w:pPr>
            <w:r>
              <w:rPr>
                <w:rFonts w:hint="eastAsia"/>
              </w:rPr>
              <w:t>拟建项目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70" w:type="pct"/>
            <w:vMerge w:val="continue"/>
            <w:vAlign w:val="center"/>
          </w:tcPr>
          <w:p>
            <w:pPr>
              <w:pStyle w:val="42"/>
            </w:pPr>
          </w:p>
        </w:tc>
        <w:tc>
          <w:tcPr>
            <w:tcW w:w="2048" w:type="pct"/>
            <w:vMerge w:val="continue"/>
            <w:vAlign w:val="center"/>
          </w:tcPr>
          <w:p>
            <w:pPr>
              <w:pStyle w:val="42"/>
            </w:pPr>
          </w:p>
        </w:tc>
        <w:tc>
          <w:tcPr>
            <w:tcW w:w="526" w:type="pct"/>
            <w:vMerge w:val="continue"/>
            <w:vAlign w:val="center"/>
          </w:tcPr>
          <w:p>
            <w:pPr>
              <w:pStyle w:val="42"/>
            </w:pPr>
          </w:p>
        </w:tc>
        <w:tc>
          <w:tcPr>
            <w:tcW w:w="1226" w:type="pct"/>
            <w:vAlign w:val="center"/>
          </w:tcPr>
          <w:p>
            <w:pPr>
              <w:pStyle w:val="42"/>
            </w:pPr>
            <w:r>
              <w:t>项目涉及类别</w:t>
            </w:r>
            <w:r>
              <w:rPr>
                <w:rFonts w:hint="eastAsia"/>
              </w:rPr>
              <w:t>/数量</w:t>
            </w:r>
          </w:p>
        </w:tc>
        <w:tc>
          <w:tcPr>
            <w:tcW w:w="530" w:type="pct"/>
            <w:vAlign w:val="center"/>
          </w:tcPr>
          <w:p>
            <w:pPr>
              <w:pStyle w:val="42"/>
            </w:pPr>
            <w:r>
              <w:rPr>
                <w:rFonts w:hint="eastAsia"/>
              </w:rPr>
              <w:t>M</w:t>
            </w:r>
            <w: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vMerge w:val="restart"/>
            <w:vAlign w:val="center"/>
          </w:tcPr>
          <w:p>
            <w:pPr>
              <w:pStyle w:val="42"/>
            </w:pPr>
            <w:r>
              <w:t>石化、化工、医药、有色冶炼、轻工、化纤等</w:t>
            </w:r>
          </w:p>
        </w:tc>
        <w:tc>
          <w:tcPr>
            <w:tcW w:w="2048" w:type="pct"/>
            <w:vAlign w:val="center"/>
          </w:tcPr>
          <w:p>
            <w:pPr>
              <w:pStyle w:val="42"/>
            </w:pPr>
            <w: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26" w:type="pct"/>
            <w:vAlign w:val="center"/>
          </w:tcPr>
          <w:p>
            <w:pPr>
              <w:pStyle w:val="42"/>
            </w:pPr>
            <w:r>
              <w:t>10/套</w:t>
            </w:r>
          </w:p>
        </w:tc>
        <w:tc>
          <w:tcPr>
            <w:tcW w:w="1226" w:type="pct"/>
            <w:vAlign w:val="center"/>
          </w:tcPr>
          <w:p>
            <w:pPr>
              <w:pStyle w:val="42"/>
            </w:pPr>
            <w:r>
              <w:t>合成氨工艺</w:t>
            </w:r>
            <w:r>
              <w:rPr>
                <w:rFonts w:hint="eastAsia"/>
              </w:rPr>
              <w:t>和氧化工艺各1套</w:t>
            </w:r>
          </w:p>
        </w:tc>
        <w:tc>
          <w:tcPr>
            <w:tcW w:w="530" w:type="pct"/>
            <w:vAlign w:val="center"/>
          </w:tcPr>
          <w:p>
            <w:pPr>
              <w:pStyle w:val="42"/>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vMerge w:val="continue"/>
            <w:vAlign w:val="center"/>
          </w:tcPr>
          <w:p>
            <w:pPr>
              <w:pStyle w:val="42"/>
            </w:pPr>
          </w:p>
        </w:tc>
        <w:tc>
          <w:tcPr>
            <w:tcW w:w="2048" w:type="pct"/>
            <w:vAlign w:val="center"/>
          </w:tcPr>
          <w:p>
            <w:pPr>
              <w:pStyle w:val="42"/>
            </w:pPr>
            <w:r>
              <w:t>无机酸制酸工艺、焦化工艺</w:t>
            </w:r>
          </w:p>
        </w:tc>
        <w:tc>
          <w:tcPr>
            <w:tcW w:w="526" w:type="pct"/>
            <w:vAlign w:val="center"/>
          </w:tcPr>
          <w:p>
            <w:pPr>
              <w:pStyle w:val="42"/>
            </w:pPr>
            <w:r>
              <w:t>5/套</w:t>
            </w:r>
          </w:p>
        </w:tc>
        <w:tc>
          <w:tcPr>
            <w:tcW w:w="1226" w:type="pct"/>
            <w:vAlign w:val="center"/>
          </w:tcPr>
          <w:p>
            <w:pPr>
              <w:pStyle w:val="42"/>
            </w:pPr>
            <w:r>
              <w:t>不涉及</w:t>
            </w:r>
          </w:p>
        </w:tc>
        <w:tc>
          <w:tcPr>
            <w:tcW w:w="530" w:type="pct"/>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vMerge w:val="continue"/>
            <w:vAlign w:val="center"/>
          </w:tcPr>
          <w:p>
            <w:pPr>
              <w:pStyle w:val="42"/>
            </w:pPr>
          </w:p>
        </w:tc>
        <w:tc>
          <w:tcPr>
            <w:tcW w:w="2048" w:type="pct"/>
            <w:vAlign w:val="center"/>
          </w:tcPr>
          <w:p>
            <w:pPr>
              <w:pStyle w:val="42"/>
            </w:pPr>
            <w:r>
              <w:t>其他高温或高压，且涉及危险物质的工艺过程</w:t>
            </w:r>
            <w:r>
              <w:rPr>
                <w:vertAlign w:val="superscript"/>
              </w:rPr>
              <w:t>a</w:t>
            </w:r>
            <w:r>
              <w:t>、危险物质储存罐区</w:t>
            </w:r>
          </w:p>
        </w:tc>
        <w:tc>
          <w:tcPr>
            <w:tcW w:w="526" w:type="pct"/>
            <w:vAlign w:val="center"/>
          </w:tcPr>
          <w:p>
            <w:pPr>
              <w:pStyle w:val="42"/>
            </w:pPr>
            <w:r>
              <w:t>5/套（罐区）</w:t>
            </w:r>
          </w:p>
        </w:tc>
        <w:tc>
          <w:tcPr>
            <w:tcW w:w="1226" w:type="pct"/>
            <w:vAlign w:val="center"/>
          </w:tcPr>
          <w:p>
            <w:pPr>
              <w:pStyle w:val="42"/>
            </w:pPr>
            <w:r>
              <w:rPr>
                <w:rFonts w:hint="eastAsia"/>
              </w:rPr>
              <w:t>高温或高压且涉及危险物质的工艺设备6套，CO</w:t>
            </w:r>
            <w:r>
              <w:rPr>
                <w:rFonts w:hint="eastAsia"/>
                <w:vertAlign w:val="subscript"/>
              </w:rPr>
              <w:t>2</w:t>
            </w:r>
            <w:r>
              <w:rPr>
                <w:rFonts w:hint="eastAsia"/>
              </w:rPr>
              <w:t>储罐区1个</w:t>
            </w:r>
          </w:p>
        </w:tc>
        <w:tc>
          <w:tcPr>
            <w:tcW w:w="530" w:type="pct"/>
            <w:vAlign w:val="center"/>
          </w:tcPr>
          <w:p>
            <w:pPr>
              <w:pStyle w:val="42"/>
            </w:pPr>
            <w:r>
              <w:rPr>
                <w:rFonts w:hint="eastAsi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244" w:type="pct"/>
            <w:gridSpan w:val="3"/>
            <w:vAlign w:val="center"/>
          </w:tcPr>
          <w:p>
            <w:pPr>
              <w:pStyle w:val="42"/>
            </w:pPr>
            <w:bookmarkStart w:id="133" w:name="_Hlk364276"/>
            <w:r>
              <w:t>合计</w:t>
            </w:r>
          </w:p>
        </w:tc>
        <w:tc>
          <w:tcPr>
            <w:tcW w:w="1226" w:type="pct"/>
          </w:tcPr>
          <w:p>
            <w:pPr>
              <w:pStyle w:val="42"/>
            </w:pPr>
            <w:r>
              <w:t>/</w:t>
            </w:r>
          </w:p>
        </w:tc>
        <w:tc>
          <w:tcPr>
            <w:tcW w:w="530" w:type="pct"/>
            <w:vAlign w:val="center"/>
          </w:tcPr>
          <w:p>
            <w:pPr>
              <w:pStyle w:val="42"/>
            </w:pPr>
            <w:r>
              <w:rPr>
                <w:rFonts w:hint="eastAsia"/>
              </w:rPr>
              <w:t>55</w:t>
            </w:r>
          </w:p>
        </w:tc>
      </w:tr>
      <w:bookmarkEnd w:id="133"/>
    </w:tbl>
    <w:p>
      <w:pPr>
        <w:ind w:firstLine="480"/>
      </w:pPr>
      <w:r>
        <w:rPr>
          <w:rFonts w:hint="eastAsia"/>
        </w:rPr>
        <w:t>由表6.3-2可知，拟建项目涉及氧化工艺1套、高温且涉及</w:t>
      </w:r>
      <w:r>
        <w:t>及危险物质的工艺</w:t>
      </w:r>
      <w:r>
        <w:rPr>
          <w:rFonts w:hint="eastAsia"/>
        </w:rPr>
        <w:t>设备6套和CO</w:t>
      </w:r>
      <w:r>
        <w:rPr>
          <w:rFonts w:hint="eastAsia"/>
          <w:vertAlign w:val="subscript"/>
        </w:rPr>
        <w:t>2</w:t>
      </w:r>
      <w:r>
        <w:rPr>
          <w:rFonts w:hint="eastAsia"/>
        </w:rPr>
        <w:t>储罐区1个，M=55，以M1表示。</w:t>
      </w:r>
    </w:p>
    <w:p>
      <w:pPr>
        <w:ind w:firstLine="480"/>
      </w:pPr>
      <w:r>
        <w:rPr>
          <w:rFonts w:hint="eastAsia"/>
        </w:rPr>
        <w:t>（3）危险物质及工艺系统危险性（P）分级</w:t>
      </w:r>
    </w:p>
    <w:p>
      <w:pPr>
        <w:ind w:firstLine="480"/>
      </w:pPr>
      <w:r>
        <w:rPr>
          <w:rFonts w:hint="eastAsia"/>
        </w:rPr>
        <w:t>根据危险物质存在量与临界量比值（Q）和行业及生产工艺（M），按照表6.3-3确定危险物质及工艺系统危险性等级（P），分别以P1、P2、P3、P4表示。</w:t>
      </w:r>
    </w:p>
    <w:p>
      <w:pPr>
        <w:pStyle w:val="41"/>
      </w:pPr>
      <w:r>
        <w:rPr>
          <w:rFonts w:hint="eastAsia"/>
        </w:rPr>
        <w:t>表6.3-3  危险物质及工艺系统危险性等级判定（P）</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pStyle w:val="42"/>
            </w:pPr>
            <w:r>
              <w:rPr>
                <w:rFonts w:hint="eastAsia"/>
              </w:rPr>
              <w:t>危险物质数量与临界量比值（</w:t>
            </w:r>
            <w:r>
              <w:t>Q</w:t>
            </w:r>
            <w:r>
              <w:rPr>
                <w:rFonts w:hint="eastAsia"/>
              </w:rPr>
              <w:t>）</w:t>
            </w:r>
          </w:p>
        </w:tc>
        <w:tc>
          <w:tcPr>
            <w:tcW w:w="6818" w:type="dxa"/>
            <w:gridSpan w:val="4"/>
            <w:vAlign w:val="center"/>
          </w:tcPr>
          <w:p>
            <w:pPr>
              <w:pStyle w:val="42"/>
            </w:pPr>
            <w:r>
              <w:rPr>
                <w:rFonts w:hint="eastAsia"/>
              </w:rPr>
              <w:t>行业及生产工艺（</w:t>
            </w:r>
            <w:r>
              <w:t>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pStyle w:val="42"/>
            </w:pPr>
          </w:p>
        </w:tc>
        <w:tc>
          <w:tcPr>
            <w:tcW w:w="1704" w:type="dxa"/>
            <w:vAlign w:val="center"/>
          </w:tcPr>
          <w:p>
            <w:pPr>
              <w:pStyle w:val="42"/>
            </w:pPr>
            <w:r>
              <w:t>M1</w:t>
            </w:r>
          </w:p>
        </w:tc>
        <w:tc>
          <w:tcPr>
            <w:tcW w:w="1704" w:type="dxa"/>
            <w:vAlign w:val="center"/>
          </w:tcPr>
          <w:p>
            <w:pPr>
              <w:pStyle w:val="42"/>
            </w:pPr>
            <w:r>
              <w:t>M2</w:t>
            </w:r>
          </w:p>
        </w:tc>
        <w:tc>
          <w:tcPr>
            <w:tcW w:w="1705" w:type="dxa"/>
            <w:vAlign w:val="center"/>
          </w:tcPr>
          <w:p>
            <w:pPr>
              <w:pStyle w:val="42"/>
            </w:pPr>
            <w:r>
              <w:t>M3</w:t>
            </w:r>
          </w:p>
        </w:tc>
        <w:tc>
          <w:tcPr>
            <w:tcW w:w="1705" w:type="dxa"/>
            <w:vAlign w:val="center"/>
          </w:tcPr>
          <w:p>
            <w:pPr>
              <w:pStyle w:val="42"/>
            </w:pPr>
            <w: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42"/>
            </w:pPr>
            <w:r>
              <w:t>Q</w:t>
            </w:r>
            <w:r>
              <w:rPr>
                <w:rFonts w:hint="eastAsia"/>
              </w:rPr>
              <w:t>≥</w:t>
            </w:r>
            <w:r>
              <w:t>100</w:t>
            </w:r>
          </w:p>
        </w:tc>
        <w:tc>
          <w:tcPr>
            <w:tcW w:w="1704" w:type="dxa"/>
            <w:vAlign w:val="center"/>
          </w:tcPr>
          <w:p>
            <w:pPr>
              <w:pStyle w:val="42"/>
            </w:pPr>
            <w:r>
              <w:t>P1</w:t>
            </w:r>
          </w:p>
        </w:tc>
        <w:tc>
          <w:tcPr>
            <w:tcW w:w="1704" w:type="dxa"/>
            <w:vAlign w:val="center"/>
          </w:tcPr>
          <w:p>
            <w:pPr>
              <w:pStyle w:val="42"/>
            </w:pPr>
            <w:r>
              <w:t>P1</w:t>
            </w:r>
          </w:p>
        </w:tc>
        <w:tc>
          <w:tcPr>
            <w:tcW w:w="1705" w:type="dxa"/>
            <w:vAlign w:val="center"/>
          </w:tcPr>
          <w:p>
            <w:pPr>
              <w:pStyle w:val="42"/>
            </w:pPr>
            <w:r>
              <w:t>P2</w:t>
            </w:r>
          </w:p>
        </w:tc>
        <w:tc>
          <w:tcPr>
            <w:tcW w:w="1705" w:type="dxa"/>
            <w:vAlign w:val="center"/>
          </w:tcPr>
          <w:p>
            <w:pPr>
              <w:pStyle w:val="42"/>
            </w:pPr>
            <w: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42"/>
            </w:pPr>
            <w:r>
              <w:t>10</w:t>
            </w:r>
            <w:r>
              <w:rPr>
                <w:rFonts w:hint="eastAsia"/>
              </w:rPr>
              <w:t>≤</w:t>
            </w:r>
            <w:r>
              <w:t>Q</w:t>
            </w:r>
            <w:r>
              <w:rPr>
                <w:rFonts w:hint="eastAsia"/>
              </w:rPr>
              <w:t>＜</w:t>
            </w:r>
            <w:r>
              <w:t>100</w:t>
            </w:r>
          </w:p>
        </w:tc>
        <w:tc>
          <w:tcPr>
            <w:tcW w:w="1704" w:type="dxa"/>
            <w:vAlign w:val="center"/>
          </w:tcPr>
          <w:p>
            <w:pPr>
              <w:pStyle w:val="42"/>
            </w:pPr>
            <w:r>
              <w:t>P1</w:t>
            </w:r>
          </w:p>
        </w:tc>
        <w:tc>
          <w:tcPr>
            <w:tcW w:w="1704" w:type="dxa"/>
            <w:vAlign w:val="center"/>
          </w:tcPr>
          <w:p>
            <w:pPr>
              <w:pStyle w:val="42"/>
            </w:pPr>
            <w:r>
              <w:t>P2</w:t>
            </w:r>
          </w:p>
        </w:tc>
        <w:tc>
          <w:tcPr>
            <w:tcW w:w="1705" w:type="dxa"/>
            <w:vAlign w:val="center"/>
          </w:tcPr>
          <w:p>
            <w:pPr>
              <w:pStyle w:val="42"/>
            </w:pPr>
            <w:r>
              <w:t>P3</w:t>
            </w:r>
          </w:p>
        </w:tc>
        <w:tc>
          <w:tcPr>
            <w:tcW w:w="1705" w:type="dxa"/>
            <w:vAlign w:val="center"/>
          </w:tcPr>
          <w:p>
            <w:pPr>
              <w:pStyle w:val="42"/>
            </w:pPr>
            <w: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42"/>
            </w:pPr>
            <w:r>
              <w:t>1</w:t>
            </w:r>
            <w:r>
              <w:rPr>
                <w:rFonts w:hint="eastAsia"/>
              </w:rPr>
              <w:t>≤</w:t>
            </w:r>
            <w:r>
              <w:t>Q</w:t>
            </w:r>
            <w:r>
              <w:rPr>
                <w:rFonts w:hint="eastAsia"/>
              </w:rPr>
              <w:t>＜</w:t>
            </w:r>
            <w:r>
              <w:t>10</w:t>
            </w:r>
          </w:p>
        </w:tc>
        <w:tc>
          <w:tcPr>
            <w:tcW w:w="1704" w:type="dxa"/>
            <w:vAlign w:val="center"/>
          </w:tcPr>
          <w:p>
            <w:pPr>
              <w:pStyle w:val="42"/>
            </w:pPr>
            <w:r>
              <w:t>P2</w:t>
            </w:r>
          </w:p>
        </w:tc>
        <w:tc>
          <w:tcPr>
            <w:tcW w:w="1704" w:type="dxa"/>
            <w:vAlign w:val="center"/>
          </w:tcPr>
          <w:p>
            <w:pPr>
              <w:pStyle w:val="42"/>
            </w:pPr>
            <w:r>
              <w:t>P3</w:t>
            </w:r>
          </w:p>
        </w:tc>
        <w:tc>
          <w:tcPr>
            <w:tcW w:w="1705" w:type="dxa"/>
            <w:vAlign w:val="center"/>
          </w:tcPr>
          <w:p>
            <w:pPr>
              <w:pStyle w:val="42"/>
            </w:pPr>
            <w:r>
              <w:t>P4</w:t>
            </w:r>
          </w:p>
        </w:tc>
        <w:tc>
          <w:tcPr>
            <w:tcW w:w="1705" w:type="dxa"/>
            <w:vAlign w:val="center"/>
          </w:tcPr>
          <w:p>
            <w:pPr>
              <w:pStyle w:val="42"/>
            </w:pPr>
            <w:r>
              <w:t>P4</w:t>
            </w:r>
          </w:p>
        </w:tc>
      </w:tr>
    </w:tbl>
    <w:p>
      <w:pPr>
        <w:ind w:firstLine="480"/>
      </w:pPr>
      <w:r>
        <w:rPr>
          <w:rFonts w:hint="eastAsia"/>
        </w:rPr>
        <w:t>根据表6.3-1和表6.3-2，拟建项目建成后1≤Q＜10，所属行业及生产工艺特点为M1类，危险物质及工艺系统危险性为P2。</w:t>
      </w:r>
    </w:p>
    <w:p>
      <w:pPr>
        <w:pStyle w:val="4"/>
        <w:spacing w:before="156" w:after="156"/>
      </w:pPr>
      <w:bookmarkStart w:id="134" w:name="_Toc84844303"/>
      <w:r>
        <w:rPr>
          <w:rFonts w:hint="eastAsia"/>
        </w:rPr>
        <w:t>6.3.2E的分级确定</w:t>
      </w:r>
      <w:bookmarkEnd w:id="134"/>
    </w:p>
    <w:p>
      <w:pPr>
        <w:ind w:firstLine="480"/>
      </w:pPr>
      <w:r>
        <w:rPr>
          <w:rFonts w:hint="eastAsia"/>
        </w:rPr>
        <w:t>（1）大气环境敏感程度分级</w:t>
      </w:r>
    </w:p>
    <w:p>
      <w:pPr>
        <w:ind w:firstLine="480"/>
      </w:pPr>
      <w:r>
        <w:rPr>
          <w:rFonts w:hint="eastAsia"/>
        </w:rPr>
        <w:t>拟建项目环境敏感目标为周边5km范围内居住区、医疗卫生、文化教育、科研、行政办公等机构人口总数大于5万人，敏感程度为E1。</w:t>
      </w:r>
    </w:p>
    <w:p>
      <w:pPr>
        <w:ind w:firstLine="480"/>
      </w:pPr>
      <w:r>
        <w:rPr>
          <w:rFonts w:hint="eastAsia"/>
        </w:rPr>
        <w:t>（2）地表水环境敏感程度分级</w:t>
      </w:r>
    </w:p>
    <w:p>
      <w:pPr>
        <w:ind w:firstLine="480"/>
      </w:pPr>
      <w:r>
        <w:rPr>
          <w:rFonts w:hint="eastAsia"/>
        </w:rPr>
        <w:t>拟建项目生产生活污水经厂内污水处理站预处理达接管标准后进入园区污水处理厂；园区污水处理厂进一步处理后达标排入长江，受纳水体为III类水域，按地表水功能敏感性分区为较敏感F2。中法水务排放口位于长江重庆段四大家鱼国家级水产种质资源保护区，按地表水环境敏感目标分级为S1。</w:t>
      </w:r>
    </w:p>
    <w:p>
      <w:pPr>
        <w:ind w:firstLine="480"/>
      </w:pPr>
      <w:r>
        <w:rPr>
          <w:rFonts w:hint="eastAsia"/>
        </w:rPr>
        <w:t>依据事故情况下危险物质泄漏到水体的排放点受纳地表水体功能敏感性，与下游环境敏感目标情况，根据表6.3-4，地表水环境敏感程度为E1。</w:t>
      </w:r>
    </w:p>
    <w:p>
      <w:pPr>
        <w:pStyle w:val="41"/>
      </w:pPr>
      <w:r>
        <w:rPr>
          <w:rFonts w:hint="eastAsia"/>
        </w:rPr>
        <w:t>表6.3-4  地表水环境敏感程度分级</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vAlign w:val="center"/>
          </w:tcPr>
          <w:p>
            <w:pPr>
              <w:pStyle w:val="42"/>
            </w:pPr>
            <w:r>
              <w:t>环境敏感目标</w:t>
            </w:r>
          </w:p>
        </w:tc>
        <w:tc>
          <w:tcPr>
            <w:tcW w:w="3750" w:type="pct"/>
            <w:gridSpan w:val="3"/>
            <w:vAlign w:val="center"/>
          </w:tcPr>
          <w:p>
            <w:pPr>
              <w:pStyle w:val="42"/>
            </w:pPr>
            <w: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vAlign w:val="center"/>
          </w:tcPr>
          <w:p>
            <w:pPr>
              <w:pStyle w:val="42"/>
            </w:pPr>
          </w:p>
        </w:tc>
        <w:tc>
          <w:tcPr>
            <w:tcW w:w="1250" w:type="pct"/>
            <w:vAlign w:val="center"/>
          </w:tcPr>
          <w:p>
            <w:pPr>
              <w:pStyle w:val="42"/>
            </w:pPr>
            <w:r>
              <w:t>F1</w:t>
            </w:r>
          </w:p>
        </w:tc>
        <w:tc>
          <w:tcPr>
            <w:tcW w:w="1250" w:type="pct"/>
            <w:vAlign w:val="center"/>
          </w:tcPr>
          <w:p>
            <w:pPr>
              <w:pStyle w:val="42"/>
            </w:pPr>
            <w:r>
              <w:t>F2</w:t>
            </w:r>
          </w:p>
        </w:tc>
        <w:tc>
          <w:tcPr>
            <w:tcW w:w="1250" w:type="pct"/>
            <w:vAlign w:val="center"/>
          </w:tcPr>
          <w:p>
            <w:pPr>
              <w:pStyle w:val="42"/>
            </w:pPr>
            <w: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pPr>
              <w:pStyle w:val="42"/>
            </w:pPr>
            <w:r>
              <w:t>S1</w:t>
            </w:r>
          </w:p>
        </w:tc>
        <w:tc>
          <w:tcPr>
            <w:tcW w:w="1250" w:type="pct"/>
            <w:vAlign w:val="center"/>
          </w:tcPr>
          <w:p>
            <w:pPr>
              <w:pStyle w:val="42"/>
            </w:pPr>
            <w:r>
              <w:t>E1</w:t>
            </w:r>
          </w:p>
        </w:tc>
        <w:tc>
          <w:tcPr>
            <w:tcW w:w="1250" w:type="pct"/>
            <w:vAlign w:val="center"/>
          </w:tcPr>
          <w:p>
            <w:pPr>
              <w:pStyle w:val="42"/>
            </w:pPr>
            <w:r>
              <w:t>E1</w:t>
            </w:r>
          </w:p>
        </w:tc>
        <w:tc>
          <w:tcPr>
            <w:tcW w:w="1250" w:type="pct"/>
            <w:vAlign w:val="center"/>
          </w:tcPr>
          <w:p>
            <w:pPr>
              <w:pStyle w:val="42"/>
            </w:pPr>
            <w: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pPr>
              <w:pStyle w:val="42"/>
            </w:pPr>
            <w:r>
              <w:t>S2</w:t>
            </w:r>
          </w:p>
        </w:tc>
        <w:tc>
          <w:tcPr>
            <w:tcW w:w="1250" w:type="pct"/>
            <w:vAlign w:val="center"/>
          </w:tcPr>
          <w:p>
            <w:pPr>
              <w:pStyle w:val="42"/>
            </w:pPr>
            <w:r>
              <w:t>E1</w:t>
            </w:r>
          </w:p>
        </w:tc>
        <w:tc>
          <w:tcPr>
            <w:tcW w:w="1250" w:type="pct"/>
            <w:vAlign w:val="center"/>
          </w:tcPr>
          <w:p>
            <w:pPr>
              <w:pStyle w:val="42"/>
            </w:pPr>
            <w:r>
              <w:t>E2</w:t>
            </w:r>
          </w:p>
        </w:tc>
        <w:tc>
          <w:tcPr>
            <w:tcW w:w="1250" w:type="pct"/>
            <w:vAlign w:val="center"/>
          </w:tcPr>
          <w:p>
            <w:pPr>
              <w:pStyle w:val="42"/>
            </w:pPr>
            <w: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pPr>
              <w:pStyle w:val="42"/>
            </w:pPr>
            <w:r>
              <w:t>S3</w:t>
            </w:r>
          </w:p>
        </w:tc>
        <w:tc>
          <w:tcPr>
            <w:tcW w:w="1250" w:type="pct"/>
            <w:vAlign w:val="center"/>
          </w:tcPr>
          <w:p>
            <w:pPr>
              <w:pStyle w:val="42"/>
            </w:pPr>
            <w:r>
              <w:t>E1</w:t>
            </w:r>
          </w:p>
        </w:tc>
        <w:tc>
          <w:tcPr>
            <w:tcW w:w="1250" w:type="pct"/>
            <w:vAlign w:val="center"/>
          </w:tcPr>
          <w:p>
            <w:pPr>
              <w:pStyle w:val="42"/>
            </w:pPr>
            <w:r>
              <w:t>E2</w:t>
            </w:r>
          </w:p>
        </w:tc>
        <w:tc>
          <w:tcPr>
            <w:tcW w:w="1250" w:type="pct"/>
            <w:vAlign w:val="center"/>
          </w:tcPr>
          <w:p>
            <w:pPr>
              <w:pStyle w:val="42"/>
            </w:pPr>
            <w:r>
              <w:t>E3</w:t>
            </w:r>
          </w:p>
        </w:tc>
      </w:tr>
    </w:tbl>
    <w:p>
      <w:pPr>
        <w:ind w:firstLine="480"/>
      </w:pPr>
      <w:r>
        <w:rPr>
          <w:rFonts w:hint="eastAsia"/>
        </w:rPr>
        <w:t>（3）地下水环境敏感程度分级</w:t>
      </w:r>
    </w:p>
    <w:p>
      <w:pPr>
        <w:ind w:firstLine="480"/>
      </w:pPr>
      <w:r>
        <w:rPr>
          <w:rFonts w:hint="eastAsia"/>
        </w:rPr>
        <w:t>拟建项目所在厂区周边区域不属于集中式饮用水源准保护区以及补给径流区，没有分散式饮用水水源地，没有特殊地下水资源，地下水功能敏感性为不敏感G3。岩土的渗透系数为0.401m/d，包气带防污性能为D1。</w:t>
      </w:r>
    </w:p>
    <w:p>
      <w:pPr>
        <w:ind w:firstLine="480"/>
      </w:pPr>
      <w:r>
        <w:rPr>
          <w:rFonts w:hint="eastAsia"/>
        </w:rPr>
        <w:t>依据地下水功能敏感性与包气带防污性能，根据表6.3-5，地下水环境敏感程度为E2。</w:t>
      </w:r>
    </w:p>
    <w:p>
      <w:pPr>
        <w:pStyle w:val="41"/>
      </w:pPr>
      <w:r>
        <w:rPr>
          <w:rFonts w:hint="eastAsia"/>
        </w:rPr>
        <w:t>表6.3-5  地下水环境敏感程度分级</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Merge w:val="restart"/>
            <w:vAlign w:val="center"/>
          </w:tcPr>
          <w:p>
            <w:pPr>
              <w:pStyle w:val="42"/>
            </w:pPr>
            <w:r>
              <w:t>包气带防污性能</w:t>
            </w:r>
          </w:p>
        </w:tc>
        <w:tc>
          <w:tcPr>
            <w:tcW w:w="3750" w:type="pct"/>
            <w:gridSpan w:val="3"/>
            <w:vAlign w:val="center"/>
          </w:tcPr>
          <w:p>
            <w:pPr>
              <w:pStyle w:val="42"/>
            </w:pPr>
            <w: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Merge w:val="continue"/>
            <w:vAlign w:val="center"/>
          </w:tcPr>
          <w:p>
            <w:pPr>
              <w:pStyle w:val="42"/>
            </w:pPr>
          </w:p>
        </w:tc>
        <w:tc>
          <w:tcPr>
            <w:tcW w:w="1250" w:type="pct"/>
            <w:vAlign w:val="center"/>
          </w:tcPr>
          <w:p>
            <w:pPr>
              <w:pStyle w:val="42"/>
            </w:pPr>
            <w:r>
              <w:t>G1</w:t>
            </w:r>
          </w:p>
        </w:tc>
        <w:tc>
          <w:tcPr>
            <w:tcW w:w="1250" w:type="pct"/>
            <w:vAlign w:val="center"/>
          </w:tcPr>
          <w:p>
            <w:pPr>
              <w:pStyle w:val="42"/>
            </w:pPr>
            <w:r>
              <w:t>G2</w:t>
            </w:r>
          </w:p>
        </w:tc>
        <w:tc>
          <w:tcPr>
            <w:tcW w:w="1250" w:type="pct"/>
            <w:vAlign w:val="center"/>
          </w:tcPr>
          <w:p>
            <w:pPr>
              <w:pStyle w:val="42"/>
            </w:pPr>
            <w: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42"/>
            </w:pPr>
            <w:r>
              <w:t>D1</w:t>
            </w:r>
          </w:p>
        </w:tc>
        <w:tc>
          <w:tcPr>
            <w:tcW w:w="1250" w:type="pct"/>
            <w:vAlign w:val="center"/>
          </w:tcPr>
          <w:p>
            <w:pPr>
              <w:pStyle w:val="42"/>
            </w:pPr>
            <w:r>
              <w:t>E1</w:t>
            </w:r>
          </w:p>
        </w:tc>
        <w:tc>
          <w:tcPr>
            <w:tcW w:w="1250" w:type="pct"/>
            <w:vAlign w:val="center"/>
          </w:tcPr>
          <w:p>
            <w:pPr>
              <w:pStyle w:val="42"/>
            </w:pPr>
            <w:r>
              <w:t>E1</w:t>
            </w:r>
          </w:p>
        </w:tc>
        <w:tc>
          <w:tcPr>
            <w:tcW w:w="1250" w:type="pct"/>
            <w:vAlign w:val="center"/>
          </w:tcPr>
          <w:p>
            <w:pPr>
              <w:pStyle w:val="42"/>
            </w:pPr>
            <w: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42"/>
            </w:pPr>
            <w:r>
              <w:t>D2</w:t>
            </w:r>
          </w:p>
        </w:tc>
        <w:tc>
          <w:tcPr>
            <w:tcW w:w="1250" w:type="pct"/>
            <w:vAlign w:val="center"/>
          </w:tcPr>
          <w:p>
            <w:pPr>
              <w:pStyle w:val="42"/>
            </w:pPr>
            <w:r>
              <w:t>E1</w:t>
            </w:r>
          </w:p>
        </w:tc>
        <w:tc>
          <w:tcPr>
            <w:tcW w:w="1250" w:type="pct"/>
            <w:vAlign w:val="center"/>
          </w:tcPr>
          <w:p>
            <w:pPr>
              <w:pStyle w:val="42"/>
            </w:pPr>
            <w:r>
              <w:t>E2</w:t>
            </w:r>
          </w:p>
        </w:tc>
        <w:tc>
          <w:tcPr>
            <w:tcW w:w="1250" w:type="pct"/>
            <w:vAlign w:val="center"/>
          </w:tcPr>
          <w:p>
            <w:pPr>
              <w:pStyle w:val="42"/>
            </w:pPr>
            <w: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0" w:type="pct"/>
            <w:vAlign w:val="center"/>
          </w:tcPr>
          <w:p>
            <w:pPr>
              <w:pStyle w:val="42"/>
            </w:pPr>
            <w:r>
              <w:t>D3</w:t>
            </w:r>
          </w:p>
        </w:tc>
        <w:tc>
          <w:tcPr>
            <w:tcW w:w="1250" w:type="pct"/>
            <w:vAlign w:val="center"/>
          </w:tcPr>
          <w:p>
            <w:pPr>
              <w:pStyle w:val="42"/>
            </w:pPr>
            <w:r>
              <w:t>E1</w:t>
            </w:r>
          </w:p>
        </w:tc>
        <w:tc>
          <w:tcPr>
            <w:tcW w:w="1250" w:type="pct"/>
            <w:vAlign w:val="center"/>
          </w:tcPr>
          <w:p>
            <w:pPr>
              <w:pStyle w:val="42"/>
            </w:pPr>
            <w:r>
              <w:t>E2</w:t>
            </w:r>
          </w:p>
        </w:tc>
        <w:tc>
          <w:tcPr>
            <w:tcW w:w="1250" w:type="pct"/>
            <w:vAlign w:val="center"/>
          </w:tcPr>
          <w:p>
            <w:pPr>
              <w:pStyle w:val="42"/>
            </w:pPr>
            <w:r>
              <w:t>E3</w:t>
            </w:r>
          </w:p>
        </w:tc>
      </w:tr>
    </w:tbl>
    <w:p>
      <w:pPr>
        <w:ind w:firstLine="480"/>
      </w:pPr>
      <w:r>
        <w:rPr>
          <w:rFonts w:hint="eastAsia"/>
        </w:rPr>
        <w:t>综上，拟建项目所在区域环境敏感程度分级大气等级为E1，地表水为E1，地下水为E2。</w:t>
      </w:r>
    </w:p>
    <w:p>
      <w:pPr>
        <w:pStyle w:val="4"/>
        <w:spacing w:before="156" w:after="156"/>
      </w:pPr>
      <w:bookmarkStart w:id="135" w:name="_Toc84844304"/>
      <w:r>
        <w:rPr>
          <w:rFonts w:hint="eastAsia"/>
        </w:rPr>
        <w:t>6.3.3环境风险潜势判断</w:t>
      </w:r>
      <w:bookmarkEnd w:id="135"/>
    </w:p>
    <w:p>
      <w:pPr>
        <w:ind w:firstLine="480"/>
      </w:pPr>
      <w:r>
        <w:rPr>
          <w:rFonts w:hint="eastAsia"/>
        </w:rPr>
        <w:t>根据《建设项目环境风险评价技术导则》（HJ 169-2018）环境风险潜势划分，见表6.3-6，结合拟建项目建成后危险物质、工艺系统危险性以及环境敏感程度，分级判定内容详见表6.3-7。</w:t>
      </w:r>
    </w:p>
    <w:p>
      <w:pPr>
        <w:pStyle w:val="41"/>
      </w:pPr>
      <w:r>
        <w:rPr>
          <w:rFonts w:hint="eastAsia"/>
        </w:rPr>
        <w:t>表6.3-6  建设项目环境风险潜势划分</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422"/>
        <w:gridCol w:w="1421"/>
        <w:gridCol w:w="142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3" w:type="pct"/>
            <w:vMerge w:val="restart"/>
            <w:vAlign w:val="center"/>
          </w:tcPr>
          <w:p>
            <w:pPr>
              <w:pStyle w:val="42"/>
            </w:pPr>
            <w:r>
              <w:t>环境敏感程度（E）</w:t>
            </w:r>
          </w:p>
        </w:tc>
        <w:tc>
          <w:tcPr>
            <w:tcW w:w="3337" w:type="pct"/>
            <w:gridSpan w:val="4"/>
            <w:vAlign w:val="center"/>
          </w:tcPr>
          <w:p>
            <w:pPr>
              <w:pStyle w:val="42"/>
            </w:pPr>
            <w: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3" w:type="pct"/>
            <w:vMerge w:val="continue"/>
            <w:vAlign w:val="center"/>
          </w:tcPr>
          <w:p>
            <w:pPr>
              <w:pStyle w:val="42"/>
            </w:pPr>
          </w:p>
        </w:tc>
        <w:tc>
          <w:tcPr>
            <w:tcW w:w="834" w:type="pct"/>
            <w:vAlign w:val="center"/>
          </w:tcPr>
          <w:p>
            <w:pPr>
              <w:pStyle w:val="42"/>
            </w:pPr>
            <w:r>
              <w:t>极高危害（P1）</w:t>
            </w:r>
          </w:p>
        </w:tc>
        <w:tc>
          <w:tcPr>
            <w:tcW w:w="834" w:type="pct"/>
            <w:vAlign w:val="center"/>
          </w:tcPr>
          <w:p>
            <w:pPr>
              <w:pStyle w:val="42"/>
            </w:pPr>
            <w:r>
              <w:t>高度危害（P2）</w:t>
            </w:r>
          </w:p>
        </w:tc>
        <w:tc>
          <w:tcPr>
            <w:tcW w:w="834" w:type="pct"/>
            <w:vAlign w:val="center"/>
          </w:tcPr>
          <w:p>
            <w:pPr>
              <w:pStyle w:val="42"/>
            </w:pPr>
            <w:r>
              <w:t>中度危害（P3）</w:t>
            </w:r>
          </w:p>
        </w:tc>
        <w:tc>
          <w:tcPr>
            <w:tcW w:w="835" w:type="pct"/>
            <w:vAlign w:val="center"/>
          </w:tcPr>
          <w:p>
            <w:pPr>
              <w:pStyle w:val="42"/>
            </w:pPr>
            <w: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3" w:type="pct"/>
            <w:vAlign w:val="center"/>
          </w:tcPr>
          <w:p>
            <w:pPr>
              <w:pStyle w:val="42"/>
            </w:pPr>
            <w:r>
              <w:t>环境高度敏感区（E1）</w:t>
            </w:r>
          </w:p>
        </w:tc>
        <w:tc>
          <w:tcPr>
            <w:tcW w:w="834" w:type="pct"/>
            <w:vAlign w:val="center"/>
          </w:tcPr>
          <w:p>
            <w:pPr>
              <w:pStyle w:val="42"/>
            </w:pPr>
            <w:r>
              <w:rPr>
                <w:rFonts w:hint="eastAsia" w:ascii="宋体" w:hAnsi="宋体" w:cs="宋体"/>
              </w:rPr>
              <w:t>Ⅳ</w:t>
            </w:r>
            <w:r>
              <w:t>+</w:t>
            </w:r>
          </w:p>
        </w:tc>
        <w:tc>
          <w:tcPr>
            <w:tcW w:w="834" w:type="pct"/>
            <w:vAlign w:val="center"/>
          </w:tcPr>
          <w:p>
            <w:pPr>
              <w:pStyle w:val="42"/>
            </w:pPr>
            <w:r>
              <w:rPr>
                <w:rFonts w:hint="eastAsia" w:ascii="宋体" w:hAnsi="宋体" w:cs="宋体"/>
              </w:rPr>
              <w:t>Ⅳ</w:t>
            </w:r>
          </w:p>
        </w:tc>
        <w:tc>
          <w:tcPr>
            <w:tcW w:w="834" w:type="pct"/>
            <w:vAlign w:val="center"/>
          </w:tcPr>
          <w:p>
            <w:pPr>
              <w:pStyle w:val="42"/>
            </w:pPr>
            <w:r>
              <w:rPr>
                <w:rFonts w:hint="eastAsia"/>
              </w:rPr>
              <w:t>Ⅲ</w:t>
            </w:r>
          </w:p>
        </w:tc>
        <w:tc>
          <w:tcPr>
            <w:tcW w:w="835" w:type="pct"/>
            <w:vAlign w:val="center"/>
          </w:tcPr>
          <w:p>
            <w:pPr>
              <w:pStyle w:val="42"/>
            </w:pPr>
            <w:r>
              <w:rPr>
                <w:rFonts w:hint="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3" w:type="pct"/>
            <w:vAlign w:val="center"/>
          </w:tcPr>
          <w:p>
            <w:pPr>
              <w:pStyle w:val="42"/>
            </w:pPr>
            <w:r>
              <w:t>环境中度敏感区（E2）</w:t>
            </w:r>
          </w:p>
        </w:tc>
        <w:tc>
          <w:tcPr>
            <w:tcW w:w="834" w:type="pct"/>
            <w:vAlign w:val="center"/>
          </w:tcPr>
          <w:p>
            <w:pPr>
              <w:pStyle w:val="42"/>
            </w:pPr>
            <w:r>
              <w:rPr>
                <w:rFonts w:hint="eastAsia" w:ascii="宋体" w:hAnsi="宋体" w:cs="宋体"/>
              </w:rPr>
              <w:t>Ⅳ</w:t>
            </w:r>
          </w:p>
        </w:tc>
        <w:tc>
          <w:tcPr>
            <w:tcW w:w="834" w:type="pct"/>
            <w:vAlign w:val="center"/>
          </w:tcPr>
          <w:p>
            <w:pPr>
              <w:pStyle w:val="42"/>
            </w:pPr>
            <w:r>
              <w:rPr>
                <w:rFonts w:hint="eastAsia" w:ascii="宋体" w:hAnsi="宋体" w:cs="宋体"/>
              </w:rPr>
              <w:t>Ⅲ</w:t>
            </w:r>
          </w:p>
        </w:tc>
        <w:tc>
          <w:tcPr>
            <w:tcW w:w="834" w:type="pct"/>
            <w:vAlign w:val="center"/>
          </w:tcPr>
          <w:p>
            <w:pPr>
              <w:pStyle w:val="42"/>
            </w:pPr>
            <w:r>
              <w:rPr>
                <w:rFonts w:hint="eastAsia"/>
              </w:rPr>
              <w:t>Ⅲ</w:t>
            </w:r>
          </w:p>
        </w:tc>
        <w:tc>
          <w:tcPr>
            <w:tcW w:w="835" w:type="pct"/>
            <w:vAlign w:val="center"/>
          </w:tcPr>
          <w:p>
            <w:pPr>
              <w:pStyle w:val="42"/>
            </w:pPr>
            <w: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63" w:type="pct"/>
            <w:vAlign w:val="center"/>
          </w:tcPr>
          <w:p>
            <w:pPr>
              <w:pStyle w:val="42"/>
            </w:pPr>
            <w:r>
              <w:t>环境低度敏感区（E3）</w:t>
            </w:r>
          </w:p>
        </w:tc>
        <w:tc>
          <w:tcPr>
            <w:tcW w:w="834" w:type="pct"/>
            <w:vAlign w:val="center"/>
          </w:tcPr>
          <w:p>
            <w:pPr>
              <w:pStyle w:val="42"/>
            </w:pPr>
            <w:r>
              <w:rPr>
                <w:rFonts w:hint="eastAsia" w:ascii="宋体" w:hAnsi="宋体" w:cs="宋体"/>
              </w:rPr>
              <w:t>Ⅲ</w:t>
            </w:r>
          </w:p>
        </w:tc>
        <w:tc>
          <w:tcPr>
            <w:tcW w:w="834" w:type="pct"/>
            <w:vAlign w:val="center"/>
          </w:tcPr>
          <w:p>
            <w:pPr>
              <w:pStyle w:val="42"/>
            </w:pPr>
            <w:r>
              <w:rPr>
                <w:rFonts w:hint="eastAsia" w:ascii="宋体" w:hAnsi="宋体" w:cs="宋体"/>
              </w:rPr>
              <w:t>Ⅲ</w:t>
            </w:r>
          </w:p>
        </w:tc>
        <w:tc>
          <w:tcPr>
            <w:tcW w:w="834" w:type="pct"/>
            <w:vAlign w:val="center"/>
          </w:tcPr>
          <w:p>
            <w:pPr>
              <w:pStyle w:val="42"/>
            </w:pPr>
            <w:r>
              <w:t>II</w:t>
            </w:r>
          </w:p>
        </w:tc>
        <w:tc>
          <w:tcPr>
            <w:tcW w:w="835" w:type="pct"/>
            <w:vAlign w:val="center"/>
          </w:tcPr>
          <w:p>
            <w:pPr>
              <w:pStyle w:val="42"/>
            </w:pPr>
            <w: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vAlign w:val="center"/>
          </w:tcPr>
          <w:p>
            <w:pPr>
              <w:pStyle w:val="42"/>
              <w:jc w:val="both"/>
            </w:pPr>
            <w:r>
              <w:t>注：</w:t>
            </w:r>
            <w:r>
              <w:rPr>
                <w:rFonts w:hint="eastAsia"/>
              </w:rPr>
              <w:t>Ⅳ</w:t>
            </w:r>
            <w:r>
              <w:t>+为极高环境风险。</w:t>
            </w:r>
          </w:p>
        </w:tc>
      </w:tr>
    </w:tbl>
    <w:p>
      <w:pPr>
        <w:pStyle w:val="41"/>
      </w:pPr>
      <w:r>
        <w:rPr>
          <w:rFonts w:hint="eastAsia"/>
        </w:rPr>
        <w:t>表6.3-7  拟建项目环境风险分级判定内容统计表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42"/>
        <w:gridCol w:w="1589"/>
        <w:gridCol w:w="4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231" w:type="pct"/>
            <w:gridSpan w:val="2"/>
            <w:vAlign w:val="center"/>
          </w:tcPr>
          <w:p>
            <w:pPr>
              <w:pStyle w:val="42"/>
              <w:adjustRightInd w:val="0"/>
              <w:textAlignment w:val="baseline"/>
            </w:pPr>
            <w:r>
              <w:rPr>
                <w:rFonts w:hint="eastAsia"/>
              </w:rPr>
              <w:t>环境风险分级判定内容</w:t>
            </w:r>
          </w:p>
        </w:tc>
        <w:tc>
          <w:tcPr>
            <w:tcW w:w="2769" w:type="pct"/>
            <w:vAlign w:val="center"/>
          </w:tcPr>
          <w:p>
            <w:pPr>
              <w:pStyle w:val="42"/>
              <w:adjustRightInd w:val="0"/>
              <w:textAlignment w:val="baseline"/>
            </w:pPr>
            <w:r>
              <w:rPr>
                <w:rFonts w:hint="eastAsia"/>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231" w:type="pct"/>
            <w:gridSpan w:val="2"/>
            <w:vAlign w:val="center"/>
          </w:tcPr>
          <w:p>
            <w:pPr>
              <w:pStyle w:val="42"/>
              <w:adjustRightInd w:val="0"/>
              <w:textAlignment w:val="baseline"/>
            </w:pPr>
            <w:r>
              <w:rPr>
                <w:rFonts w:hint="eastAsia"/>
              </w:rPr>
              <w:t>危险物质数量与临界量比值（</w:t>
            </w:r>
            <w:r>
              <w:t>Q</w:t>
            </w:r>
            <w:r>
              <w:rPr>
                <w:rFonts w:hint="eastAsia"/>
              </w:rPr>
              <w:t>）</w:t>
            </w:r>
          </w:p>
        </w:tc>
        <w:tc>
          <w:tcPr>
            <w:tcW w:w="2769" w:type="pct"/>
            <w:vAlign w:val="center"/>
          </w:tcPr>
          <w:p>
            <w:pPr>
              <w:pStyle w:val="42"/>
              <w:adjustRightInd w:val="0"/>
              <w:textAlignment w:val="baseline"/>
            </w:pPr>
            <w:r>
              <w:t>1≤Q＜10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231" w:type="pct"/>
            <w:gridSpan w:val="2"/>
            <w:vAlign w:val="center"/>
          </w:tcPr>
          <w:p>
            <w:pPr>
              <w:pStyle w:val="42"/>
              <w:adjustRightInd w:val="0"/>
              <w:textAlignment w:val="baseline"/>
            </w:pPr>
            <w:r>
              <w:rPr>
                <w:rFonts w:hint="eastAsia"/>
              </w:rPr>
              <w:t>行业及生产工艺（</w:t>
            </w:r>
            <w:r>
              <w:t>M</w:t>
            </w:r>
            <w:r>
              <w:rPr>
                <w:rFonts w:hint="eastAsia"/>
              </w:rPr>
              <w:t>）</w:t>
            </w:r>
          </w:p>
        </w:tc>
        <w:tc>
          <w:tcPr>
            <w:tcW w:w="2769" w:type="pct"/>
            <w:vAlign w:val="center"/>
          </w:tcPr>
          <w:p>
            <w:pPr>
              <w:pStyle w:val="42"/>
              <w:adjustRightInd w:val="0"/>
              <w:textAlignment w:val="baseline"/>
            </w:pPr>
            <w:r>
              <w:rPr>
                <w:rFonts w:hint="eastAsia"/>
              </w:rPr>
              <w:t>M1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231" w:type="pct"/>
            <w:gridSpan w:val="2"/>
            <w:vAlign w:val="center"/>
          </w:tcPr>
          <w:p>
            <w:pPr>
              <w:pStyle w:val="42"/>
              <w:adjustRightInd w:val="0"/>
              <w:textAlignment w:val="baseline"/>
            </w:pPr>
            <w:r>
              <w:rPr>
                <w:rFonts w:hint="eastAsia"/>
              </w:rPr>
              <w:t>危险物质及工艺系统危险性等级（</w:t>
            </w:r>
            <w:r>
              <w:t>P</w:t>
            </w:r>
            <w:r>
              <w:rPr>
                <w:rFonts w:hint="eastAsia"/>
              </w:rPr>
              <w:t>）</w:t>
            </w:r>
          </w:p>
        </w:tc>
        <w:tc>
          <w:tcPr>
            <w:tcW w:w="2769" w:type="pct"/>
            <w:vAlign w:val="center"/>
          </w:tcPr>
          <w:p>
            <w:pPr>
              <w:pStyle w:val="42"/>
              <w:adjustRightInd w:val="0"/>
              <w:textAlignment w:val="baseline"/>
            </w:pPr>
            <w:r>
              <w:rPr>
                <w:rFonts w:hint="eastAsia"/>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81" w:type="pct"/>
            <w:vMerge w:val="restart"/>
            <w:vAlign w:val="center"/>
          </w:tcPr>
          <w:p>
            <w:pPr>
              <w:pStyle w:val="42"/>
              <w:adjustRightInd w:val="0"/>
              <w:textAlignment w:val="baseline"/>
            </w:pPr>
            <w:r>
              <w:rPr>
                <w:rFonts w:hint="eastAsia"/>
              </w:rPr>
              <w:t>环境敏感程度（</w:t>
            </w:r>
            <w:r>
              <w:t>E</w:t>
            </w:r>
            <w:r>
              <w:rPr>
                <w:rFonts w:hint="eastAsia"/>
              </w:rPr>
              <w:t>）</w:t>
            </w:r>
          </w:p>
        </w:tc>
        <w:tc>
          <w:tcPr>
            <w:tcW w:w="950" w:type="pct"/>
            <w:vAlign w:val="center"/>
          </w:tcPr>
          <w:p>
            <w:pPr>
              <w:pStyle w:val="42"/>
              <w:adjustRightInd w:val="0"/>
              <w:textAlignment w:val="baseline"/>
            </w:pPr>
            <w:r>
              <w:rPr>
                <w:rFonts w:hint="eastAsia"/>
              </w:rPr>
              <w:t>大气</w:t>
            </w:r>
          </w:p>
        </w:tc>
        <w:tc>
          <w:tcPr>
            <w:tcW w:w="2769" w:type="pct"/>
            <w:vAlign w:val="center"/>
          </w:tcPr>
          <w:p>
            <w:pPr>
              <w:pStyle w:val="42"/>
              <w:adjustRightInd w:val="0"/>
              <w:textAlignment w:val="baseline"/>
            </w:pPr>
            <w: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81" w:type="pct"/>
            <w:vMerge w:val="continue"/>
            <w:vAlign w:val="center"/>
          </w:tcPr>
          <w:p>
            <w:pPr>
              <w:pStyle w:val="42"/>
              <w:adjustRightInd w:val="0"/>
              <w:textAlignment w:val="baseline"/>
            </w:pPr>
          </w:p>
        </w:tc>
        <w:tc>
          <w:tcPr>
            <w:tcW w:w="950" w:type="pct"/>
            <w:vAlign w:val="center"/>
          </w:tcPr>
          <w:p>
            <w:pPr>
              <w:pStyle w:val="42"/>
              <w:adjustRightInd w:val="0"/>
              <w:textAlignment w:val="baseline"/>
            </w:pPr>
            <w:r>
              <w:rPr>
                <w:rFonts w:hint="eastAsia"/>
              </w:rPr>
              <w:t>地表水</w:t>
            </w:r>
          </w:p>
        </w:tc>
        <w:tc>
          <w:tcPr>
            <w:tcW w:w="2769" w:type="pct"/>
            <w:vAlign w:val="center"/>
          </w:tcPr>
          <w:p>
            <w:pPr>
              <w:pStyle w:val="42"/>
              <w:adjustRightInd w:val="0"/>
              <w:textAlignment w:val="baseline"/>
            </w:pPr>
            <w:r>
              <w: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81" w:type="pct"/>
            <w:vMerge w:val="continue"/>
            <w:vAlign w:val="center"/>
          </w:tcPr>
          <w:p>
            <w:pPr>
              <w:pStyle w:val="42"/>
              <w:adjustRightInd w:val="0"/>
              <w:textAlignment w:val="baseline"/>
            </w:pPr>
          </w:p>
        </w:tc>
        <w:tc>
          <w:tcPr>
            <w:tcW w:w="950" w:type="pct"/>
            <w:vAlign w:val="center"/>
          </w:tcPr>
          <w:p>
            <w:pPr>
              <w:pStyle w:val="42"/>
              <w:adjustRightInd w:val="0"/>
              <w:textAlignment w:val="baseline"/>
            </w:pPr>
            <w:r>
              <w:rPr>
                <w:rFonts w:hint="eastAsia"/>
              </w:rPr>
              <w:t>地下水</w:t>
            </w:r>
          </w:p>
        </w:tc>
        <w:tc>
          <w:tcPr>
            <w:tcW w:w="2769" w:type="pct"/>
            <w:vAlign w:val="center"/>
          </w:tcPr>
          <w:p>
            <w:pPr>
              <w:pStyle w:val="42"/>
              <w:adjustRightInd w:val="0"/>
              <w:textAlignment w:val="baseline"/>
            </w:pPr>
            <w: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231" w:type="pct"/>
            <w:gridSpan w:val="2"/>
            <w:vAlign w:val="center"/>
          </w:tcPr>
          <w:p>
            <w:pPr>
              <w:pStyle w:val="42"/>
              <w:adjustRightInd w:val="0"/>
              <w:textAlignment w:val="baseline"/>
            </w:pPr>
            <w:r>
              <w:rPr>
                <w:rFonts w:hint="eastAsia"/>
              </w:rPr>
              <w:t>环境风险潜势划分</w:t>
            </w:r>
          </w:p>
        </w:tc>
        <w:tc>
          <w:tcPr>
            <w:tcW w:w="2769" w:type="pct"/>
            <w:vAlign w:val="center"/>
          </w:tcPr>
          <w:p>
            <w:pPr>
              <w:pStyle w:val="42"/>
              <w:adjustRightInd w:val="0"/>
              <w:textAlignment w:val="baseline"/>
            </w:pP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w:t>
            </w:r>
          </w:p>
        </w:tc>
      </w:tr>
    </w:tbl>
    <w:p>
      <w:pPr>
        <w:ind w:firstLine="480"/>
        <w:rPr>
          <w:rFonts w:eastAsiaTheme="minorEastAsia"/>
        </w:rPr>
      </w:pPr>
      <w:r>
        <w:rPr>
          <w:rFonts w:hint="eastAsia" w:eastAsiaTheme="minorEastAsia"/>
        </w:rPr>
        <w:t>由上表6.3-7可见，拟建项目建成后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w:t>
      </w:r>
    </w:p>
    <w:p>
      <w:pPr>
        <w:pStyle w:val="3"/>
        <w:spacing w:before="156" w:after="156"/>
      </w:pPr>
      <w:bookmarkStart w:id="136" w:name="_Toc84844305"/>
      <w:r>
        <w:rPr>
          <w:rFonts w:hint="eastAsia"/>
        </w:rPr>
        <w:t>6.4评价等级及评价范围</w:t>
      </w:r>
      <w:bookmarkEnd w:id="136"/>
    </w:p>
    <w:p>
      <w:pPr>
        <w:pStyle w:val="4"/>
        <w:spacing w:before="156" w:after="156"/>
      </w:pPr>
      <w:bookmarkStart w:id="137" w:name="_Toc84844306"/>
      <w:r>
        <w:rPr>
          <w:rFonts w:hint="eastAsia"/>
        </w:rPr>
        <w:t>6.4.1评价等级</w:t>
      </w:r>
      <w:bookmarkEnd w:id="137"/>
    </w:p>
    <w:p>
      <w:pPr>
        <w:ind w:firstLine="480"/>
      </w:pPr>
      <w:r>
        <w:rPr>
          <w:rFonts w:hint="eastAsia"/>
        </w:rPr>
        <w:t>根据《建设项目环境风险评价技术导则》（HJ 169-2018）评价等级划分，见表6.4-1。</w:t>
      </w:r>
    </w:p>
    <w:p>
      <w:pPr>
        <w:pStyle w:val="41"/>
      </w:pPr>
      <w:r>
        <w:rPr>
          <w:rFonts w:hint="eastAsia"/>
        </w:rPr>
        <w:t>表6.4-1  项目环境影响评价等级判据一览表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1536"/>
        <w:gridCol w:w="1537"/>
        <w:gridCol w:w="1536"/>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94" w:type="pct"/>
            <w:vAlign w:val="center"/>
          </w:tcPr>
          <w:p>
            <w:pPr>
              <w:pStyle w:val="42"/>
            </w:pPr>
            <w:r>
              <w:t>环境风险潜势</w:t>
            </w:r>
          </w:p>
        </w:tc>
        <w:tc>
          <w:tcPr>
            <w:tcW w:w="901" w:type="pct"/>
            <w:vAlign w:val="center"/>
          </w:tcPr>
          <w:p>
            <w:pPr>
              <w:pStyle w:val="42"/>
            </w:pPr>
            <w:r>
              <w:rPr>
                <w:rFonts w:hint="eastAsia"/>
              </w:rPr>
              <w:t>Ⅳ</w:t>
            </w:r>
            <w:r>
              <w:t>、</w:t>
            </w:r>
            <w:r>
              <w:rPr>
                <w:rFonts w:hint="eastAsia"/>
              </w:rPr>
              <w:t>Ⅳ</w:t>
            </w:r>
            <w:r>
              <w:t>+</w:t>
            </w:r>
          </w:p>
        </w:tc>
        <w:tc>
          <w:tcPr>
            <w:tcW w:w="902" w:type="pct"/>
            <w:vAlign w:val="center"/>
          </w:tcPr>
          <w:p>
            <w:pPr>
              <w:pStyle w:val="42"/>
            </w:pPr>
            <w:r>
              <w:t>III</w:t>
            </w:r>
          </w:p>
        </w:tc>
        <w:tc>
          <w:tcPr>
            <w:tcW w:w="901" w:type="pct"/>
            <w:vAlign w:val="center"/>
          </w:tcPr>
          <w:p>
            <w:pPr>
              <w:pStyle w:val="42"/>
            </w:pPr>
            <w:r>
              <w:t>II</w:t>
            </w:r>
          </w:p>
        </w:tc>
        <w:tc>
          <w:tcPr>
            <w:tcW w:w="902" w:type="pct"/>
            <w:vAlign w:val="center"/>
          </w:tcPr>
          <w:p>
            <w:pPr>
              <w:pStyle w:val="42"/>
            </w:pPr>
            <w: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94" w:type="pct"/>
            <w:vAlign w:val="center"/>
          </w:tcPr>
          <w:p>
            <w:pPr>
              <w:pStyle w:val="42"/>
            </w:pPr>
            <w:r>
              <w:t>环境风险评价等级</w:t>
            </w:r>
          </w:p>
        </w:tc>
        <w:tc>
          <w:tcPr>
            <w:tcW w:w="901" w:type="pct"/>
            <w:vAlign w:val="center"/>
          </w:tcPr>
          <w:p>
            <w:pPr>
              <w:pStyle w:val="42"/>
            </w:pPr>
            <w:r>
              <w:t>一</w:t>
            </w:r>
          </w:p>
        </w:tc>
        <w:tc>
          <w:tcPr>
            <w:tcW w:w="902" w:type="pct"/>
            <w:vAlign w:val="center"/>
          </w:tcPr>
          <w:p>
            <w:pPr>
              <w:pStyle w:val="42"/>
            </w:pPr>
            <w:r>
              <w:t>二</w:t>
            </w:r>
          </w:p>
        </w:tc>
        <w:tc>
          <w:tcPr>
            <w:tcW w:w="901" w:type="pct"/>
            <w:vAlign w:val="center"/>
          </w:tcPr>
          <w:p>
            <w:pPr>
              <w:pStyle w:val="42"/>
            </w:pPr>
            <w:r>
              <w:t>三</w:t>
            </w:r>
          </w:p>
        </w:tc>
        <w:tc>
          <w:tcPr>
            <w:tcW w:w="902" w:type="pct"/>
            <w:vAlign w:val="center"/>
          </w:tcPr>
          <w:p>
            <w:pPr>
              <w:pStyle w:val="42"/>
            </w:pPr>
            <w:r>
              <w:t>简单分析</w:t>
            </w:r>
          </w:p>
        </w:tc>
      </w:tr>
    </w:tbl>
    <w:p>
      <w:pPr>
        <w:ind w:firstLine="480"/>
      </w:pPr>
      <w:r>
        <w:rPr>
          <w:rFonts w:hint="eastAsia" w:eastAsiaTheme="minorEastAsia"/>
        </w:rPr>
        <w:t>拟建项目建成后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Ⅲ级，根据表6.4-1，本工程大气环境风险评价等级为一级、地表水环境风险评价等级为一级、地下水环境风险评价等级为二级。</w:t>
      </w:r>
    </w:p>
    <w:p>
      <w:pPr>
        <w:ind w:firstLine="480"/>
      </w:pPr>
      <w:r>
        <w:rPr>
          <w:rFonts w:eastAsiaTheme="minorEastAsia"/>
        </w:rPr>
        <w:t>为实现对事故应急污水的有效控制，经开区按照企业最优设计、事故废水最优收集和最大拦截的原则，建成“装置级、工厂级、片区级、经开区级、流域级”的五级事故废水防控体系，确保极端事故条件下事故污水不流入长江。</w:t>
      </w:r>
    </w:p>
    <w:p>
      <w:pPr>
        <w:ind w:firstLine="480"/>
      </w:pPr>
      <w:r>
        <w:rPr>
          <w:rFonts w:hint="eastAsia"/>
        </w:rPr>
        <w:t>本工程与周边企业、园区以及当地政府形成区域联控（联动）机制，结合项目发生事故时泄漏物质为气态，事故废水管道收集输送到事故应急池的实际情况，可确保事故废水不排入地表水体。因此，拟建项目不考虑风险事故泄漏危险物质对地表水体的预测影响，主要分析事故废水防控措施有效性分析。</w:t>
      </w:r>
    </w:p>
    <w:p>
      <w:pPr>
        <w:pStyle w:val="4"/>
        <w:spacing w:before="156" w:after="156"/>
      </w:pPr>
      <w:bookmarkStart w:id="138" w:name="_Toc84844307"/>
      <w:r>
        <w:rPr>
          <w:rFonts w:hint="eastAsia"/>
        </w:rPr>
        <w:t>6.4.2评价范围</w:t>
      </w:r>
      <w:bookmarkEnd w:id="138"/>
    </w:p>
    <w:p>
      <w:pPr>
        <w:ind w:firstLine="480"/>
      </w:pPr>
      <w:r>
        <w:t>项目的环境风险评价范围具体如下：</w:t>
      </w:r>
    </w:p>
    <w:p>
      <w:pPr>
        <w:ind w:firstLine="480"/>
      </w:pPr>
      <w:r>
        <w:t>（1）大气环境评价范围</w:t>
      </w:r>
    </w:p>
    <w:p>
      <w:pPr>
        <w:ind w:firstLine="480"/>
      </w:pPr>
      <w:r>
        <w:t>以建设项目边界，四周外扩5km的范围。</w:t>
      </w:r>
    </w:p>
    <w:p>
      <w:pPr>
        <w:ind w:firstLine="480"/>
      </w:pPr>
      <w:r>
        <w:t>（2）地表水环境评价范围</w:t>
      </w:r>
    </w:p>
    <w:p>
      <w:pPr>
        <w:ind w:firstLine="480"/>
      </w:pPr>
      <w:r>
        <w:rPr>
          <w:rFonts w:hint="eastAsia"/>
        </w:rPr>
        <w:t>中法污水处理厂长江排放口上游500m至下游5km。本</w:t>
      </w:r>
      <w:r>
        <w:t>项目</w:t>
      </w:r>
      <w:r>
        <w:rPr>
          <w:rFonts w:hint="eastAsia"/>
        </w:rPr>
        <w:t>发生事故时泄漏物质为气态，事故废水管道收集输送到事故应急池</w:t>
      </w:r>
      <w:r>
        <w:t>，不排入地表水体。因此，本</w:t>
      </w:r>
      <w:r>
        <w:rPr>
          <w:rFonts w:hint="eastAsia"/>
        </w:rPr>
        <w:t>次评价重点分析事故废水拦截措施的有效性、可行性。</w:t>
      </w:r>
    </w:p>
    <w:p>
      <w:pPr>
        <w:ind w:firstLine="480"/>
      </w:pPr>
      <w:r>
        <w:t>（3）地下水环境评价范围</w:t>
      </w:r>
    </w:p>
    <w:p>
      <w:pPr>
        <w:ind w:firstLine="480"/>
      </w:pPr>
      <w:r>
        <w:t>根据《建设项目环境风险评价技术导则》（HJ169-2018）规定，</w:t>
      </w:r>
      <w:r>
        <w:rPr>
          <w:rFonts w:hint="eastAsia"/>
        </w:rPr>
        <w:t>拟建</w:t>
      </w:r>
      <w:r>
        <w:t>项目地下水环境风险评价范围：以相对独立水文地质单元为边界，选定调查范围为项目厂区及厂址周围下游区域，调查评价范围约62.48km</w:t>
      </w:r>
      <w:r>
        <w:rPr>
          <w:vertAlign w:val="superscript"/>
        </w:rPr>
        <w:t>2</w:t>
      </w:r>
      <w:r>
        <w:t>。</w:t>
      </w:r>
    </w:p>
    <w:p>
      <w:pPr>
        <w:pStyle w:val="3"/>
        <w:spacing w:before="156" w:after="156"/>
      </w:pPr>
      <w:bookmarkStart w:id="139" w:name="_Toc84844308"/>
      <w:r>
        <w:rPr>
          <w:rFonts w:hint="eastAsia"/>
        </w:rPr>
        <w:t>6.5风险识别</w:t>
      </w:r>
      <w:bookmarkEnd w:id="139"/>
    </w:p>
    <w:p>
      <w:pPr>
        <w:ind w:firstLine="480"/>
      </w:pPr>
      <w:r>
        <w:rPr>
          <w:rFonts w:hint="eastAsia"/>
        </w:rPr>
        <w:t>根据《建设项目环境风险评价技术导则》（HJ 169-2018）规定，风险识别包括物质危险性识别、生产系统危险性识别和危险物质向环境转移的途径识别。</w:t>
      </w:r>
    </w:p>
    <w:p>
      <w:pPr>
        <w:pStyle w:val="4"/>
        <w:spacing w:before="156" w:after="156"/>
      </w:pPr>
      <w:bookmarkStart w:id="140" w:name="_Toc84844309"/>
      <w:r>
        <w:rPr>
          <w:rFonts w:hint="eastAsia"/>
        </w:rPr>
        <w:t>6.5.1物质危险性识别</w:t>
      </w:r>
      <w:bookmarkEnd w:id="140"/>
    </w:p>
    <w:p>
      <w:pPr>
        <w:ind w:firstLine="480"/>
      </w:pPr>
      <w:r>
        <w:rPr>
          <w:rFonts w:hint="eastAsia"/>
        </w:rPr>
        <w:t>物质危险性识别范围：主要包括主要原辅材料、中间产物、产品、燃料、生产过程排放的“三废”污染物以及风险事故中的伴生污染物。</w:t>
      </w:r>
    </w:p>
    <w:p>
      <w:pPr>
        <w:ind w:firstLine="480"/>
      </w:pPr>
      <w:r>
        <w:rPr>
          <w:rFonts w:hint="eastAsia"/>
        </w:rPr>
        <w:t>风险类型：根据项目有毒有害物质放散起因，分火灾、爆炸和泄漏三类。</w:t>
      </w:r>
    </w:p>
    <w:p>
      <w:pPr>
        <w:ind w:firstLine="480"/>
      </w:pPr>
      <w:r>
        <w:rPr>
          <w:rFonts w:hint="eastAsia"/>
        </w:rPr>
        <w:t>拟建项目涉及的化学品有易燃品、毒害品等，主要包括：甲烷、氨、一氧化碳、甲醇和氢气等，其理化性质和毒理性详见表6.2-1。</w:t>
      </w:r>
    </w:p>
    <w:p>
      <w:pPr>
        <w:ind w:firstLine="480"/>
      </w:pPr>
      <w:r>
        <w:rPr>
          <w:rFonts w:hint="eastAsia"/>
        </w:rPr>
        <w:t>危险废物涉及生产过程中产生的废吸附剂和废催化剂等，根据《国家危险废物名录》（2016年8月1日实施），潜在泄漏、中毒、火灾、腐蚀等风险事故，其危险特性见表6.5-</w:t>
      </w:r>
      <w:r>
        <w:t>1</w:t>
      </w:r>
      <w:r>
        <w:rPr>
          <w:rFonts w:hint="eastAsia"/>
        </w:rPr>
        <w:t>。</w:t>
      </w:r>
    </w:p>
    <w:p>
      <w:pPr>
        <w:pStyle w:val="41"/>
      </w:pPr>
      <w:r>
        <w:rPr>
          <w:rFonts w:hint="eastAsia"/>
        </w:rPr>
        <w:t>表6.5-1  危险废物特性一览表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1999"/>
        <w:gridCol w:w="1602"/>
        <w:gridCol w:w="1512"/>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8" w:type="pct"/>
            <w:tcMar>
              <w:top w:w="28" w:type="dxa"/>
              <w:left w:w="28" w:type="dxa"/>
              <w:bottom w:w="28" w:type="dxa"/>
              <w:right w:w="28" w:type="dxa"/>
            </w:tcMar>
            <w:vAlign w:val="center"/>
          </w:tcPr>
          <w:p>
            <w:pPr>
              <w:pStyle w:val="42"/>
            </w:pPr>
            <w:r>
              <w:t>危险废物名称</w:t>
            </w:r>
          </w:p>
        </w:tc>
        <w:tc>
          <w:tcPr>
            <w:tcW w:w="1195" w:type="pct"/>
          </w:tcPr>
          <w:p>
            <w:pPr>
              <w:pStyle w:val="42"/>
            </w:pPr>
            <w:r>
              <w:t>危险废物类别</w:t>
            </w:r>
          </w:p>
        </w:tc>
        <w:tc>
          <w:tcPr>
            <w:tcW w:w="958" w:type="pct"/>
            <w:tcMar>
              <w:top w:w="28" w:type="dxa"/>
              <w:left w:w="28" w:type="dxa"/>
              <w:bottom w:w="28" w:type="dxa"/>
              <w:right w:w="28" w:type="dxa"/>
            </w:tcMar>
            <w:vAlign w:val="center"/>
          </w:tcPr>
          <w:p>
            <w:pPr>
              <w:pStyle w:val="42"/>
            </w:pPr>
            <w:r>
              <w:t>危险废物</w:t>
            </w:r>
            <w:r>
              <w:rPr>
                <w:rFonts w:hint="eastAsia"/>
              </w:rPr>
              <w:t>代码</w:t>
            </w:r>
          </w:p>
        </w:tc>
        <w:tc>
          <w:tcPr>
            <w:tcW w:w="904" w:type="pct"/>
            <w:tcMar>
              <w:top w:w="28" w:type="dxa"/>
              <w:left w:w="28" w:type="dxa"/>
              <w:bottom w:w="28" w:type="dxa"/>
              <w:right w:w="28" w:type="dxa"/>
            </w:tcMar>
            <w:vAlign w:val="center"/>
          </w:tcPr>
          <w:p>
            <w:pPr>
              <w:pStyle w:val="42"/>
            </w:pPr>
            <w:r>
              <w:t>危险特性</w:t>
            </w:r>
          </w:p>
        </w:tc>
        <w:tc>
          <w:tcPr>
            <w:tcW w:w="315" w:type="pct"/>
            <w:tcMar>
              <w:top w:w="28" w:type="dxa"/>
              <w:left w:w="28" w:type="dxa"/>
              <w:bottom w:w="28" w:type="dxa"/>
              <w:right w:w="28" w:type="dxa"/>
            </w:tcMar>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8" w:type="pct"/>
            <w:tcMar>
              <w:top w:w="28" w:type="dxa"/>
              <w:left w:w="28" w:type="dxa"/>
              <w:bottom w:w="28" w:type="dxa"/>
              <w:right w:w="28" w:type="dxa"/>
            </w:tcMar>
            <w:vAlign w:val="center"/>
          </w:tcPr>
          <w:p>
            <w:pPr>
              <w:pStyle w:val="42"/>
            </w:pPr>
            <w:r>
              <w:rPr>
                <w:rFonts w:hint="eastAsia"/>
              </w:rPr>
              <w:t>废催化剂</w:t>
            </w:r>
          </w:p>
        </w:tc>
        <w:tc>
          <w:tcPr>
            <w:tcW w:w="1195" w:type="pct"/>
            <w:vAlign w:val="center"/>
          </w:tcPr>
          <w:p>
            <w:pPr>
              <w:pStyle w:val="42"/>
            </w:pPr>
            <w:r>
              <w:rPr>
                <w:rFonts w:hint="eastAsia"/>
              </w:rPr>
              <w:t>HW50废催化剂</w:t>
            </w:r>
          </w:p>
        </w:tc>
        <w:tc>
          <w:tcPr>
            <w:tcW w:w="958" w:type="pct"/>
            <w:tcMar>
              <w:top w:w="28" w:type="dxa"/>
              <w:left w:w="28" w:type="dxa"/>
              <w:bottom w:w="28" w:type="dxa"/>
              <w:right w:w="28" w:type="dxa"/>
            </w:tcMar>
            <w:vAlign w:val="center"/>
          </w:tcPr>
          <w:p>
            <w:pPr>
              <w:pStyle w:val="42"/>
            </w:pPr>
            <w:r>
              <w:t>251-016-50</w:t>
            </w:r>
          </w:p>
        </w:tc>
        <w:tc>
          <w:tcPr>
            <w:tcW w:w="904" w:type="pct"/>
            <w:tcMar>
              <w:top w:w="28" w:type="dxa"/>
              <w:left w:w="28" w:type="dxa"/>
              <w:bottom w:w="28" w:type="dxa"/>
              <w:right w:w="28" w:type="dxa"/>
            </w:tcMar>
            <w:vAlign w:val="center"/>
          </w:tcPr>
          <w:p>
            <w:pPr>
              <w:pStyle w:val="42"/>
            </w:pPr>
            <w:r>
              <w:rPr>
                <w:rFonts w:hint="eastAsia"/>
              </w:rPr>
              <w:t>T</w:t>
            </w:r>
          </w:p>
        </w:tc>
        <w:tc>
          <w:tcPr>
            <w:tcW w:w="315" w:type="pct"/>
            <w:tcMar>
              <w:top w:w="28" w:type="dxa"/>
              <w:left w:w="28" w:type="dxa"/>
              <w:bottom w:w="28" w:type="dxa"/>
              <w:right w:w="28" w:type="dxa"/>
            </w:tcMar>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8" w:type="pct"/>
            <w:tcMar>
              <w:top w:w="28" w:type="dxa"/>
              <w:left w:w="28" w:type="dxa"/>
              <w:bottom w:w="28" w:type="dxa"/>
              <w:right w:w="28" w:type="dxa"/>
            </w:tcMar>
            <w:vAlign w:val="center"/>
          </w:tcPr>
          <w:p>
            <w:pPr>
              <w:pStyle w:val="42"/>
            </w:pPr>
            <w:r>
              <w:rPr>
                <w:rFonts w:hint="eastAsia"/>
              </w:rPr>
              <w:t>废催化剂</w:t>
            </w:r>
          </w:p>
        </w:tc>
        <w:tc>
          <w:tcPr>
            <w:tcW w:w="1195" w:type="pct"/>
            <w:vAlign w:val="center"/>
          </w:tcPr>
          <w:p>
            <w:pPr>
              <w:pStyle w:val="42"/>
            </w:pPr>
            <w:r>
              <w:rPr>
                <w:rFonts w:hint="eastAsia"/>
              </w:rPr>
              <w:t>HW46含镍废物</w:t>
            </w:r>
          </w:p>
        </w:tc>
        <w:tc>
          <w:tcPr>
            <w:tcW w:w="958" w:type="pct"/>
            <w:tcMar>
              <w:top w:w="28" w:type="dxa"/>
              <w:left w:w="28" w:type="dxa"/>
              <w:bottom w:w="28" w:type="dxa"/>
              <w:right w:w="28" w:type="dxa"/>
            </w:tcMar>
            <w:vAlign w:val="center"/>
          </w:tcPr>
          <w:p>
            <w:pPr>
              <w:pStyle w:val="42"/>
            </w:pPr>
            <w:r>
              <w:rPr>
                <w:rFonts w:ascii="TimesNewRomanPSMT" w:eastAsia="TimesNewRomanPSMT" w:cs="TimesNewRomanPSMT"/>
                <w:kern w:val="0"/>
                <w:szCs w:val="21"/>
              </w:rPr>
              <w:t>900-037-46</w:t>
            </w:r>
          </w:p>
        </w:tc>
        <w:tc>
          <w:tcPr>
            <w:tcW w:w="904" w:type="pct"/>
            <w:tcMar>
              <w:top w:w="28" w:type="dxa"/>
              <w:left w:w="28" w:type="dxa"/>
              <w:bottom w:w="28" w:type="dxa"/>
              <w:right w:w="28" w:type="dxa"/>
            </w:tcMar>
            <w:vAlign w:val="center"/>
          </w:tcPr>
          <w:p>
            <w:pPr>
              <w:pStyle w:val="42"/>
            </w:pPr>
            <w:r>
              <w:rPr>
                <w:rFonts w:hint="eastAsia"/>
              </w:rPr>
              <w:t>T</w:t>
            </w:r>
          </w:p>
        </w:tc>
        <w:tc>
          <w:tcPr>
            <w:tcW w:w="315" w:type="pct"/>
            <w:tcMar>
              <w:top w:w="28" w:type="dxa"/>
              <w:left w:w="28" w:type="dxa"/>
              <w:bottom w:w="28" w:type="dxa"/>
              <w:right w:w="28" w:type="dxa"/>
            </w:tcMar>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8" w:type="pct"/>
            <w:tcMar>
              <w:top w:w="28" w:type="dxa"/>
              <w:left w:w="28" w:type="dxa"/>
              <w:bottom w:w="28" w:type="dxa"/>
              <w:right w:w="28" w:type="dxa"/>
            </w:tcMar>
            <w:vAlign w:val="center"/>
          </w:tcPr>
          <w:p>
            <w:pPr>
              <w:pStyle w:val="42"/>
            </w:pPr>
            <w:r>
              <w:rPr>
                <w:rFonts w:hint="eastAsia"/>
              </w:rPr>
              <w:t>废吸附剂</w:t>
            </w:r>
          </w:p>
        </w:tc>
        <w:tc>
          <w:tcPr>
            <w:tcW w:w="1195" w:type="pct"/>
            <w:vAlign w:val="center"/>
          </w:tcPr>
          <w:p>
            <w:pPr>
              <w:pStyle w:val="42"/>
            </w:pPr>
            <w:r>
              <w:rPr>
                <w:rFonts w:hint="eastAsia"/>
              </w:rPr>
              <w:t>HW49其他废物</w:t>
            </w:r>
          </w:p>
        </w:tc>
        <w:tc>
          <w:tcPr>
            <w:tcW w:w="958" w:type="pct"/>
            <w:tcMar>
              <w:top w:w="28" w:type="dxa"/>
              <w:left w:w="28" w:type="dxa"/>
              <w:bottom w:w="28" w:type="dxa"/>
              <w:right w:w="28" w:type="dxa"/>
            </w:tcMar>
            <w:vAlign w:val="center"/>
          </w:tcPr>
          <w:p>
            <w:pPr>
              <w:pStyle w:val="42"/>
            </w:pPr>
            <w:r>
              <w:rPr>
                <w:rFonts w:ascii="TimesNewRomanPSMT" w:eastAsia="TimesNewRomanPSMT" w:cs="TimesNewRomanPSMT"/>
                <w:kern w:val="0"/>
                <w:szCs w:val="21"/>
              </w:rPr>
              <w:t>900-041-49</w:t>
            </w:r>
          </w:p>
        </w:tc>
        <w:tc>
          <w:tcPr>
            <w:tcW w:w="904" w:type="pct"/>
            <w:tcMar>
              <w:top w:w="28" w:type="dxa"/>
              <w:left w:w="28" w:type="dxa"/>
              <w:bottom w:w="28" w:type="dxa"/>
              <w:right w:w="28" w:type="dxa"/>
            </w:tcMar>
            <w:vAlign w:val="center"/>
          </w:tcPr>
          <w:p>
            <w:pPr>
              <w:pStyle w:val="42"/>
            </w:pPr>
            <w:r>
              <w:rPr>
                <w:rFonts w:ascii="TimesNewRomanPSMT" w:eastAsia="TimesNewRomanPSMT" w:cs="TimesNewRomanPSMT"/>
                <w:kern w:val="0"/>
                <w:szCs w:val="21"/>
              </w:rPr>
              <w:t>T/In</w:t>
            </w:r>
          </w:p>
        </w:tc>
        <w:tc>
          <w:tcPr>
            <w:tcW w:w="315" w:type="pct"/>
            <w:tcMar>
              <w:top w:w="28" w:type="dxa"/>
              <w:left w:w="28" w:type="dxa"/>
              <w:bottom w:w="28" w:type="dxa"/>
              <w:right w:w="28" w:type="dxa"/>
            </w:tcMar>
            <w:vAlign w:val="center"/>
          </w:tcPr>
          <w:p>
            <w:pPr>
              <w:pStyle w:val="42"/>
            </w:pPr>
          </w:p>
        </w:tc>
      </w:tr>
    </w:tbl>
    <w:p>
      <w:pPr>
        <w:pStyle w:val="4"/>
        <w:spacing w:before="156" w:after="156"/>
      </w:pPr>
      <w:bookmarkStart w:id="141" w:name="_Toc84844310"/>
      <w:r>
        <w:rPr>
          <w:rFonts w:hint="eastAsia"/>
        </w:rPr>
        <w:t>6.5.2生产系统危险性识别</w:t>
      </w:r>
      <w:bookmarkEnd w:id="141"/>
    </w:p>
    <w:p>
      <w:pPr>
        <w:ind w:firstLine="480"/>
      </w:pPr>
      <w:r>
        <w:rPr>
          <w:rFonts w:hint="eastAsia"/>
        </w:rPr>
        <w:t>拟建项目在生产过程中，设备和管线、阀门较多，因而可能引发泄漏、火灾、爆炸等事故。根据类比调查以及项目管线和生产方法的分析，生产运营过程中潜在的风险事故见表6.5-2。</w:t>
      </w:r>
    </w:p>
    <w:p>
      <w:pPr>
        <w:pStyle w:val="41"/>
      </w:pPr>
      <w:r>
        <w:rPr>
          <w:rFonts w:hint="eastAsia"/>
        </w:rPr>
        <w:t>表6.5-2  生产过程风险识别一览表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3399"/>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pStyle w:val="42"/>
            </w:pPr>
            <w:r>
              <w:t>序号</w:t>
            </w:r>
          </w:p>
        </w:tc>
        <w:tc>
          <w:tcPr>
            <w:tcW w:w="1994" w:type="pct"/>
            <w:vAlign w:val="center"/>
          </w:tcPr>
          <w:p>
            <w:pPr>
              <w:pStyle w:val="42"/>
            </w:pPr>
            <w:r>
              <w:t>潜在事故</w:t>
            </w:r>
          </w:p>
        </w:tc>
        <w:tc>
          <w:tcPr>
            <w:tcW w:w="2564" w:type="pct"/>
            <w:vAlign w:val="center"/>
          </w:tcPr>
          <w:p>
            <w:pPr>
              <w:pStyle w:val="42"/>
            </w:pPr>
            <w: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pStyle w:val="42"/>
            </w:pPr>
            <w:r>
              <w:t>1</w:t>
            </w:r>
          </w:p>
        </w:tc>
        <w:tc>
          <w:tcPr>
            <w:tcW w:w="1994" w:type="pct"/>
            <w:vAlign w:val="center"/>
          </w:tcPr>
          <w:p>
            <w:pPr>
              <w:pStyle w:val="42"/>
            </w:pPr>
            <w:r>
              <w:t>管线破裂，泄露物料</w:t>
            </w:r>
          </w:p>
        </w:tc>
        <w:tc>
          <w:tcPr>
            <w:tcW w:w="2564" w:type="pct"/>
            <w:vAlign w:val="center"/>
          </w:tcPr>
          <w:p>
            <w:pPr>
              <w:pStyle w:val="42"/>
            </w:pPr>
            <w:r>
              <w:t>腐蚀，材料不合格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pStyle w:val="42"/>
            </w:pPr>
            <w:r>
              <w:t>2</w:t>
            </w:r>
          </w:p>
        </w:tc>
        <w:tc>
          <w:tcPr>
            <w:tcW w:w="1994" w:type="pct"/>
            <w:vAlign w:val="center"/>
          </w:tcPr>
          <w:p>
            <w:pPr>
              <w:pStyle w:val="42"/>
            </w:pPr>
            <w:r>
              <w:t>各种阀门泄露物料</w:t>
            </w:r>
          </w:p>
        </w:tc>
        <w:tc>
          <w:tcPr>
            <w:tcW w:w="2564" w:type="pct"/>
            <w:vAlign w:val="center"/>
          </w:tcPr>
          <w:p>
            <w:pPr>
              <w:pStyle w:val="42"/>
            </w:pPr>
            <w:r>
              <w:t>密封圈受损，阀门不合格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pStyle w:val="42"/>
            </w:pPr>
            <w:r>
              <w:t>3</w:t>
            </w:r>
          </w:p>
        </w:tc>
        <w:tc>
          <w:tcPr>
            <w:tcW w:w="1994" w:type="pct"/>
            <w:vAlign w:val="center"/>
          </w:tcPr>
          <w:p>
            <w:pPr>
              <w:pStyle w:val="42"/>
            </w:pPr>
            <w:r>
              <w:t>机泵泄露物料</w:t>
            </w:r>
          </w:p>
        </w:tc>
        <w:tc>
          <w:tcPr>
            <w:tcW w:w="2564" w:type="pct"/>
            <w:vAlign w:val="center"/>
          </w:tcPr>
          <w:p>
            <w:pPr>
              <w:pStyle w:val="42"/>
            </w:pPr>
            <w:r>
              <w:t>轴封失效、更换不及时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pPr>
              <w:pStyle w:val="42"/>
            </w:pPr>
            <w:r>
              <w:t>4</w:t>
            </w:r>
          </w:p>
        </w:tc>
        <w:tc>
          <w:tcPr>
            <w:tcW w:w="1994" w:type="pct"/>
            <w:vAlign w:val="center"/>
          </w:tcPr>
          <w:p>
            <w:pPr>
              <w:pStyle w:val="42"/>
            </w:pPr>
            <w:r>
              <w:t>储罐泄漏或容器破损</w:t>
            </w:r>
          </w:p>
        </w:tc>
        <w:tc>
          <w:tcPr>
            <w:tcW w:w="2564" w:type="pct"/>
            <w:vAlign w:val="center"/>
          </w:tcPr>
          <w:p>
            <w:pPr>
              <w:pStyle w:val="42"/>
            </w:pPr>
            <w:r>
              <w:t>监控系统失灵、误操作、自然灾害</w:t>
            </w:r>
          </w:p>
        </w:tc>
      </w:tr>
    </w:tbl>
    <w:p>
      <w:pPr>
        <w:ind w:firstLine="480"/>
      </w:pPr>
      <w:r>
        <w:rPr>
          <w:rFonts w:hint="eastAsia"/>
        </w:rPr>
        <w:t>拟建项目运行过程中危险因素较大的场所及设备如下表6.5-3所示。</w:t>
      </w:r>
    </w:p>
    <w:p>
      <w:pPr>
        <w:pStyle w:val="41"/>
      </w:pPr>
      <w:r>
        <w:rPr>
          <w:rFonts w:hint="eastAsia"/>
        </w:rPr>
        <w:t>表6.5-3 主要危险场所及设备一览表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23"/>
        <w:gridCol w:w="1260"/>
        <w:gridCol w:w="1895"/>
        <w:gridCol w:w="804"/>
        <w:gridCol w:w="1224"/>
        <w:gridCol w:w="80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pPr>
              <w:pStyle w:val="42"/>
              <w:adjustRightInd w:val="0"/>
              <w:textAlignment w:val="baseline"/>
              <w:rPr>
                <w:sz w:val="18"/>
                <w:szCs w:val="18"/>
              </w:rPr>
            </w:pPr>
            <w:r>
              <w:rPr>
                <w:sz w:val="18"/>
                <w:szCs w:val="18"/>
              </w:rPr>
              <w:t>风险单元</w:t>
            </w:r>
          </w:p>
        </w:tc>
        <w:tc>
          <w:tcPr>
            <w:tcW w:w="600" w:type="pct"/>
            <w:vAlign w:val="center"/>
          </w:tcPr>
          <w:p>
            <w:pPr>
              <w:pStyle w:val="42"/>
              <w:adjustRightInd w:val="0"/>
              <w:textAlignment w:val="baseline"/>
              <w:rPr>
                <w:sz w:val="18"/>
                <w:szCs w:val="18"/>
              </w:rPr>
            </w:pPr>
            <w:r>
              <w:rPr>
                <w:sz w:val="18"/>
                <w:szCs w:val="18"/>
              </w:rPr>
              <w:t>生产装置及设备</w:t>
            </w:r>
          </w:p>
        </w:tc>
        <w:tc>
          <w:tcPr>
            <w:tcW w:w="739" w:type="pct"/>
            <w:vAlign w:val="center"/>
          </w:tcPr>
          <w:p>
            <w:pPr>
              <w:pStyle w:val="42"/>
              <w:adjustRightInd w:val="0"/>
              <w:textAlignment w:val="baseline"/>
              <w:rPr>
                <w:sz w:val="18"/>
                <w:szCs w:val="18"/>
              </w:rPr>
            </w:pPr>
            <w:r>
              <w:rPr>
                <w:sz w:val="18"/>
                <w:szCs w:val="18"/>
              </w:rPr>
              <w:t>操作温度、</w:t>
            </w:r>
          </w:p>
          <w:p>
            <w:pPr>
              <w:pStyle w:val="42"/>
              <w:adjustRightInd w:val="0"/>
              <w:textAlignment w:val="baseline"/>
              <w:rPr>
                <w:sz w:val="18"/>
                <w:szCs w:val="18"/>
              </w:rPr>
            </w:pPr>
            <w:r>
              <w:rPr>
                <w:sz w:val="18"/>
                <w:szCs w:val="18"/>
              </w:rPr>
              <w:t>压力</w:t>
            </w:r>
          </w:p>
        </w:tc>
        <w:tc>
          <w:tcPr>
            <w:tcW w:w="1112" w:type="pct"/>
            <w:vAlign w:val="center"/>
          </w:tcPr>
          <w:p>
            <w:pPr>
              <w:pStyle w:val="42"/>
              <w:adjustRightInd w:val="0"/>
              <w:textAlignment w:val="baseline"/>
              <w:rPr>
                <w:sz w:val="18"/>
                <w:szCs w:val="18"/>
              </w:rPr>
            </w:pPr>
            <w:r>
              <w:rPr>
                <w:sz w:val="18"/>
                <w:szCs w:val="18"/>
              </w:rPr>
              <w:t>操作介质</w:t>
            </w:r>
          </w:p>
        </w:tc>
        <w:tc>
          <w:tcPr>
            <w:tcW w:w="472" w:type="pct"/>
            <w:vAlign w:val="center"/>
          </w:tcPr>
          <w:p>
            <w:pPr>
              <w:pStyle w:val="42"/>
              <w:adjustRightInd w:val="0"/>
              <w:textAlignment w:val="baseline"/>
              <w:rPr>
                <w:sz w:val="18"/>
                <w:szCs w:val="18"/>
              </w:rPr>
            </w:pPr>
            <w:r>
              <w:rPr>
                <w:rFonts w:hint="eastAsia"/>
                <w:sz w:val="18"/>
                <w:szCs w:val="18"/>
              </w:rPr>
              <w:t>最大在线/储存量（t）</w:t>
            </w:r>
          </w:p>
        </w:tc>
        <w:tc>
          <w:tcPr>
            <w:tcW w:w="718" w:type="pct"/>
            <w:vAlign w:val="center"/>
          </w:tcPr>
          <w:p>
            <w:pPr>
              <w:pStyle w:val="42"/>
              <w:adjustRightInd w:val="0"/>
              <w:textAlignment w:val="baseline"/>
              <w:rPr>
                <w:sz w:val="18"/>
                <w:szCs w:val="18"/>
              </w:rPr>
            </w:pPr>
            <w:r>
              <w:rPr>
                <w:sz w:val="18"/>
                <w:szCs w:val="18"/>
              </w:rPr>
              <w:t>潜在事故</w:t>
            </w:r>
          </w:p>
        </w:tc>
        <w:tc>
          <w:tcPr>
            <w:tcW w:w="473" w:type="pct"/>
            <w:vAlign w:val="center"/>
          </w:tcPr>
          <w:p>
            <w:pPr>
              <w:pStyle w:val="42"/>
              <w:adjustRightInd w:val="0"/>
              <w:textAlignment w:val="baseline"/>
              <w:rPr>
                <w:sz w:val="18"/>
                <w:szCs w:val="18"/>
              </w:rPr>
            </w:pPr>
            <w:r>
              <w:rPr>
                <w:sz w:val="18"/>
                <w:szCs w:val="18"/>
              </w:rPr>
              <w:t>风险类型</w:t>
            </w:r>
          </w:p>
        </w:tc>
        <w:tc>
          <w:tcPr>
            <w:tcW w:w="502" w:type="pct"/>
            <w:vAlign w:val="center"/>
          </w:tcPr>
          <w:p>
            <w:pPr>
              <w:pStyle w:val="42"/>
              <w:adjustRightInd w:val="0"/>
              <w:textAlignment w:val="baseline"/>
              <w:rPr>
                <w:sz w:val="18"/>
                <w:szCs w:val="18"/>
              </w:rPr>
            </w:pPr>
            <w:r>
              <w:rPr>
                <w:sz w:val="18"/>
                <w:szCs w:val="18"/>
              </w:rPr>
              <w:t>主要原因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42"/>
              <w:adjustRightInd w:val="0"/>
              <w:textAlignment w:val="baseline"/>
              <w:rPr>
                <w:sz w:val="18"/>
                <w:szCs w:val="18"/>
              </w:rPr>
            </w:pPr>
            <w:r>
              <w:rPr>
                <w:rFonts w:hint="eastAsia"/>
                <w:sz w:val="18"/>
                <w:szCs w:val="18"/>
              </w:rPr>
              <w:t>合成氨装置区</w:t>
            </w:r>
          </w:p>
        </w:tc>
        <w:tc>
          <w:tcPr>
            <w:tcW w:w="600" w:type="pct"/>
            <w:vAlign w:val="center"/>
          </w:tcPr>
          <w:p>
            <w:pPr>
              <w:pStyle w:val="42"/>
              <w:adjustRightInd w:val="0"/>
              <w:textAlignment w:val="baseline"/>
              <w:rPr>
                <w:sz w:val="18"/>
                <w:szCs w:val="18"/>
              </w:rPr>
            </w:pPr>
            <w:r>
              <w:rPr>
                <w:rFonts w:hint="eastAsia"/>
                <w:sz w:val="18"/>
                <w:szCs w:val="18"/>
              </w:rPr>
              <w:t>缓冲罐</w:t>
            </w:r>
          </w:p>
        </w:tc>
        <w:tc>
          <w:tcPr>
            <w:tcW w:w="739" w:type="pct"/>
            <w:vAlign w:val="center"/>
          </w:tcPr>
          <w:p>
            <w:pPr>
              <w:pStyle w:val="42"/>
              <w:adjustRightInd w:val="0"/>
              <w:textAlignment w:val="baseline"/>
              <w:rPr>
                <w:sz w:val="18"/>
                <w:szCs w:val="18"/>
              </w:rPr>
            </w:pPr>
            <w:r>
              <w:rPr>
                <w:rFonts w:hint="eastAsia"/>
                <w:sz w:val="18"/>
                <w:szCs w:val="18"/>
              </w:rPr>
              <w:t>/</w:t>
            </w:r>
          </w:p>
        </w:tc>
        <w:tc>
          <w:tcPr>
            <w:tcW w:w="1112" w:type="pct"/>
            <w:vAlign w:val="center"/>
          </w:tcPr>
          <w:p>
            <w:pPr>
              <w:pStyle w:val="42"/>
              <w:adjustRightInd w:val="0"/>
              <w:textAlignment w:val="baseline"/>
              <w:rPr>
                <w:sz w:val="18"/>
                <w:szCs w:val="18"/>
              </w:rPr>
            </w:pPr>
            <w:r>
              <w:rPr>
                <w:rFonts w:hint="eastAsia"/>
                <w:sz w:val="18"/>
                <w:szCs w:val="18"/>
              </w:rPr>
              <w:t>甲烷</w:t>
            </w:r>
          </w:p>
        </w:tc>
        <w:tc>
          <w:tcPr>
            <w:tcW w:w="472" w:type="pct"/>
            <w:vAlign w:val="center"/>
          </w:tcPr>
          <w:p>
            <w:pPr>
              <w:pStyle w:val="42"/>
              <w:adjustRightInd w:val="0"/>
              <w:textAlignment w:val="baseline"/>
              <w:rPr>
                <w:sz w:val="18"/>
                <w:szCs w:val="18"/>
              </w:rPr>
            </w:pPr>
            <w:r>
              <w:rPr>
                <w:rFonts w:hint="eastAsia"/>
                <w:sz w:val="18"/>
                <w:szCs w:val="18"/>
              </w:rPr>
              <w:t>0.04</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钴钼反应器</w:t>
            </w:r>
          </w:p>
        </w:tc>
        <w:tc>
          <w:tcPr>
            <w:tcW w:w="739" w:type="pct"/>
            <w:vMerge w:val="restart"/>
            <w:vAlign w:val="center"/>
          </w:tcPr>
          <w:p>
            <w:pPr>
              <w:pStyle w:val="42"/>
              <w:adjustRightInd w:val="0"/>
              <w:textAlignment w:val="baseline"/>
              <w:rPr>
                <w:sz w:val="18"/>
                <w:szCs w:val="18"/>
              </w:rPr>
            </w:pPr>
            <w:r>
              <w:rPr>
                <w:rFonts w:hint="eastAsia"/>
                <w:sz w:val="18"/>
                <w:szCs w:val="18"/>
              </w:rPr>
              <w:t>380℃、3.8MPa</w:t>
            </w:r>
          </w:p>
        </w:tc>
        <w:tc>
          <w:tcPr>
            <w:tcW w:w="1112" w:type="pct"/>
            <w:vMerge w:val="restart"/>
            <w:vAlign w:val="center"/>
          </w:tcPr>
          <w:p>
            <w:pPr>
              <w:pStyle w:val="42"/>
              <w:adjustRightInd w:val="0"/>
              <w:textAlignment w:val="baseline"/>
              <w:rPr>
                <w:sz w:val="18"/>
                <w:szCs w:val="18"/>
              </w:rPr>
            </w:pPr>
            <w:r>
              <w:rPr>
                <w:rFonts w:hint="eastAsia"/>
                <w:sz w:val="18"/>
                <w:szCs w:val="18"/>
              </w:rPr>
              <w:t>甲烷、二氧化碳、氮气、氢气、其他烷烃和惰性气体等</w:t>
            </w:r>
          </w:p>
        </w:tc>
        <w:tc>
          <w:tcPr>
            <w:tcW w:w="472" w:type="pct"/>
            <w:vMerge w:val="restart"/>
            <w:vAlign w:val="center"/>
          </w:tcPr>
          <w:p>
            <w:pPr>
              <w:pStyle w:val="42"/>
              <w:adjustRightInd w:val="0"/>
              <w:textAlignment w:val="baseline"/>
              <w:rPr>
                <w:sz w:val="18"/>
                <w:szCs w:val="18"/>
              </w:rPr>
            </w:pPr>
            <w:r>
              <w:rPr>
                <w:rFonts w:hint="eastAsia"/>
                <w:sz w:val="18"/>
                <w:szCs w:val="18"/>
              </w:rPr>
              <w:t>4.749</w:t>
            </w:r>
          </w:p>
        </w:tc>
        <w:tc>
          <w:tcPr>
            <w:tcW w:w="718" w:type="pct"/>
            <w:vMerge w:val="restar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Merge w:val="restart"/>
            <w:vAlign w:val="center"/>
          </w:tcPr>
          <w:p>
            <w:pPr>
              <w:pStyle w:val="42"/>
              <w:adjustRightInd w:val="0"/>
              <w:textAlignment w:val="baseline"/>
              <w:rPr>
                <w:sz w:val="18"/>
                <w:szCs w:val="18"/>
              </w:rPr>
            </w:pPr>
            <w:r>
              <w:rPr>
                <w:rFonts w:hint="eastAsia"/>
                <w:sz w:val="18"/>
                <w:szCs w:val="18"/>
              </w:rPr>
              <w:t>泄漏、火灾、爆炸</w:t>
            </w:r>
          </w:p>
        </w:tc>
        <w:tc>
          <w:tcPr>
            <w:tcW w:w="502" w:type="pct"/>
            <w:vMerge w:val="restar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脱硫槽</w:t>
            </w:r>
          </w:p>
        </w:tc>
        <w:tc>
          <w:tcPr>
            <w:tcW w:w="739" w:type="pct"/>
            <w:vMerge w:val="continue"/>
            <w:vAlign w:val="center"/>
          </w:tcPr>
          <w:p>
            <w:pPr>
              <w:pStyle w:val="42"/>
              <w:adjustRightInd w:val="0"/>
              <w:textAlignment w:val="baseline"/>
              <w:rPr>
                <w:sz w:val="18"/>
                <w:szCs w:val="18"/>
              </w:rPr>
            </w:pPr>
          </w:p>
        </w:tc>
        <w:tc>
          <w:tcPr>
            <w:tcW w:w="1112" w:type="pct"/>
            <w:vMerge w:val="continue"/>
            <w:vAlign w:val="center"/>
          </w:tcPr>
          <w:p>
            <w:pPr>
              <w:pStyle w:val="42"/>
              <w:adjustRightInd w:val="0"/>
              <w:textAlignment w:val="baseline"/>
              <w:rPr>
                <w:sz w:val="18"/>
                <w:szCs w:val="18"/>
              </w:rPr>
            </w:pPr>
          </w:p>
        </w:tc>
        <w:tc>
          <w:tcPr>
            <w:tcW w:w="472" w:type="pct"/>
            <w:vMerge w:val="continue"/>
            <w:vAlign w:val="center"/>
          </w:tcPr>
          <w:p>
            <w:pPr>
              <w:pStyle w:val="42"/>
              <w:adjustRightInd w:val="0"/>
              <w:textAlignment w:val="baseline"/>
              <w:rPr>
                <w:sz w:val="18"/>
                <w:szCs w:val="18"/>
              </w:rPr>
            </w:pPr>
          </w:p>
        </w:tc>
        <w:tc>
          <w:tcPr>
            <w:tcW w:w="718" w:type="pct"/>
            <w:vMerge w:val="continue"/>
            <w:vAlign w:val="center"/>
          </w:tcPr>
          <w:p>
            <w:pPr>
              <w:pStyle w:val="42"/>
              <w:adjustRightInd w:val="0"/>
              <w:textAlignment w:val="baseline"/>
              <w:rPr>
                <w:sz w:val="18"/>
                <w:szCs w:val="18"/>
              </w:rPr>
            </w:pPr>
          </w:p>
        </w:tc>
        <w:tc>
          <w:tcPr>
            <w:tcW w:w="473" w:type="pct"/>
            <w:vMerge w:val="continue"/>
            <w:vAlign w:val="center"/>
          </w:tcPr>
          <w:p>
            <w:pPr>
              <w:pStyle w:val="42"/>
              <w:adjustRightInd w:val="0"/>
              <w:textAlignment w:val="baseline"/>
              <w:rPr>
                <w:sz w:val="18"/>
                <w:szCs w:val="18"/>
              </w:rPr>
            </w:pPr>
          </w:p>
        </w:tc>
        <w:tc>
          <w:tcPr>
            <w:tcW w:w="502" w:type="pct"/>
            <w:vMerge w:val="continue"/>
            <w:vAlign w:val="center"/>
          </w:tcPr>
          <w:p>
            <w:pPr>
              <w:pStyle w:val="42"/>
              <w:adjustRightInd w:val="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一段转化炉</w:t>
            </w:r>
          </w:p>
        </w:tc>
        <w:tc>
          <w:tcPr>
            <w:tcW w:w="739" w:type="pct"/>
            <w:vAlign w:val="center"/>
          </w:tcPr>
          <w:p>
            <w:pPr>
              <w:pStyle w:val="42"/>
              <w:adjustRightInd w:val="0"/>
              <w:textAlignment w:val="baseline"/>
              <w:rPr>
                <w:sz w:val="18"/>
                <w:szCs w:val="18"/>
              </w:rPr>
            </w:pPr>
            <w:r>
              <w:rPr>
                <w:rFonts w:hint="eastAsia"/>
                <w:sz w:val="18"/>
                <w:szCs w:val="18"/>
              </w:rPr>
              <w:t>510℃</w:t>
            </w:r>
          </w:p>
        </w:tc>
        <w:tc>
          <w:tcPr>
            <w:tcW w:w="1112" w:type="pct"/>
            <w:vAlign w:val="center"/>
          </w:tcPr>
          <w:p>
            <w:pPr>
              <w:pStyle w:val="42"/>
              <w:adjustRightInd w:val="0"/>
              <w:textAlignment w:val="baseline"/>
              <w:rPr>
                <w:sz w:val="18"/>
                <w:szCs w:val="18"/>
              </w:rPr>
            </w:pPr>
            <w:r>
              <w:rPr>
                <w:rFonts w:hint="eastAsia"/>
                <w:sz w:val="18"/>
                <w:szCs w:val="18"/>
              </w:rPr>
              <w:t>甲烷、二氧化碳、一氧化碳、甲醇、氮气、氢气、其他烷烃和惰性气体等</w:t>
            </w:r>
          </w:p>
        </w:tc>
        <w:tc>
          <w:tcPr>
            <w:tcW w:w="472" w:type="pct"/>
            <w:vAlign w:val="center"/>
          </w:tcPr>
          <w:p>
            <w:pPr>
              <w:pStyle w:val="42"/>
              <w:adjustRightInd w:val="0"/>
              <w:textAlignment w:val="baseline"/>
              <w:rPr>
                <w:sz w:val="18"/>
                <w:szCs w:val="18"/>
              </w:rPr>
            </w:pPr>
            <w:r>
              <w:rPr>
                <w:rFonts w:hint="eastAsia"/>
                <w:sz w:val="18"/>
                <w:szCs w:val="18"/>
              </w:rPr>
              <w:t>50.65</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高温变换炉</w:t>
            </w:r>
          </w:p>
        </w:tc>
        <w:tc>
          <w:tcPr>
            <w:tcW w:w="739" w:type="pct"/>
            <w:vAlign w:val="center"/>
          </w:tcPr>
          <w:p>
            <w:pPr>
              <w:pStyle w:val="42"/>
              <w:adjustRightInd w:val="0"/>
              <w:textAlignment w:val="baseline"/>
              <w:rPr>
                <w:sz w:val="18"/>
                <w:szCs w:val="18"/>
              </w:rPr>
            </w:pPr>
            <w:r>
              <w:rPr>
                <w:rFonts w:hint="eastAsia"/>
                <w:sz w:val="18"/>
                <w:szCs w:val="18"/>
              </w:rPr>
              <w:t>390℃、</w:t>
            </w:r>
            <w:r>
              <w:rPr>
                <w:sz w:val="18"/>
                <w:szCs w:val="18"/>
              </w:rPr>
              <w:t>2.3MPa</w:t>
            </w:r>
          </w:p>
        </w:tc>
        <w:tc>
          <w:tcPr>
            <w:tcW w:w="1112" w:type="pct"/>
            <w:vAlign w:val="center"/>
          </w:tcPr>
          <w:p>
            <w:pPr>
              <w:pStyle w:val="42"/>
              <w:adjustRightInd w:val="0"/>
              <w:textAlignment w:val="baseline"/>
              <w:rPr>
                <w:sz w:val="18"/>
                <w:szCs w:val="18"/>
              </w:rPr>
            </w:pPr>
            <w:r>
              <w:rPr>
                <w:rFonts w:hint="eastAsia"/>
                <w:sz w:val="18"/>
                <w:szCs w:val="18"/>
              </w:rPr>
              <w:t>甲烷、二氧化碳、一氧化碳、甲醇、氮气、氢气、其他烷烃和惰性气体等</w:t>
            </w:r>
          </w:p>
        </w:tc>
        <w:tc>
          <w:tcPr>
            <w:tcW w:w="472" w:type="pct"/>
            <w:vAlign w:val="center"/>
          </w:tcPr>
          <w:p>
            <w:pPr>
              <w:pStyle w:val="42"/>
              <w:adjustRightInd w:val="0"/>
              <w:textAlignment w:val="baseline"/>
              <w:rPr>
                <w:sz w:val="18"/>
                <w:szCs w:val="18"/>
              </w:rPr>
            </w:pPr>
            <w:r>
              <w:rPr>
                <w:rFonts w:hint="eastAsia"/>
                <w:sz w:val="18"/>
                <w:szCs w:val="18"/>
              </w:rPr>
              <w:t>50.65</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驰放气膜分离器</w:t>
            </w:r>
          </w:p>
        </w:tc>
        <w:tc>
          <w:tcPr>
            <w:tcW w:w="739" w:type="pct"/>
            <w:vAlign w:val="center"/>
          </w:tcPr>
          <w:p>
            <w:pPr>
              <w:pStyle w:val="42"/>
              <w:adjustRightInd w:val="0"/>
              <w:textAlignment w:val="baseline"/>
              <w:rPr>
                <w:sz w:val="18"/>
                <w:szCs w:val="18"/>
              </w:rPr>
            </w:pPr>
            <w:r>
              <w:rPr>
                <w:rFonts w:hint="eastAsia"/>
                <w:sz w:val="18"/>
                <w:szCs w:val="18"/>
              </w:rPr>
              <w:t>40～50℃、4.6MPa</w:t>
            </w:r>
          </w:p>
        </w:tc>
        <w:tc>
          <w:tcPr>
            <w:tcW w:w="1112" w:type="pct"/>
            <w:vAlign w:val="center"/>
          </w:tcPr>
          <w:p>
            <w:pPr>
              <w:pStyle w:val="42"/>
              <w:adjustRightInd w:val="0"/>
              <w:textAlignment w:val="baseline"/>
              <w:rPr>
                <w:sz w:val="18"/>
                <w:szCs w:val="18"/>
              </w:rPr>
            </w:pPr>
            <w:r>
              <w:rPr>
                <w:rFonts w:hint="eastAsia"/>
                <w:sz w:val="18"/>
                <w:szCs w:val="18"/>
              </w:rPr>
              <w:t>氢气、甲烷、甲醇、氮气、一氧化碳、二氧化碳和其他惰性气体等</w:t>
            </w:r>
          </w:p>
        </w:tc>
        <w:tc>
          <w:tcPr>
            <w:tcW w:w="472" w:type="pct"/>
            <w:vAlign w:val="center"/>
          </w:tcPr>
          <w:p>
            <w:pPr>
              <w:pStyle w:val="42"/>
              <w:adjustRightInd w:val="0"/>
              <w:textAlignment w:val="baseline"/>
              <w:rPr>
                <w:sz w:val="18"/>
                <w:szCs w:val="18"/>
              </w:rPr>
            </w:pPr>
            <w:r>
              <w:rPr>
                <w:rFonts w:hint="eastAsia"/>
                <w:sz w:val="18"/>
                <w:szCs w:val="18"/>
              </w:rPr>
              <w:t>10.50</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PSA吸附器</w:t>
            </w:r>
          </w:p>
        </w:tc>
        <w:tc>
          <w:tcPr>
            <w:tcW w:w="739" w:type="pct"/>
            <w:vAlign w:val="center"/>
          </w:tcPr>
          <w:p>
            <w:pPr>
              <w:pStyle w:val="42"/>
              <w:adjustRightInd w:val="0"/>
              <w:textAlignment w:val="baseline"/>
              <w:rPr>
                <w:sz w:val="18"/>
                <w:szCs w:val="18"/>
              </w:rPr>
            </w:pPr>
            <w:r>
              <w:rPr>
                <w:rFonts w:hint="eastAsia"/>
                <w:sz w:val="18"/>
                <w:szCs w:val="18"/>
              </w:rPr>
              <w:t>40℃、2.3MPa</w:t>
            </w:r>
          </w:p>
        </w:tc>
        <w:tc>
          <w:tcPr>
            <w:tcW w:w="1112" w:type="pct"/>
            <w:vAlign w:val="center"/>
          </w:tcPr>
          <w:p>
            <w:pPr>
              <w:pStyle w:val="42"/>
              <w:adjustRightInd w:val="0"/>
              <w:textAlignment w:val="baseline"/>
              <w:rPr>
                <w:sz w:val="18"/>
                <w:szCs w:val="18"/>
              </w:rPr>
            </w:pPr>
            <w:r>
              <w:rPr>
                <w:rFonts w:hint="eastAsia"/>
                <w:sz w:val="18"/>
                <w:szCs w:val="18"/>
              </w:rPr>
              <w:t>氢气、甲烷、甲醇、氮气、一氧化碳、二氧化碳、其他烷烃和其他惰性气体等</w:t>
            </w:r>
          </w:p>
        </w:tc>
        <w:tc>
          <w:tcPr>
            <w:tcW w:w="472" w:type="pct"/>
            <w:vAlign w:val="center"/>
          </w:tcPr>
          <w:p>
            <w:pPr>
              <w:pStyle w:val="42"/>
              <w:adjustRightInd w:val="0"/>
              <w:textAlignment w:val="baseline"/>
              <w:rPr>
                <w:sz w:val="18"/>
                <w:szCs w:val="18"/>
              </w:rPr>
            </w:pPr>
            <w:r>
              <w:rPr>
                <w:rFonts w:hint="eastAsia"/>
                <w:sz w:val="18"/>
                <w:szCs w:val="18"/>
              </w:rPr>
              <w:t>32.92</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氨合成塔</w:t>
            </w:r>
          </w:p>
        </w:tc>
        <w:tc>
          <w:tcPr>
            <w:tcW w:w="739" w:type="pct"/>
            <w:vAlign w:val="center"/>
          </w:tcPr>
          <w:p>
            <w:pPr>
              <w:pStyle w:val="42"/>
              <w:adjustRightInd w:val="0"/>
              <w:textAlignment w:val="baseline"/>
              <w:rPr>
                <w:sz w:val="18"/>
                <w:szCs w:val="18"/>
              </w:rPr>
            </w:pPr>
            <w:r>
              <w:rPr>
                <w:rFonts w:hint="eastAsia"/>
                <w:sz w:val="18"/>
                <w:szCs w:val="18"/>
              </w:rPr>
              <w:t>442.0℃、13.6MPa</w:t>
            </w:r>
          </w:p>
        </w:tc>
        <w:tc>
          <w:tcPr>
            <w:tcW w:w="1112" w:type="pct"/>
            <w:vAlign w:val="center"/>
          </w:tcPr>
          <w:p>
            <w:pPr>
              <w:pStyle w:val="42"/>
              <w:adjustRightInd w:val="0"/>
              <w:textAlignment w:val="baseline"/>
              <w:rPr>
                <w:sz w:val="18"/>
                <w:szCs w:val="18"/>
              </w:rPr>
            </w:pPr>
            <w:r>
              <w:rPr>
                <w:rFonts w:hint="eastAsia"/>
                <w:sz w:val="18"/>
                <w:szCs w:val="18"/>
              </w:rPr>
              <w:t>氨、氢气、氮气、甲烷和其他惰性杂质气体等</w:t>
            </w:r>
          </w:p>
        </w:tc>
        <w:tc>
          <w:tcPr>
            <w:tcW w:w="472" w:type="pct"/>
            <w:vAlign w:val="center"/>
          </w:tcPr>
          <w:p>
            <w:pPr>
              <w:pStyle w:val="42"/>
              <w:adjustRightInd w:val="0"/>
              <w:textAlignment w:val="baseline"/>
              <w:rPr>
                <w:sz w:val="18"/>
                <w:szCs w:val="18"/>
              </w:rPr>
            </w:pPr>
            <w:r>
              <w:rPr>
                <w:rFonts w:hint="eastAsia"/>
                <w:sz w:val="18"/>
                <w:szCs w:val="18"/>
              </w:rPr>
              <w:t>101.48</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氨分离器</w:t>
            </w:r>
          </w:p>
        </w:tc>
        <w:tc>
          <w:tcPr>
            <w:tcW w:w="739" w:type="pct"/>
            <w:vAlign w:val="center"/>
          </w:tcPr>
          <w:p>
            <w:pPr>
              <w:pStyle w:val="42"/>
              <w:adjustRightInd w:val="0"/>
              <w:textAlignment w:val="baseline"/>
              <w:rPr>
                <w:sz w:val="18"/>
                <w:szCs w:val="18"/>
              </w:rPr>
            </w:pPr>
            <w:r>
              <w:rPr>
                <w:rFonts w:hint="eastAsia"/>
                <w:sz w:val="18"/>
                <w:szCs w:val="18"/>
              </w:rPr>
              <w:t>442.0~10℃、1.8M</w:t>
            </w:r>
            <w:r>
              <w:rPr>
                <w:sz w:val="18"/>
                <w:szCs w:val="18"/>
              </w:rPr>
              <w:t>p</w:t>
            </w:r>
            <w:r>
              <w:rPr>
                <w:rFonts w:hint="eastAsia"/>
                <w:sz w:val="18"/>
                <w:szCs w:val="18"/>
              </w:rPr>
              <w:t>a</w:t>
            </w:r>
          </w:p>
        </w:tc>
        <w:tc>
          <w:tcPr>
            <w:tcW w:w="1112" w:type="pct"/>
            <w:vAlign w:val="center"/>
          </w:tcPr>
          <w:p>
            <w:pPr>
              <w:pStyle w:val="42"/>
              <w:adjustRightInd w:val="0"/>
              <w:textAlignment w:val="baseline"/>
              <w:rPr>
                <w:sz w:val="18"/>
                <w:szCs w:val="18"/>
              </w:rPr>
            </w:pPr>
            <w:r>
              <w:rPr>
                <w:rFonts w:hint="eastAsia"/>
                <w:sz w:val="18"/>
                <w:szCs w:val="18"/>
              </w:rPr>
              <w:t>氨、氢气、氮气、甲烷和其他惰性杂质气体等</w:t>
            </w:r>
          </w:p>
        </w:tc>
        <w:tc>
          <w:tcPr>
            <w:tcW w:w="472" w:type="pct"/>
            <w:vAlign w:val="center"/>
          </w:tcPr>
          <w:p>
            <w:pPr>
              <w:pStyle w:val="42"/>
              <w:adjustRightInd w:val="0"/>
              <w:textAlignment w:val="baseline"/>
              <w:rPr>
                <w:sz w:val="18"/>
                <w:szCs w:val="18"/>
              </w:rPr>
            </w:pPr>
            <w:r>
              <w:rPr>
                <w:rFonts w:hint="eastAsia"/>
                <w:sz w:val="18"/>
                <w:szCs w:val="18"/>
              </w:rPr>
              <w:t>101.48</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42"/>
              <w:adjustRightInd w:val="0"/>
              <w:textAlignment w:val="baseline"/>
              <w:rPr>
                <w:sz w:val="18"/>
                <w:szCs w:val="18"/>
              </w:rPr>
            </w:pPr>
            <w:r>
              <w:rPr>
                <w:rFonts w:hint="eastAsia"/>
                <w:sz w:val="18"/>
                <w:szCs w:val="18"/>
              </w:rPr>
              <w:t>CO</w:t>
            </w:r>
            <w:r>
              <w:rPr>
                <w:rFonts w:hint="eastAsia"/>
                <w:sz w:val="18"/>
                <w:szCs w:val="18"/>
                <w:vertAlign w:val="subscript"/>
              </w:rPr>
              <w:t>2</w:t>
            </w:r>
            <w:r>
              <w:rPr>
                <w:rFonts w:hint="eastAsia"/>
                <w:sz w:val="18"/>
                <w:szCs w:val="18"/>
              </w:rPr>
              <w:t>液化装置区</w:t>
            </w:r>
          </w:p>
        </w:tc>
        <w:tc>
          <w:tcPr>
            <w:tcW w:w="600" w:type="pct"/>
            <w:vAlign w:val="center"/>
          </w:tcPr>
          <w:p>
            <w:pPr>
              <w:pStyle w:val="42"/>
              <w:adjustRightInd w:val="0"/>
              <w:textAlignment w:val="baseline"/>
              <w:rPr>
                <w:sz w:val="18"/>
                <w:szCs w:val="18"/>
              </w:rPr>
            </w:pPr>
            <w:r>
              <w:rPr>
                <w:rFonts w:hint="eastAsia"/>
                <w:sz w:val="18"/>
                <w:szCs w:val="18"/>
              </w:rPr>
              <w:t>脱烃反应器</w:t>
            </w:r>
          </w:p>
        </w:tc>
        <w:tc>
          <w:tcPr>
            <w:tcW w:w="739" w:type="pct"/>
            <w:vAlign w:val="center"/>
          </w:tcPr>
          <w:p>
            <w:pPr>
              <w:pStyle w:val="42"/>
              <w:adjustRightInd w:val="0"/>
              <w:textAlignment w:val="baseline"/>
              <w:rPr>
                <w:sz w:val="18"/>
                <w:szCs w:val="18"/>
              </w:rPr>
            </w:pPr>
            <w:r>
              <w:rPr>
                <w:rFonts w:hint="eastAsia"/>
                <w:sz w:val="18"/>
                <w:szCs w:val="18"/>
              </w:rPr>
              <w:t>400℃、</w:t>
            </w:r>
            <w:r>
              <w:rPr>
                <w:sz w:val="18"/>
                <w:szCs w:val="18"/>
              </w:rPr>
              <w:t>2.5MPa</w:t>
            </w:r>
          </w:p>
        </w:tc>
        <w:tc>
          <w:tcPr>
            <w:tcW w:w="1112" w:type="pct"/>
            <w:vAlign w:val="center"/>
          </w:tcPr>
          <w:p>
            <w:pPr>
              <w:pStyle w:val="42"/>
              <w:adjustRightInd w:val="0"/>
              <w:textAlignment w:val="baseline"/>
              <w:rPr>
                <w:sz w:val="18"/>
                <w:szCs w:val="18"/>
              </w:rPr>
            </w:pPr>
            <w:r>
              <w:rPr>
                <w:rFonts w:hint="eastAsia"/>
                <w:sz w:val="18"/>
                <w:szCs w:val="18"/>
              </w:rPr>
              <w:t>二氧化碳、甲烷、氮气、一氧化碳、甲醇、烷烃等</w:t>
            </w:r>
          </w:p>
        </w:tc>
        <w:tc>
          <w:tcPr>
            <w:tcW w:w="472" w:type="pct"/>
            <w:vAlign w:val="center"/>
          </w:tcPr>
          <w:p>
            <w:pPr>
              <w:pStyle w:val="42"/>
              <w:adjustRightInd w:val="0"/>
              <w:textAlignment w:val="baseline"/>
              <w:rPr>
                <w:sz w:val="18"/>
                <w:szCs w:val="18"/>
              </w:rPr>
            </w:pPr>
            <w:r>
              <w:rPr>
                <w:rFonts w:hint="eastAsia"/>
                <w:sz w:val="18"/>
                <w:szCs w:val="18"/>
              </w:rPr>
              <w:t>16</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纯化干燥器</w:t>
            </w:r>
          </w:p>
        </w:tc>
        <w:tc>
          <w:tcPr>
            <w:tcW w:w="739" w:type="pct"/>
            <w:vAlign w:val="center"/>
          </w:tcPr>
          <w:p>
            <w:pPr>
              <w:pStyle w:val="42"/>
              <w:adjustRightInd w:val="0"/>
              <w:textAlignment w:val="baseline"/>
              <w:rPr>
                <w:sz w:val="18"/>
                <w:szCs w:val="18"/>
              </w:rPr>
            </w:pPr>
            <w:r>
              <w:rPr>
                <w:rFonts w:hint="eastAsia"/>
                <w:sz w:val="18"/>
                <w:szCs w:val="18"/>
              </w:rPr>
              <w:t>140</w:t>
            </w:r>
            <w:r>
              <w:rPr>
                <w:sz w:val="18"/>
                <w:szCs w:val="18"/>
              </w:rPr>
              <w:t>~</w:t>
            </w:r>
            <w:r>
              <w:rPr>
                <w:rFonts w:hint="eastAsia"/>
                <w:sz w:val="18"/>
                <w:szCs w:val="18"/>
              </w:rPr>
              <w:t>220℃</w:t>
            </w:r>
          </w:p>
        </w:tc>
        <w:tc>
          <w:tcPr>
            <w:tcW w:w="1112" w:type="pct"/>
            <w:vAlign w:val="center"/>
          </w:tcPr>
          <w:p>
            <w:pPr>
              <w:pStyle w:val="42"/>
              <w:adjustRightInd w:val="0"/>
              <w:textAlignment w:val="baseline"/>
              <w:rPr>
                <w:sz w:val="18"/>
                <w:szCs w:val="18"/>
              </w:rPr>
            </w:pPr>
            <w:r>
              <w:rPr>
                <w:rFonts w:hint="eastAsia"/>
                <w:sz w:val="18"/>
                <w:szCs w:val="18"/>
              </w:rPr>
              <w:t>二氧化碳、甲烷、氮气、一氧化碳等</w:t>
            </w:r>
          </w:p>
        </w:tc>
        <w:tc>
          <w:tcPr>
            <w:tcW w:w="472" w:type="pct"/>
            <w:vAlign w:val="center"/>
          </w:tcPr>
          <w:p>
            <w:pPr>
              <w:pStyle w:val="42"/>
              <w:adjustRightInd w:val="0"/>
              <w:textAlignment w:val="baseline"/>
              <w:rPr>
                <w:sz w:val="18"/>
                <w:szCs w:val="18"/>
              </w:rPr>
            </w:pPr>
            <w:r>
              <w:rPr>
                <w:rFonts w:hint="eastAsia"/>
                <w:sz w:val="18"/>
                <w:szCs w:val="18"/>
              </w:rPr>
              <w:t>16</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42"/>
              <w:adjustRightInd w:val="0"/>
              <w:textAlignment w:val="baseline"/>
              <w:rPr>
                <w:sz w:val="18"/>
                <w:szCs w:val="18"/>
              </w:rPr>
            </w:pPr>
          </w:p>
        </w:tc>
        <w:tc>
          <w:tcPr>
            <w:tcW w:w="600" w:type="pct"/>
            <w:vAlign w:val="center"/>
          </w:tcPr>
          <w:p>
            <w:pPr>
              <w:pStyle w:val="42"/>
              <w:adjustRightInd w:val="0"/>
              <w:textAlignment w:val="baseline"/>
              <w:rPr>
                <w:sz w:val="18"/>
                <w:szCs w:val="18"/>
              </w:rPr>
            </w:pPr>
            <w:r>
              <w:rPr>
                <w:rFonts w:hint="eastAsia"/>
                <w:sz w:val="18"/>
                <w:szCs w:val="18"/>
              </w:rPr>
              <w:t>液化、精馏塔</w:t>
            </w:r>
          </w:p>
        </w:tc>
        <w:tc>
          <w:tcPr>
            <w:tcW w:w="739" w:type="pct"/>
            <w:vAlign w:val="center"/>
          </w:tcPr>
          <w:p>
            <w:pPr>
              <w:pStyle w:val="42"/>
              <w:adjustRightInd w:val="0"/>
              <w:textAlignment w:val="baseline"/>
              <w:rPr>
                <w:sz w:val="18"/>
                <w:szCs w:val="18"/>
              </w:rPr>
            </w:pPr>
            <w:r>
              <w:rPr>
                <w:rFonts w:hint="eastAsia"/>
                <w:sz w:val="18"/>
                <w:szCs w:val="18"/>
              </w:rPr>
              <w:t>2.3MPa</w:t>
            </w:r>
          </w:p>
        </w:tc>
        <w:tc>
          <w:tcPr>
            <w:tcW w:w="1112" w:type="pct"/>
            <w:vAlign w:val="center"/>
          </w:tcPr>
          <w:p>
            <w:pPr>
              <w:pStyle w:val="42"/>
              <w:adjustRightInd w:val="0"/>
              <w:textAlignment w:val="baseline"/>
              <w:rPr>
                <w:sz w:val="18"/>
                <w:szCs w:val="18"/>
              </w:rPr>
            </w:pPr>
            <w:r>
              <w:rPr>
                <w:rFonts w:hint="eastAsia"/>
                <w:sz w:val="18"/>
                <w:szCs w:val="18"/>
              </w:rPr>
              <w:t>二氧化碳、甲烷、氮气、一氧化碳等</w:t>
            </w:r>
          </w:p>
        </w:tc>
        <w:tc>
          <w:tcPr>
            <w:tcW w:w="472" w:type="pct"/>
            <w:vAlign w:val="center"/>
          </w:tcPr>
          <w:p>
            <w:pPr>
              <w:pStyle w:val="42"/>
              <w:adjustRightInd w:val="0"/>
              <w:textAlignment w:val="baseline"/>
              <w:rPr>
                <w:sz w:val="18"/>
                <w:szCs w:val="18"/>
              </w:rPr>
            </w:pPr>
            <w:r>
              <w:rPr>
                <w:rFonts w:hint="eastAsia"/>
                <w:sz w:val="18"/>
                <w:szCs w:val="18"/>
              </w:rPr>
              <w:t>13</w:t>
            </w:r>
          </w:p>
        </w:tc>
        <w:tc>
          <w:tcPr>
            <w:tcW w:w="718" w:type="pct"/>
            <w:vAlign w:val="center"/>
          </w:tcPr>
          <w:p>
            <w:pPr>
              <w:pStyle w:val="42"/>
              <w:adjustRightInd w:val="0"/>
              <w:textAlignment w:val="baseline"/>
              <w:rPr>
                <w:sz w:val="18"/>
                <w:szCs w:val="18"/>
              </w:rPr>
            </w:pPr>
            <w:r>
              <w:rPr>
                <w:rFonts w:hint="eastAsia"/>
                <w:sz w:val="18"/>
                <w:szCs w:val="18"/>
              </w:rPr>
              <w:t>管道破损、阀门、机泵物料泄漏</w:t>
            </w:r>
          </w:p>
        </w:tc>
        <w:tc>
          <w:tcPr>
            <w:tcW w:w="473" w:type="pct"/>
            <w:vAlign w:val="center"/>
          </w:tcPr>
          <w:p>
            <w:pPr>
              <w:pStyle w:val="42"/>
              <w:adjustRightInd w:val="0"/>
              <w:textAlignment w:val="baseline"/>
              <w:rPr>
                <w:sz w:val="18"/>
                <w:szCs w:val="18"/>
              </w:rPr>
            </w:pPr>
            <w:r>
              <w:rPr>
                <w:rFonts w:hint="eastAsia"/>
                <w:sz w:val="18"/>
                <w:szCs w:val="18"/>
              </w:rPr>
              <w:t>泄漏、火灾、爆炸、中毒</w:t>
            </w:r>
          </w:p>
        </w:tc>
        <w:tc>
          <w:tcPr>
            <w:tcW w:w="502" w:type="pct"/>
            <w:vAlign w:val="center"/>
          </w:tcPr>
          <w:p>
            <w:pPr>
              <w:pStyle w:val="42"/>
              <w:adjustRightInd w:val="0"/>
              <w:textAlignment w:val="baseline"/>
              <w:rPr>
                <w:sz w:val="18"/>
                <w:szCs w:val="18"/>
              </w:rPr>
            </w:pPr>
            <w:r>
              <w:rPr>
                <w:rFonts w:hint="eastAsia"/>
                <w:sz w:val="18"/>
                <w:szCs w:val="18"/>
              </w:rPr>
              <w:t>设备损坏、误操作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pct"/>
            <w:gridSpan w:val="2"/>
            <w:vAlign w:val="center"/>
          </w:tcPr>
          <w:p>
            <w:pPr>
              <w:pStyle w:val="42"/>
              <w:adjustRightInd w:val="0"/>
              <w:textAlignment w:val="baseline"/>
              <w:rPr>
                <w:sz w:val="18"/>
                <w:szCs w:val="18"/>
              </w:rPr>
            </w:pPr>
            <w:r>
              <w:rPr>
                <w:rFonts w:hint="eastAsia"/>
                <w:sz w:val="18"/>
                <w:szCs w:val="18"/>
              </w:rPr>
              <w:t>CO</w:t>
            </w:r>
            <w:r>
              <w:rPr>
                <w:rFonts w:hint="eastAsia"/>
                <w:sz w:val="18"/>
                <w:szCs w:val="18"/>
                <w:vertAlign w:val="subscript"/>
              </w:rPr>
              <w:t>2</w:t>
            </w:r>
            <w:r>
              <w:rPr>
                <w:rFonts w:hint="eastAsia"/>
                <w:sz w:val="18"/>
                <w:szCs w:val="18"/>
              </w:rPr>
              <w:t>储罐区</w:t>
            </w:r>
          </w:p>
        </w:tc>
        <w:tc>
          <w:tcPr>
            <w:tcW w:w="739" w:type="pct"/>
            <w:vAlign w:val="center"/>
          </w:tcPr>
          <w:p>
            <w:pPr>
              <w:pStyle w:val="42"/>
              <w:adjustRightInd w:val="0"/>
              <w:textAlignment w:val="baseline"/>
              <w:rPr>
                <w:sz w:val="18"/>
                <w:szCs w:val="18"/>
              </w:rPr>
            </w:pPr>
            <w:r>
              <w:rPr>
                <w:rFonts w:hint="eastAsia"/>
                <w:sz w:val="18"/>
                <w:szCs w:val="18"/>
              </w:rPr>
              <w:t>-30℃、2.5MPa</w:t>
            </w:r>
          </w:p>
        </w:tc>
        <w:tc>
          <w:tcPr>
            <w:tcW w:w="1112" w:type="pct"/>
            <w:vAlign w:val="center"/>
          </w:tcPr>
          <w:p>
            <w:pPr>
              <w:pStyle w:val="42"/>
              <w:adjustRightInd w:val="0"/>
              <w:textAlignment w:val="baseline"/>
              <w:rPr>
                <w:sz w:val="18"/>
                <w:szCs w:val="18"/>
              </w:rPr>
            </w:pPr>
            <w:r>
              <w:rPr>
                <w:rFonts w:hint="eastAsia"/>
                <w:sz w:val="18"/>
                <w:szCs w:val="18"/>
              </w:rPr>
              <w:t>二氧化碳</w:t>
            </w:r>
          </w:p>
        </w:tc>
        <w:tc>
          <w:tcPr>
            <w:tcW w:w="472" w:type="pct"/>
            <w:vAlign w:val="center"/>
          </w:tcPr>
          <w:p>
            <w:pPr>
              <w:pStyle w:val="42"/>
              <w:adjustRightInd w:val="0"/>
              <w:textAlignment w:val="baseline"/>
              <w:rPr>
                <w:sz w:val="18"/>
                <w:szCs w:val="18"/>
              </w:rPr>
            </w:pPr>
            <w:r>
              <w:rPr>
                <w:rFonts w:hint="eastAsia"/>
                <w:sz w:val="18"/>
                <w:szCs w:val="18"/>
              </w:rPr>
              <w:t>1515</w:t>
            </w:r>
          </w:p>
        </w:tc>
        <w:tc>
          <w:tcPr>
            <w:tcW w:w="718" w:type="pct"/>
            <w:vAlign w:val="center"/>
          </w:tcPr>
          <w:p>
            <w:pPr>
              <w:pStyle w:val="42"/>
              <w:adjustRightInd w:val="0"/>
              <w:textAlignment w:val="baseline"/>
              <w:rPr>
                <w:sz w:val="18"/>
                <w:szCs w:val="18"/>
              </w:rPr>
            </w:pPr>
            <w:r>
              <w:rPr>
                <w:rFonts w:hint="eastAsia"/>
                <w:sz w:val="18"/>
                <w:szCs w:val="18"/>
              </w:rPr>
              <w:t>遇高热，容器内压增大，导致储罐开裂和爆炸</w:t>
            </w:r>
          </w:p>
        </w:tc>
        <w:tc>
          <w:tcPr>
            <w:tcW w:w="473" w:type="pct"/>
            <w:vAlign w:val="center"/>
          </w:tcPr>
          <w:p>
            <w:pPr>
              <w:pStyle w:val="42"/>
              <w:adjustRightInd w:val="0"/>
              <w:textAlignment w:val="baseline"/>
              <w:rPr>
                <w:sz w:val="18"/>
                <w:szCs w:val="18"/>
              </w:rPr>
            </w:pPr>
            <w:r>
              <w:rPr>
                <w:rFonts w:hint="eastAsia"/>
                <w:sz w:val="18"/>
                <w:szCs w:val="18"/>
              </w:rPr>
              <w:t>爆炸</w:t>
            </w:r>
          </w:p>
        </w:tc>
        <w:tc>
          <w:tcPr>
            <w:tcW w:w="502" w:type="pct"/>
            <w:vAlign w:val="center"/>
          </w:tcPr>
          <w:p>
            <w:pPr>
              <w:pStyle w:val="42"/>
              <w:adjustRightInd w:val="0"/>
              <w:textAlignment w:val="baseline"/>
              <w:rPr>
                <w:sz w:val="18"/>
                <w:szCs w:val="18"/>
              </w:rPr>
            </w:pPr>
            <w:r>
              <w:rPr>
                <w:rFonts w:hint="eastAsia"/>
                <w:sz w:val="18"/>
                <w:szCs w:val="18"/>
              </w:rPr>
              <w:t>遇高热，容器内压增大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pct"/>
            <w:gridSpan w:val="2"/>
            <w:vAlign w:val="center"/>
          </w:tcPr>
          <w:p>
            <w:pPr>
              <w:pStyle w:val="42"/>
              <w:adjustRightInd w:val="0"/>
              <w:textAlignment w:val="baseline"/>
              <w:rPr>
                <w:sz w:val="18"/>
                <w:szCs w:val="18"/>
              </w:rPr>
            </w:pPr>
            <w:r>
              <w:rPr>
                <w:rFonts w:hint="eastAsia"/>
                <w:sz w:val="18"/>
                <w:szCs w:val="18"/>
              </w:rPr>
              <w:t>液氨输送管道</w:t>
            </w:r>
          </w:p>
        </w:tc>
        <w:tc>
          <w:tcPr>
            <w:tcW w:w="739" w:type="pct"/>
            <w:vAlign w:val="center"/>
          </w:tcPr>
          <w:p>
            <w:pPr>
              <w:pStyle w:val="42"/>
              <w:adjustRightInd w:val="0"/>
              <w:textAlignment w:val="baseline"/>
              <w:rPr>
                <w:sz w:val="18"/>
                <w:szCs w:val="18"/>
              </w:rPr>
            </w:pPr>
            <w:r>
              <w:rPr>
                <w:rFonts w:hint="eastAsia"/>
                <w:sz w:val="18"/>
                <w:szCs w:val="18"/>
              </w:rPr>
              <w:t>10℃、1.6MPa</w:t>
            </w:r>
          </w:p>
        </w:tc>
        <w:tc>
          <w:tcPr>
            <w:tcW w:w="1112" w:type="pct"/>
            <w:vAlign w:val="center"/>
          </w:tcPr>
          <w:p>
            <w:pPr>
              <w:pStyle w:val="42"/>
              <w:adjustRightInd w:val="0"/>
              <w:textAlignment w:val="baseline"/>
              <w:rPr>
                <w:sz w:val="18"/>
                <w:szCs w:val="18"/>
              </w:rPr>
            </w:pPr>
            <w:r>
              <w:rPr>
                <w:rFonts w:hint="eastAsia"/>
                <w:sz w:val="18"/>
                <w:szCs w:val="18"/>
              </w:rPr>
              <w:t>氨</w:t>
            </w:r>
          </w:p>
        </w:tc>
        <w:tc>
          <w:tcPr>
            <w:tcW w:w="472" w:type="pct"/>
            <w:vAlign w:val="center"/>
          </w:tcPr>
          <w:p>
            <w:pPr>
              <w:pStyle w:val="42"/>
              <w:adjustRightInd w:val="0"/>
              <w:textAlignment w:val="baseline"/>
              <w:rPr>
                <w:sz w:val="18"/>
                <w:szCs w:val="18"/>
              </w:rPr>
            </w:pPr>
            <w:r>
              <w:rPr>
                <w:rFonts w:hint="eastAsia"/>
                <w:sz w:val="18"/>
                <w:szCs w:val="18"/>
              </w:rPr>
              <w:t>/</w:t>
            </w:r>
          </w:p>
        </w:tc>
        <w:tc>
          <w:tcPr>
            <w:tcW w:w="718" w:type="pct"/>
            <w:vAlign w:val="center"/>
          </w:tcPr>
          <w:p>
            <w:pPr>
              <w:pStyle w:val="42"/>
              <w:adjustRightInd w:val="0"/>
              <w:textAlignment w:val="baseline"/>
              <w:rPr>
                <w:sz w:val="18"/>
                <w:szCs w:val="18"/>
              </w:rPr>
            </w:pPr>
            <w:r>
              <w:rPr>
                <w:rFonts w:hint="eastAsia"/>
                <w:sz w:val="18"/>
                <w:szCs w:val="18"/>
              </w:rPr>
              <w:t>管道破损、物料泄漏</w:t>
            </w:r>
          </w:p>
        </w:tc>
        <w:tc>
          <w:tcPr>
            <w:tcW w:w="473" w:type="pct"/>
            <w:vAlign w:val="center"/>
          </w:tcPr>
          <w:p>
            <w:pPr>
              <w:pStyle w:val="42"/>
              <w:adjustRightInd w:val="0"/>
              <w:textAlignment w:val="baseline"/>
              <w:rPr>
                <w:sz w:val="18"/>
                <w:szCs w:val="18"/>
              </w:rPr>
            </w:pPr>
            <w:r>
              <w:rPr>
                <w:rFonts w:hint="eastAsia"/>
                <w:sz w:val="18"/>
                <w:szCs w:val="18"/>
              </w:rPr>
              <w:t>泄漏、中毒</w:t>
            </w:r>
          </w:p>
        </w:tc>
        <w:tc>
          <w:tcPr>
            <w:tcW w:w="502" w:type="pct"/>
            <w:vAlign w:val="center"/>
          </w:tcPr>
          <w:p>
            <w:pPr>
              <w:pStyle w:val="42"/>
              <w:adjustRightInd w:val="0"/>
              <w:textAlignment w:val="baseline"/>
              <w:rPr>
                <w:sz w:val="18"/>
                <w:szCs w:val="18"/>
              </w:rPr>
            </w:pPr>
            <w:r>
              <w:rPr>
                <w:rFonts w:hint="eastAsia"/>
                <w:sz w:val="18"/>
                <w:szCs w:val="18"/>
              </w:rPr>
              <w:t>管道损坏、误操作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pct"/>
            <w:gridSpan w:val="2"/>
            <w:vAlign w:val="center"/>
          </w:tcPr>
          <w:p>
            <w:pPr>
              <w:pStyle w:val="42"/>
              <w:adjustRightInd w:val="0"/>
              <w:textAlignment w:val="baseline"/>
              <w:rPr>
                <w:sz w:val="18"/>
                <w:szCs w:val="18"/>
              </w:rPr>
            </w:pPr>
            <w:r>
              <w:rPr>
                <w:rFonts w:hint="eastAsia"/>
                <w:sz w:val="18"/>
                <w:szCs w:val="18"/>
              </w:rPr>
              <w:t>废水处理站调节池</w:t>
            </w:r>
          </w:p>
        </w:tc>
        <w:tc>
          <w:tcPr>
            <w:tcW w:w="739" w:type="pct"/>
            <w:vAlign w:val="center"/>
          </w:tcPr>
          <w:p>
            <w:pPr>
              <w:pStyle w:val="42"/>
              <w:adjustRightInd w:val="0"/>
              <w:textAlignment w:val="baseline"/>
              <w:rPr>
                <w:sz w:val="18"/>
                <w:szCs w:val="18"/>
              </w:rPr>
            </w:pPr>
            <w:r>
              <w:rPr>
                <w:rFonts w:hint="eastAsia"/>
                <w:sz w:val="18"/>
                <w:szCs w:val="18"/>
              </w:rPr>
              <w:t>/</w:t>
            </w:r>
          </w:p>
        </w:tc>
        <w:tc>
          <w:tcPr>
            <w:tcW w:w="1112" w:type="pct"/>
            <w:vAlign w:val="center"/>
          </w:tcPr>
          <w:p>
            <w:pPr>
              <w:pStyle w:val="42"/>
              <w:adjustRightInd w:val="0"/>
              <w:textAlignment w:val="baseline"/>
              <w:rPr>
                <w:sz w:val="18"/>
                <w:szCs w:val="18"/>
              </w:rPr>
            </w:pPr>
            <w:r>
              <w:rPr>
                <w:rFonts w:hint="eastAsia"/>
                <w:sz w:val="18"/>
                <w:szCs w:val="18"/>
              </w:rPr>
              <w:t>地坪清洗水</w:t>
            </w:r>
          </w:p>
        </w:tc>
        <w:tc>
          <w:tcPr>
            <w:tcW w:w="472" w:type="pct"/>
            <w:vAlign w:val="center"/>
          </w:tcPr>
          <w:p>
            <w:pPr>
              <w:pStyle w:val="42"/>
              <w:adjustRightInd w:val="0"/>
              <w:textAlignment w:val="baseline"/>
              <w:rPr>
                <w:sz w:val="18"/>
                <w:szCs w:val="18"/>
              </w:rPr>
            </w:pPr>
            <w:r>
              <w:rPr>
                <w:rFonts w:hint="eastAsia"/>
                <w:sz w:val="18"/>
                <w:szCs w:val="18"/>
              </w:rPr>
              <w:t>48.26</w:t>
            </w:r>
          </w:p>
        </w:tc>
        <w:tc>
          <w:tcPr>
            <w:tcW w:w="718" w:type="pct"/>
            <w:vAlign w:val="center"/>
          </w:tcPr>
          <w:p>
            <w:pPr>
              <w:pStyle w:val="42"/>
              <w:adjustRightInd w:val="0"/>
              <w:textAlignment w:val="baseline"/>
              <w:rPr>
                <w:sz w:val="18"/>
                <w:szCs w:val="18"/>
              </w:rPr>
            </w:pPr>
            <w:r>
              <w:rPr>
                <w:rFonts w:hint="eastAsia"/>
                <w:sz w:val="18"/>
                <w:szCs w:val="18"/>
              </w:rPr>
              <w:t>池底防渗层破损，废水泄漏</w:t>
            </w:r>
          </w:p>
        </w:tc>
        <w:tc>
          <w:tcPr>
            <w:tcW w:w="473" w:type="pct"/>
            <w:vAlign w:val="center"/>
          </w:tcPr>
          <w:p>
            <w:pPr>
              <w:pStyle w:val="42"/>
              <w:adjustRightInd w:val="0"/>
              <w:textAlignment w:val="baseline"/>
              <w:rPr>
                <w:sz w:val="18"/>
                <w:szCs w:val="18"/>
              </w:rPr>
            </w:pPr>
            <w:r>
              <w:rPr>
                <w:rFonts w:hint="eastAsia"/>
                <w:sz w:val="18"/>
                <w:szCs w:val="18"/>
              </w:rPr>
              <w:t>泄漏</w:t>
            </w:r>
          </w:p>
        </w:tc>
        <w:tc>
          <w:tcPr>
            <w:tcW w:w="502" w:type="pct"/>
            <w:vAlign w:val="center"/>
          </w:tcPr>
          <w:p>
            <w:pPr>
              <w:pStyle w:val="42"/>
              <w:adjustRightInd w:val="0"/>
              <w:textAlignment w:val="baseline"/>
              <w:rPr>
                <w:sz w:val="18"/>
                <w:szCs w:val="18"/>
              </w:rPr>
            </w:pPr>
            <w:r>
              <w:rPr>
                <w:rFonts w:hint="eastAsia"/>
                <w:sz w:val="18"/>
                <w:szCs w:val="18"/>
              </w:rPr>
              <w:t>池底防渗层破损</w:t>
            </w:r>
          </w:p>
        </w:tc>
      </w:tr>
    </w:tbl>
    <w:p>
      <w:pPr>
        <w:pStyle w:val="4"/>
        <w:spacing w:before="156" w:after="156"/>
      </w:pPr>
      <w:bookmarkStart w:id="142" w:name="_Toc84844311"/>
      <w:r>
        <w:rPr>
          <w:rFonts w:hint="eastAsia"/>
        </w:rPr>
        <w:t>6.5.3风险识别结果</w:t>
      </w:r>
      <w:bookmarkEnd w:id="142"/>
    </w:p>
    <w:p>
      <w:pPr>
        <w:ind w:firstLine="480"/>
        <w:rPr>
          <w:rFonts w:eastAsiaTheme="minorEastAsia"/>
        </w:rPr>
        <w:sectPr>
          <w:pgSz w:w="11906" w:h="16838"/>
          <w:pgMar w:top="1440" w:right="1800" w:bottom="1440" w:left="1800" w:header="851" w:footer="992" w:gutter="0"/>
          <w:cols w:space="425" w:num="1"/>
          <w:docGrid w:type="lines" w:linePitch="312" w:charSpace="0"/>
        </w:sectPr>
      </w:pPr>
      <w:r>
        <w:t>本项目涉及的主要危险物质</w:t>
      </w:r>
      <w:r>
        <w:rPr>
          <w:rFonts w:hint="eastAsia"/>
        </w:rPr>
        <w:t>为甲烷、氨、一氧化碳、甲醇和氢气等，</w:t>
      </w:r>
      <w:r>
        <w:rPr>
          <w:rFonts w:eastAsiaTheme="minorEastAsia"/>
        </w:rPr>
        <w:t>涉及的</w:t>
      </w:r>
      <w:r>
        <w:rPr>
          <w:rFonts w:hint="eastAsia" w:eastAsiaTheme="minorEastAsia"/>
        </w:rPr>
        <w:t>危险单元主要包括合成氨装置区、二氧化碳液化装置区、二氧化碳储罐区和物料输送管线等</w:t>
      </w:r>
      <w:r>
        <w:rPr>
          <w:rFonts w:eastAsiaTheme="minorEastAsia"/>
        </w:rPr>
        <w:t>。根据项目的工程资料、类比国内外同行业和同类型事故，拟建项目的主要风险类型为危险物质泄漏以及由此引发的火灾、中毒</w:t>
      </w:r>
      <w:r>
        <w:rPr>
          <w:rFonts w:hint="eastAsia" w:eastAsiaTheme="minorEastAsia"/>
        </w:rPr>
        <w:t>等</w:t>
      </w:r>
      <w:r>
        <w:rPr>
          <w:rFonts w:eastAsiaTheme="minorEastAsia"/>
        </w:rPr>
        <w:t>事故。项目环境风险识别结果表</w:t>
      </w:r>
      <w:r>
        <w:rPr>
          <w:rFonts w:hint="eastAsia" w:eastAsiaTheme="minorEastAsia"/>
        </w:rPr>
        <w:t>6</w:t>
      </w:r>
      <w:r>
        <w:rPr>
          <w:rFonts w:eastAsiaTheme="minorEastAsia"/>
        </w:rPr>
        <w:t>.5-4。</w:t>
      </w:r>
    </w:p>
    <w:p>
      <w:pPr>
        <w:pStyle w:val="41"/>
      </w:pPr>
      <w:r>
        <w:rPr>
          <w:rFonts w:hint="eastAsia"/>
        </w:rPr>
        <w:t>表6.5-4 拟建项目环境风险识别表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
        <w:gridCol w:w="620"/>
        <w:gridCol w:w="1844"/>
        <w:gridCol w:w="4685"/>
        <w:gridCol w:w="995"/>
        <w:gridCol w:w="3405"/>
        <w:gridCol w:w="1279"/>
        <w:gridCol w:w="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34" w:type="pct"/>
            <w:vAlign w:val="center"/>
          </w:tcPr>
          <w:p>
            <w:pPr>
              <w:pStyle w:val="42"/>
              <w:rPr>
                <w:sz w:val="18"/>
                <w:szCs w:val="18"/>
              </w:rPr>
            </w:pPr>
            <w:r>
              <w:rPr>
                <w:sz w:val="18"/>
                <w:szCs w:val="18"/>
              </w:rPr>
              <w:t>序号</w:t>
            </w:r>
          </w:p>
        </w:tc>
        <w:tc>
          <w:tcPr>
            <w:tcW w:w="222" w:type="pct"/>
            <w:vAlign w:val="center"/>
          </w:tcPr>
          <w:p>
            <w:pPr>
              <w:pStyle w:val="42"/>
              <w:rPr>
                <w:sz w:val="18"/>
                <w:szCs w:val="18"/>
              </w:rPr>
            </w:pPr>
            <w:r>
              <w:rPr>
                <w:sz w:val="18"/>
                <w:szCs w:val="18"/>
              </w:rPr>
              <w:t>危险单元</w:t>
            </w:r>
          </w:p>
        </w:tc>
        <w:tc>
          <w:tcPr>
            <w:tcW w:w="660" w:type="pct"/>
            <w:vAlign w:val="center"/>
          </w:tcPr>
          <w:p>
            <w:pPr>
              <w:pStyle w:val="42"/>
              <w:rPr>
                <w:sz w:val="18"/>
                <w:szCs w:val="18"/>
              </w:rPr>
            </w:pPr>
            <w:r>
              <w:rPr>
                <w:sz w:val="18"/>
                <w:szCs w:val="18"/>
              </w:rPr>
              <w:t>风险源</w:t>
            </w:r>
          </w:p>
        </w:tc>
        <w:tc>
          <w:tcPr>
            <w:tcW w:w="1677" w:type="pct"/>
            <w:vAlign w:val="center"/>
          </w:tcPr>
          <w:p>
            <w:pPr>
              <w:pStyle w:val="42"/>
              <w:rPr>
                <w:sz w:val="18"/>
                <w:szCs w:val="18"/>
              </w:rPr>
            </w:pPr>
            <w:r>
              <w:rPr>
                <w:sz w:val="18"/>
                <w:szCs w:val="18"/>
              </w:rPr>
              <w:t>主要危险物质</w:t>
            </w:r>
          </w:p>
        </w:tc>
        <w:tc>
          <w:tcPr>
            <w:tcW w:w="356" w:type="pct"/>
            <w:vAlign w:val="center"/>
          </w:tcPr>
          <w:p>
            <w:pPr>
              <w:pStyle w:val="42"/>
              <w:rPr>
                <w:sz w:val="18"/>
                <w:szCs w:val="18"/>
              </w:rPr>
            </w:pPr>
            <w:r>
              <w:rPr>
                <w:sz w:val="18"/>
                <w:szCs w:val="18"/>
              </w:rPr>
              <w:t>环境风险类型</w:t>
            </w:r>
          </w:p>
        </w:tc>
        <w:tc>
          <w:tcPr>
            <w:tcW w:w="1219" w:type="pct"/>
            <w:vAlign w:val="center"/>
          </w:tcPr>
          <w:p>
            <w:pPr>
              <w:pStyle w:val="42"/>
              <w:rPr>
                <w:sz w:val="18"/>
                <w:szCs w:val="18"/>
              </w:rPr>
            </w:pPr>
            <w:r>
              <w:rPr>
                <w:sz w:val="18"/>
                <w:szCs w:val="18"/>
              </w:rPr>
              <w:t>环境影响途径</w:t>
            </w:r>
          </w:p>
        </w:tc>
        <w:tc>
          <w:tcPr>
            <w:tcW w:w="458" w:type="pct"/>
            <w:vAlign w:val="center"/>
          </w:tcPr>
          <w:p>
            <w:pPr>
              <w:pStyle w:val="42"/>
              <w:rPr>
                <w:sz w:val="18"/>
                <w:szCs w:val="18"/>
              </w:rPr>
            </w:pPr>
            <w:r>
              <w:rPr>
                <w:sz w:val="18"/>
                <w:szCs w:val="18"/>
              </w:rPr>
              <w:t>可能受影响的环境敏感目标</w:t>
            </w:r>
          </w:p>
        </w:tc>
        <w:tc>
          <w:tcPr>
            <w:tcW w:w="174" w:type="pct"/>
            <w:vAlign w:val="center"/>
          </w:tcPr>
          <w:p>
            <w:pPr>
              <w:pStyle w:val="42"/>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Merge w:val="restart"/>
            <w:vAlign w:val="center"/>
          </w:tcPr>
          <w:p>
            <w:pPr>
              <w:pStyle w:val="42"/>
              <w:rPr>
                <w:sz w:val="18"/>
                <w:szCs w:val="18"/>
              </w:rPr>
            </w:pPr>
            <w:r>
              <w:rPr>
                <w:sz w:val="18"/>
                <w:szCs w:val="18"/>
              </w:rPr>
              <w:t>1</w:t>
            </w:r>
          </w:p>
        </w:tc>
        <w:tc>
          <w:tcPr>
            <w:tcW w:w="222" w:type="pct"/>
            <w:vMerge w:val="restart"/>
            <w:vAlign w:val="center"/>
          </w:tcPr>
          <w:p>
            <w:pPr>
              <w:pStyle w:val="42"/>
              <w:rPr>
                <w:sz w:val="18"/>
                <w:szCs w:val="18"/>
              </w:rPr>
            </w:pPr>
            <w:r>
              <w:rPr>
                <w:rFonts w:hint="eastAsia"/>
                <w:sz w:val="18"/>
                <w:szCs w:val="18"/>
              </w:rPr>
              <w:t>合成氨装置区</w:t>
            </w:r>
          </w:p>
        </w:tc>
        <w:tc>
          <w:tcPr>
            <w:tcW w:w="660" w:type="pct"/>
            <w:vAlign w:val="center"/>
          </w:tcPr>
          <w:p>
            <w:pPr>
              <w:pStyle w:val="42"/>
              <w:rPr>
                <w:sz w:val="18"/>
                <w:szCs w:val="18"/>
              </w:rPr>
            </w:pPr>
            <w:r>
              <w:rPr>
                <w:rFonts w:hint="eastAsia"/>
                <w:sz w:val="18"/>
                <w:szCs w:val="18"/>
              </w:rPr>
              <w:t>钴钼反应器、脱硫槽、一段转化炉、高变反应器、驰放气膜分离器、PSA吸附器</w:t>
            </w:r>
          </w:p>
        </w:tc>
        <w:tc>
          <w:tcPr>
            <w:tcW w:w="1677" w:type="pct"/>
            <w:vAlign w:val="center"/>
          </w:tcPr>
          <w:p>
            <w:pPr>
              <w:pStyle w:val="42"/>
              <w:rPr>
                <w:sz w:val="18"/>
                <w:szCs w:val="18"/>
              </w:rPr>
            </w:pPr>
            <w:r>
              <w:rPr>
                <w:rFonts w:hint="eastAsia"/>
                <w:sz w:val="18"/>
                <w:szCs w:val="18"/>
              </w:rPr>
              <w:t>氢气、甲烷、甲醇、氮气、一氧化碳、二氧化碳、其他烷烃和其他惰性气体等</w:t>
            </w:r>
          </w:p>
        </w:tc>
        <w:tc>
          <w:tcPr>
            <w:tcW w:w="356" w:type="pct"/>
            <w:vAlign w:val="center"/>
          </w:tcPr>
          <w:p>
            <w:pPr>
              <w:pStyle w:val="42"/>
              <w:rPr>
                <w:sz w:val="18"/>
                <w:szCs w:val="18"/>
              </w:rPr>
            </w:pPr>
            <w:r>
              <w:rPr>
                <w:sz w:val="18"/>
                <w:szCs w:val="18"/>
              </w:rPr>
              <w:t>泄漏、火灾、爆炸、中毒</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Merge w:val="continue"/>
            <w:vAlign w:val="center"/>
          </w:tcPr>
          <w:p>
            <w:pPr>
              <w:pStyle w:val="42"/>
              <w:rPr>
                <w:sz w:val="18"/>
                <w:szCs w:val="18"/>
              </w:rPr>
            </w:pPr>
          </w:p>
        </w:tc>
        <w:tc>
          <w:tcPr>
            <w:tcW w:w="222" w:type="pct"/>
            <w:vMerge w:val="continue"/>
            <w:vAlign w:val="center"/>
          </w:tcPr>
          <w:p>
            <w:pPr>
              <w:pStyle w:val="42"/>
              <w:rPr>
                <w:sz w:val="18"/>
                <w:szCs w:val="18"/>
              </w:rPr>
            </w:pPr>
          </w:p>
        </w:tc>
        <w:tc>
          <w:tcPr>
            <w:tcW w:w="660" w:type="pct"/>
            <w:vAlign w:val="center"/>
          </w:tcPr>
          <w:p>
            <w:pPr>
              <w:pStyle w:val="42"/>
              <w:rPr>
                <w:sz w:val="18"/>
                <w:szCs w:val="18"/>
              </w:rPr>
            </w:pPr>
            <w:r>
              <w:rPr>
                <w:rFonts w:hint="eastAsia"/>
                <w:sz w:val="18"/>
                <w:szCs w:val="18"/>
              </w:rPr>
              <w:t>氨合成塔、氨分离器</w:t>
            </w:r>
          </w:p>
        </w:tc>
        <w:tc>
          <w:tcPr>
            <w:tcW w:w="1677" w:type="pct"/>
            <w:vAlign w:val="center"/>
          </w:tcPr>
          <w:p>
            <w:pPr>
              <w:pStyle w:val="42"/>
              <w:rPr>
                <w:sz w:val="18"/>
                <w:szCs w:val="18"/>
              </w:rPr>
            </w:pPr>
            <w:r>
              <w:rPr>
                <w:rFonts w:hint="eastAsia"/>
                <w:sz w:val="18"/>
                <w:szCs w:val="18"/>
              </w:rPr>
              <w:t>氨、氢气、氮气、甲烷和其他惰性杂质气体等</w:t>
            </w:r>
          </w:p>
        </w:tc>
        <w:tc>
          <w:tcPr>
            <w:tcW w:w="356" w:type="pct"/>
            <w:vAlign w:val="center"/>
          </w:tcPr>
          <w:p>
            <w:pPr>
              <w:pStyle w:val="42"/>
              <w:rPr>
                <w:sz w:val="18"/>
                <w:szCs w:val="18"/>
              </w:rPr>
            </w:pPr>
            <w:r>
              <w:rPr>
                <w:sz w:val="18"/>
                <w:szCs w:val="18"/>
              </w:rPr>
              <w:t>泄漏、火灾、爆炸、中毒</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Merge w:val="restart"/>
            <w:vAlign w:val="center"/>
          </w:tcPr>
          <w:p>
            <w:pPr>
              <w:pStyle w:val="42"/>
              <w:rPr>
                <w:sz w:val="18"/>
                <w:szCs w:val="18"/>
              </w:rPr>
            </w:pPr>
            <w:r>
              <w:rPr>
                <w:rFonts w:hint="eastAsia"/>
                <w:sz w:val="18"/>
                <w:szCs w:val="18"/>
              </w:rPr>
              <w:t>2</w:t>
            </w:r>
          </w:p>
        </w:tc>
        <w:tc>
          <w:tcPr>
            <w:tcW w:w="222" w:type="pct"/>
            <w:vMerge w:val="restart"/>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液化装置区</w:t>
            </w:r>
          </w:p>
        </w:tc>
        <w:tc>
          <w:tcPr>
            <w:tcW w:w="660" w:type="pct"/>
            <w:vAlign w:val="center"/>
          </w:tcPr>
          <w:p>
            <w:pPr>
              <w:pStyle w:val="42"/>
              <w:rPr>
                <w:sz w:val="18"/>
                <w:szCs w:val="18"/>
              </w:rPr>
            </w:pPr>
            <w:r>
              <w:rPr>
                <w:rFonts w:hint="eastAsia"/>
                <w:sz w:val="18"/>
                <w:szCs w:val="18"/>
              </w:rPr>
              <w:t>脱烃反应器</w:t>
            </w:r>
          </w:p>
        </w:tc>
        <w:tc>
          <w:tcPr>
            <w:tcW w:w="1677" w:type="pct"/>
            <w:vAlign w:val="center"/>
          </w:tcPr>
          <w:p>
            <w:pPr>
              <w:pStyle w:val="42"/>
              <w:rPr>
                <w:sz w:val="18"/>
                <w:szCs w:val="18"/>
              </w:rPr>
            </w:pPr>
            <w:r>
              <w:rPr>
                <w:rFonts w:hint="eastAsia"/>
                <w:sz w:val="18"/>
                <w:szCs w:val="18"/>
              </w:rPr>
              <w:t>二氧化碳、甲烷、氮气、一氧化碳、甲醇、烷烃等</w:t>
            </w:r>
          </w:p>
        </w:tc>
        <w:tc>
          <w:tcPr>
            <w:tcW w:w="356" w:type="pct"/>
            <w:vAlign w:val="center"/>
          </w:tcPr>
          <w:p>
            <w:pPr>
              <w:pStyle w:val="42"/>
              <w:rPr>
                <w:sz w:val="18"/>
                <w:szCs w:val="18"/>
              </w:rPr>
            </w:pPr>
            <w:r>
              <w:rPr>
                <w:sz w:val="18"/>
                <w:szCs w:val="18"/>
              </w:rPr>
              <w:t>泄漏、火灾、爆炸、中毒</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Merge w:val="continue"/>
            <w:vAlign w:val="center"/>
          </w:tcPr>
          <w:p>
            <w:pPr>
              <w:pStyle w:val="42"/>
              <w:rPr>
                <w:sz w:val="18"/>
                <w:szCs w:val="18"/>
              </w:rPr>
            </w:pPr>
          </w:p>
        </w:tc>
        <w:tc>
          <w:tcPr>
            <w:tcW w:w="222" w:type="pct"/>
            <w:vMerge w:val="continue"/>
            <w:vAlign w:val="center"/>
          </w:tcPr>
          <w:p>
            <w:pPr>
              <w:pStyle w:val="42"/>
              <w:rPr>
                <w:sz w:val="18"/>
                <w:szCs w:val="18"/>
              </w:rPr>
            </w:pPr>
          </w:p>
        </w:tc>
        <w:tc>
          <w:tcPr>
            <w:tcW w:w="660" w:type="pct"/>
            <w:vAlign w:val="center"/>
          </w:tcPr>
          <w:p>
            <w:pPr>
              <w:pStyle w:val="42"/>
              <w:rPr>
                <w:sz w:val="18"/>
                <w:szCs w:val="18"/>
              </w:rPr>
            </w:pPr>
            <w:r>
              <w:rPr>
                <w:rFonts w:hint="eastAsia"/>
                <w:sz w:val="18"/>
                <w:szCs w:val="18"/>
              </w:rPr>
              <w:t>纯化干燥器、液化器、精馏塔</w:t>
            </w:r>
          </w:p>
        </w:tc>
        <w:tc>
          <w:tcPr>
            <w:tcW w:w="1677" w:type="pct"/>
            <w:vAlign w:val="center"/>
          </w:tcPr>
          <w:p>
            <w:pPr>
              <w:pStyle w:val="42"/>
              <w:rPr>
                <w:sz w:val="18"/>
                <w:szCs w:val="18"/>
              </w:rPr>
            </w:pPr>
            <w:r>
              <w:rPr>
                <w:rFonts w:hint="eastAsia"/>
                <w:sz w:val="18"/>
                <w:szCs w:val="18"/>
              </w:rPr>
              <w:t>二氧化碳、甲烷、氮气、一氧化碳等</w:t>
            </w:r>
          </w:p>
        </w:tc>
        <w:tc>
          <w:tcPr>
            <w:tcW w:w="356" w:type="pct"/>
            <w:vAlign w:val="center"/>
          </w:tcPr>
          <w:p>
            <w:pPr>
              <w:pStyle w:val="42"/>
              <w:rPr>
                <w:sz w:val="18"/>
                <w:szCs w:val="18"/>
              </w:rPr>
            </w:pPr>
            <w:r>
              <w:rPr>
                <w:sz w:val="18"/>
                <w:szCs w:val="18"/>
              </w:rPr>
              <w:t>泄漏、火灾、爆炸、中毒</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Align w:val="center"/>
          </w:tcPr>
          <w:p>
            <w:pPr>
              <w:pStyle w:val="42"/>
              <w:rPr>
                <w:sz w:val="18"/>
                <w:szCs w:val="18"/>
              </w:rPr>
            </w:pPr>
            <w:r>
              <w:rPr>
                <w:rFonts w:hint="eastAsia"/>
                <w:sz w:val="18"/>
                <w:szCs w:val="18"/>
              </w:rPr>
              <w:t>3</w:t>
            </w:r>
          </w:p>
        </w:tc>
        <w:tc>
          <w:tcPr>
            <w:tcW w:w="882" w:type="pct"/>
            <w:gridSpan w:val="2"/>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储罐区</w:t>
            </w:r>
          </w:p>
        </w:tc>
        <w:tc>
          <w:tcPr>
            <w:tcW w:w="1677" w:type="pct"/>
            <w:vAlign w:val="center"/>
          </w:tcPr>
          <w:p>
            <w:pPr>
              <w:pStyle w:val="42"/>
              <w:rPr>
                <w:sz w:val="18"/>
                <w:szCs w:val="18"/>
              </w:rPr>
            </w:pPr>
            <w:r>
              <w:rPr>
                <w:rFonts w:hint="eastAsia"/>
                <w:sz w:val="18"/>
                <w:szCs w:val="18"/>
              </w:rPr>
              <w:t>二氧化碳</w:t>
            </w:r>
          </w:p>
        </w:tc>
        <w:tc>
          <w:tcPr>
            <w:tcW w:w="356" w:type="pct"/>
            <w:vAlign w:val="center"/>
          </w:tcPr>
          <w:p>
            <w:pPr>
              <w:pStyle w:val="42"/>
              <w:rPr>
                <w:sz w:val="18"/>
                <w:szCs w:val="18"/>
              </w:rPr>
            </w:pPr>
            <w:r>
              <w:rPr>
                <w:rFonts w:hint="eastAsia"/>
                <w:sz w:val="18"/>
                <w:szCs w:val="18"/>
              </w:rPr>
              <w:t>泄漏、爆炸</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Align w:val="center"/>
          </w:tcPr>
          <w:p>
            <w:pPr>
              <w:pStyle w:val="42"/>
              <w:rPr>
                <w:sz w:val="18"/>
                <w:szCs w:val="18"/>
              </w:rPr>
            </w:pPr>
            <w:r>
              <w:rPr>
                <w:rFonts w:hint="eastAsia"/>
                <w:sz w:val="18"/>
                <w:szCs w:val="18"/>
              </w:rPr>
              <w:t>4</w:t>
            </w:r>
          </w:p>
        </w:tc>
        <w:tc>
          <w:tcPr>
            <w:tcW w:w="882" w:type="pct"/>
            <w:gridSpan w:val="2"/>
            <w:vAlign w:val="center"/>
          </w:tcPr>
          <w:p>
            <w:pPr>
              <w:pStyle w:val="42"/>
              <w:rPr>
                <w:sz w:val="18"/>
                <w:szCs w:val="18"/>
              </w:rPr>
            </w:pPr>
            <w:r>
              <w:rPr>
                <w:rFonts w:hint="eastAsia"/>
                <w:sz w:val="18"/>
                <w:szCs w:val="18"/>
              </w:rPr>
              <w:t>液氨输送管道</w:t>
            </w:r>
          </w:p>
        </w:tc>
        <w:tc>
          <w:tcPr>
            <w:tcW w:w="1677" w:type="pct"/>
            <w:vAlign w:val="center"/>
          </w:tcPr>
          <w:p>
            <w:pPr>
              <w:pStyle w:val="42"/>
              <w:rPr>
                <w:sz w:val="18"/>
                <w:szCs w:val="18"/>
              </w:rPr>
            </w:pPr>
            <w:r>
              <w:rPr>
                <w:rFonts w:hint="eastAsia"/>
                <w:sz w:val="18"/>
                <w:szCs w:val="18"/>
              </w:rPr>
              <w:t>氨</w:t>
            </w:r>
          </w:p>
        </w:tc>
        <w:tc>
          <w:tcPr>
            <w:tcW w:w="356" w:type="pct"/>
            <w:vAlign w:val="center"/>
          </w:tcPr>
          <w:p>
            <w:pPr>
              <w:pStyle w:val="42"/>
              <w:rPr>
                <w:sz w:val="18"/>
                <w:szCs w:val="18"/>
              </w:rPr>
            </w:pPr>
            <w:r>
              <w:rPr>
                <w:sz w:val="18"/>
                <w:szCs w:val="18"/>
              </w:rPr>
              <w:t>泄漏、火灾、爆炸、中毒</w:t>
            </w:r>
          </w:p>
        </w:tc>
        <w:tc>
          <w:tcPr>
            <w:tcW w:w="1219" w:type="pct"/>
            <w:vAlign w:val="center"/>
          </w:tcPr>
          <w:p>
            <w:pPr>
              <w:pStyle w:val="42"/>
              <w:rPr>
                <w:sz w:val="18"/>
                <w:szCs w:val="18"/>
              </w:rPr>
            </w:pPr>
            <w:r>
              <w:rPr>
                <w:sz w:val="18"/>
                <w:szCs w:val="18"/>
              </w:rPr>
              <w:t>大气、土壤、地下水</w:t>
            </w:r>
          </w:p>
        </w:tc>
        <w:tc>
          <w:tcPr>
            <w:tcW w:w="458" w:type="pct"/>
            <w:vAlign w:val="center"/>
          </w:tcPr>
          <w:p>
            <w:pPr>
              <w:pStyle w:val="42"/>
              <w:rPr>
                <w:sz w:val="18"/>
                <w:szCs w:val="18"/>
              </w:rPr>
            </w:pPr>
            <w:r>
              <w:rPr>
                <w:sz w:val="18"/>
                <w:szCs w:val="18"/>
              </w:rPr>
              <w:t>晏家街道等</w:t>
            </w:r>
          </w:p>
        </w:tc>
        <w:tc>
          <w:tcPr>
            <w:tcW w:w="174" w:type="pct"/>
            <w:vAlign w:val="center"/>
          </w:tcPr>
          <w:p>
            <w:pPr>
              <w:pStyle w:val="4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34" w:type="pct"/>
            <w:vAlign w:val="center"/>
          </w:tcPr>
          <w:p>
            <w:pPr>
              <w:pStyle w:val="42"/>
              <w:rPr>
                <w:sz w:val="18"/>
                <w:szCs w:val="18"/>
              </w:rPr>
            </w:pPr>
            <w:r>
              <w:rPr>
                <w:rFonts w:hint="eastAsia"/>
                <w:sz w:val="18"/>
                <w:szCs w:val="18"/>
              </w:rPr>
              <w:t>5</w:t>
            </w:r>
          </w:p>
        </w:tc>
        <w:tc>
          <w:tcPr>
            <w:tcW w:w="882" w:type="pct"/>
            <w:gridSpan w:val="2"/>
            <w:vAlign w:val="center"/>
          </w:tcPr>
          <w:p>
            <w:pPr>
              <w:pStyle w:val="42"/>
              <w:rPr>
                <w:sz w:val="18"/>
                <w:szCs w:val="18"/>
              </w:rPr>
            </w:pPr>
            <w:r>
              <w:rPr>
                <w:rFonts w:hint="eastAsia"/>
                <w:sz w:val="18"/>
                <w:szCs w:val="18"/>
              </w:rPr>
              <w:t>废水处理站调节池</w:t>
            </w:r>
          </w:p>
        </w:tc>
        <w:tc>
          <w:tcPr>
            <w:tcW w:w="1677" w:type="pct"/>
            <w:vAlign w:val="center"/>
          </w:tcPr>
          <w:p>
            <w:pPr>
              <w:pStyle w:val="42"/>
              <w:rPr>
                <w:sz w:val="18"/>
                <w:szCs w:val="18"/>
              </w:rPr>
            </w:pPr>
            <w:r>
              <w:rPr>
                <w:rFonts w:hint="eastAsia"/>
                <w:sz w:val="18"/>
                <w:szCs w:val="18"/>
              </w:rPr>
              <w:t>废水</w:t>
            </w:r>
          </w:p>
        </w:tc>
        <w:tc>
          <w:tcPr>
            <w:tcW w:w="356" w:type="pct"/>
            <w:vAlign w:val="center"/>
          </w:tcPr>
          <w:p>
            <w:pPr>
              <w:pStyle w:val="42"/>
              <w:rPr>
                <w:sz w:val="18"/>
                <w:szCs w:val="18"/>
              </w:rPr>
            </w:pPr>
            <w:r>
              <w:rPr>
                <w:rFonts w:hint="eastAsia"/>
                <w:sz w:val="18"/>
                <w:szCs w:val="18"/>
              </w:rPr>
              <w:t>泄漏</w:t>
            </w:r>
          </w:p>
        </w:tc>
        <w:tc>
          <w:tcPr>
            <w:tcW w:w="1219" w:type="pct"/>
            <w:vAlign w:val="center"/>
          </w:tcPr>
          <w:p>
            <w:pPr>
              <w:pStyle w:val="42"/>
              <w:rPr>
                <w:sz w:val="18"/>
                <w:szCs w:val="18"/>
              </w:rPr>
            </w:pPr>
            <w:r>
              <w:rPr>
                <w:rFonts w:hint="eastAsia"/>
                <w:sz w:val="18"/>
                <w:szCs w:val="18"/>
              </w:rPr>
              <w:t>土壤、地下水</w:t>
            </w:r>
          </w:p>
        </w:tc>
        <w:tc>
          <w:tcPr>
            <w:tcW w:w="458" w:type="pct"/>
            <w:vAlign w:val="center"/>
          </w:tcPr>
          <w:p>
            <w:pPr>
              <w:pStyle w:val="42"/>
              <w:rPr>
                <w:sz w:val="18"/>
                <w:szCs w:val="18"/>
              </w:rPr>
            </w:pPr>
            <w:r>
              <w:rPr>
                <w:rFonts w:hint="eastAsia"/>
                <w:sz w:val="18"/>
                <w:szCs w:val="18"/>
              </w:rPr>
              <w:t>/</w:t>
            </w:r>
          </w:p>
        </w:tc>
        <w:tc>
          <w:tcPr>
            <w:tcW w:w="174" w:type="pct"/>
            <w:vAlign w:val="center"/>
          </w:tcPr>
          <w:p>
            <w:pPr>
              <w:pStyle w:val="42"/>
              <w:rPr>
                <w:sz w:val="18"/>
                <w:szCs w:val="18"/>
              </w:rPr>
            </w:pPr>
          </w:p>
        </w:tc>
      </w:tr>
    </w:tbl>
    <w:p>
      <w:pPr>
        <w:pStyle w:val="41"/>
        <w:sectPr>
          <w:pgSz w:w="16838" w:h="11906" w:orient="landscape"/>
          <w:pgMar w:top="1800" w:right="1440" w:bottom="1800" w:left="1440" w:header="851" w:footer="992" w:gutter="0"/>
          <w:cols w:space="425" w:num="1"/>
          <w:docGrid w:type="lines" w:linePitch="326" w:charSpace="0"/>
        </w:sectPr>
      </w:pPr>
    </w:p>
    <w:p>
      <w:pPr>
        <w:pStyle w:val="3"/>
        <w:spacing w:before="156" w:after="156"/>
      </w:pPr>
      <w:bookmarkStart w:id="143" w:name="_Toc84844312"/>
      <w:r>
        <w:rPr>
          <w:rFonts w:hint="eastAsia"/>
        </w:rPr>
        <w:t>6.6风险事故情形分析</w:t>
      </w:r>
      <w:bookmarkEnd w:id="143"/>
    </w:p>
    <w:p>
      <w:pPr>
        <w:pStyle w:val="4"/>
        <w:spacing w:before="156" w:after="156"/>
      </w:pPr>
      <w:bookmarkStart w:id="144" w:name="_Toc84844313"/>
      <w:r>
        <w:rPr>
          <w:rFonts w:hint="eastAsia"/>
        </w:rPr>
        <w:t>6.6.1风险事故情形设定</w:t>
      </w:r>
      <w:bookmarkEnd w:id="144"/>
    </w:p>
    <w:p>
      <w:pPr>
        <w:ind w:firstLine="480"/>
      </w:pPr>
      <w:r>
        <w:rPr>
          <w:rFonts w:hint="eastAsia"/>
        </w:rPr>
        <w:t>本次评价根据拟建项目特点，在风险识别的基础上，选择对环境影响较大并具有代表性的事故类型，设定风险事故情形。</w:t>
      </w:r>
    </w:p>
    <w:p>
      <w:pPr>
        <w:ind w:firstLine="480"/>
      </w:pPr>
      <w:r>
        <w:rPr>
          <w:rFonts w:hint="eastAsia"/>
        </w:rPr>
        <w:t>根据风险识别结果，拟建项目虽具有多个事故风险源，但是从生产过程、物料储运分析及物料毒性分析，环境风险事故主要为有毒有害物质的泄漏、燃爆次生污染。基于上述分析和对环境造成风险影响的历史事故类型，结合项目物料的毒理学性质、重点风险源辨识、影响途径，确定风险事故情形如下：</w:t>
      </w:r>
    </w:p>
    <w:p>
      <w:pPr>
        <w:ind w:firstLine="480"/>
      </w:pPr>
      <w:r>
        <w:rPr>
          <w:rFonts w:hint="eastAsia"/>
        </w:rPr>
        <w:t>（1）液氨输送管道泄漏</w:t>
      </w:r>
    </w:p>
    <w:p>
      <w:pPr>
        <w:ind w:firstLine="480"/>
      </w:pPr>
      <w:r>
        <w:rPr>
          <w:rFonts w:hint="eastAsia" w:eastAsiaTheme="minorEastAsia"/>
        </w:rPr>
        <w:t>根据本工程涉及的危险化学品的危险特性和毒理性，</w:t>
      </w:r>
      <w:r>
        <w:rPr>
          <w:rFonts w:eastAsiaTheme="minorEastAsia"/>
        </w:rPr>
        <w:t>结合导则附录</w:t>
      </w:r>
      <w:r>
        <w:rPr>
          <w:rFonts w:hint="eastAsia" w:eastAsiaTheme="minorEastAsia"/>
        </w:rPr>
        <w:t>B</w:t>
      </w:r>
      <w:r>
        <w:rPr>
          <w:rFonts w:eastAsiaTheme="minorEastAsia"/>
        </w:rPr>
        <w:t>中列出的各项重点关注的危险物质</w:t>
      </w:r>
      <w:r>
        <w:rPr>
          <w:rFonts w:hint="eastAsia" w:eastAsiaTheme="minorEastAsia"/>
        </w:rPr>
        <w:t>的临界量和附录H中表H.1重点关注的危险物质大气毒性终点浓度值选取</w:t>
      </w:r>
      <w:r>
        <w:rPr>
          <w:rFonts w:eastAsiaTheme="minorEastAsia"/>
        </w:rPr>
        <w:t>，</w:t>
      </w:r>
      <w:r>
        <w:rPr>
          <w:rFonts w:hint="eastAsia"/>
        </w:rPr>
        <w:t>本次评价选取液氨输送管道泄漏设定为预测情景。</w:t>
      </w:r>
    </w:p>
    <w:p>
      <w:pPr>
        <w:ind w:firstLine="480"/>
      </w:pPr>
      <w:r>
        <w:rPr>
          <w:rFonts w:hint="eastAsia"/>
        </w:rPr>
        <w:t>本工程液氨输送管道设压力监控系统，泄漏后压力下降，可根据泄漏点位置，通过切断两侧阀门，另外管线设计有氮置换排放口，可将管线中的液氨置换排放至氨火炬系统，以控制和处置管道泄漏影响。本次评价泄漏时间设定为10min。</w:t>
      </w:r>
    </w:p>
    <w:p>
      <w:pPr>
        <w:ind w:firstLine="480"/>
      </w:pPr>
      <w:r>
        <w:rPr>
          <w:rFonts w:hint="eastAsia"/>
        </w:rPr>
        <w:t>（2）废水处理站调节池</w:t>
      </w:r>
      <w:r>
        <w:t>池底防渗层破损事故</w:t>
      </w:r>
    </w:p>
    <w:p>
      <w:pPr>
        <w:ind w:firstLine="480"/>
      </w:pPr>
      <w:r>
        <w:rPr>
          <w:rFonts w:hint="eastAsia"/>
        </w:rPr>
        <w:t>拟建</w:t>
      </w:r>
      <w:r>
        <w:t>项目</w:t>
      </w:r>
      <w:r>
        <w:rPr>
          <w:rFonts w:hint="eastAsia"/>
        </w:rPr>
        <w:t>废水处理站调节池有效容积约为55m</w:t>
      </w:r>
      <w:r>
        <w:rPr>
          <w:vertAlign w:val="superscript"/>
        </w:rPr>
        <w:t>3</w:t>
      </w:r>
      <w:r>
        <w:t>。</w:t>
      </w:r>
      <w:r>
        <w:rPr>
          <w:rFonts w:hint="eastAsia"/>
        </w:rPr>
        <w:t>调节池</w:t>
      </w:r>
      <w:r>
        <w:t>底防渗层破损，导致</w:t>
      </w:r>
      <w:r>
        <w:rPr>
          <w:rFonts w:hint="eastAsia"/>
        </w:rPr>
        <w:t>地坪清洗水</w:t>
      </w:r>
      <w:r>
        <w:t>通过裂口渗入地下水，影响地下水质。</w:t>
      </w:r>
    </w:p>
    <w:p>
      <w:pPr>
        <w:ind w:firstLine="480"/>
        <w:rPr>
          <w:rFonts w:eastAsiaTheme="minorEastAsia"/>
        </w:rPr>
      </w:pPr>
      <w:r>
        <w:rPr>
          <w:rFonts w:hint="eastAsia"/>
        </w:rPr>
        <w:t>（3）天然气（甲烷）</w:t>
      </w:r>
      <w:r>
        <w:rPr>
          <w:rFonts w:eastAsiaTheme="minorEastAsia"/>
        </w:rPr>
        <w:t>火灾/爆炸引发的次生污染事故</w:t>
      </w:r>
    </w:p>
    <w:p>
      <w:pPr>
        <w:ind w:firstLine="480"/>
        <w:rPr>
          <w:rFonts w:eastAsiaTheme="minorEastAsia"/>
        </w:rPr>
      </w:pPr>
      <w:r>
        <w:rPr>
          <w:rFonts w:hint="eastAsia"/>
        </w:rPr>
        <w:t>天然气（甲烷）易燃，与空气混合能形成爆炸性混合物，遇热源和明火有燃烧爆炸的危险，</w:t>
      </w:r>
      <w:bookmarkStart w:id="145" w:name="OLE_LINK3"/>
      <w:bookmarkStart w:id="146" w:name="OLE_LINK4"/>
      <w:r>
        <w:rPr>
          <w:rFonts w:eastAsiaTheme="minorEastAsia"/>
        </w:rPr>
        <w:t>不完全燃烧产生次生污染物CO</w:t>
      </w:r>
      <w:bookmarkEnd w:id="145"/>
      <w:bookmarkEnd w:id="146"/>
      <w:r>
        <w:rPr>
          <w:rFonts w:eastAsiaTheme="minorEastAsia"/>
        </w:rPr>
        <w:t>，污染物将会对区域大气环境造成不利影响。</w:t>
      </w:r>
      <w:r>
        <w:rPr>
          <w:rFonts w:hint="eastAsia" w:eastAsiaTheme="minorEastAsia"/>
        </w:rPr>
        <w:t>本次评价选取天然气进厂区后，缓冲罐阀门或连接管道等泄漏、</w:t>
      </w:r>
      <w:r>
        <w:rPr>
          <w:rFonts w:hint="eastAsia"/>
        </w:rPr>
        <w:t>与空气混合能形成爆炸性混合物，遇热源或明火燃烧爆炸，</w:t>
      </w:r>
      <w:r>
        <w:rPr>
          <w:rFonts w:eastAsiaTheme="minorEastAsia"/>
        </w:rPr>
        <w:t>不完全燃烧产生次生污染物CO</w:t>
      </w:r>
      <w:r>
        <w:rPr>
          <w:rFonts w:hint="eastAsia" w:eastAsiaTheme="minorEastAsia"/>
        </w:rPr>
        <w:t>。</w:t>
      </w:r>
    </w:p>
    <w:p>
      <w:pPr>
        <w:ind w:firstLine="480"/>
        <w:rPr>
          <w:rFonts w:eastAsiaTheme="minorEastAsia"/>
        </w:rPr>
      </w:pPr>
      <w:r>
        <w:rPr>
          <w:rFonts w:eastAsiaTheme="minorEastAsia"/>
        </w:rPr>
        <w:t>确定风险事故情形的目的是针对典型事故进行环境风险分析，并不意味着其它事故不具有环境风险。由于事故触发因素具有不确定性，因此事故情形的设定并不能包含全部可能的环境风险，但通过具有代表性的事故情形分析可为风险管理提供科学依据。</w:t>
      </w:r>
    </w:p>
    <w:p>
      <w:pPr>
        <w:ind w:firstLine="480"/>
      </w:pPr>
      <w:r>
        <w:rPr>
          <w:rFonts w:hint="eastAsia"/>
        </w:rPr>
        <w:t>结合风险识别，拟建项目可能发生的风险事故情形详见下表6.6-1。</w:t>
      </w:r>
    </w:p>
    <w:p>
      <w:pPr>
        <w:pStyle w:val="41"/>
      </w:pPr>
      <w:r>
        <w:rPr>
          <w:rFonts w:hint="eastAsia"/>
        </w:rPr>
        <w:t>表6.6-1 风险事故情形设定一览表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1049"/>
        <w:gridCol w:w="1077"/>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2"/>
              <w:adjustRightInd w:val="0"/>
              <w:textAlignment w:val="baseline"/>
              <w:rPr>
                <w:sz w:val="18"/>
                <w:szCs w:val="18"/>
              </w:rPr>
            </w:pPr>
            <w:r>
              <w:rPr>
                <w:sz w:val="18"/>
                <w:szCs w:val="18"/>
              </w:rPr>
              <w:t>序号</w:t>
            </w:r>
          </w:p>
        </w:tc>
        <w:tc>
          <w:tcPr>
            <w:tcW w:w="1985" w:type="dxa"/>
            <w:vAlign w:val="center"/>
          </w:tcPr>
          <w:p>
            <w:pPr>
              <w:pStyle w:val="42"/>
              <w:adjustRightInd w:val="0"/>
              <w:textAlignment w:val="baseline"/>
              <w:rPr>
                <w:sz w:val="18"/>
                <w:szCs w:val="18"/>
              </w:rPr>
            </w:pPr>
            <w:r>
              <w:rPr>
                <w:sz w:val="18"/>
                <w:szCs w:val="18"/>
              </w:rPr>
              <w:t>环境风险类型</w:t>
            </w:r>
          </w:p>
        </w:tc>
        <w:tc>
          <w:tcPr>
            <w:tcW w:w="1049" w:type="dxa"/>
            <w:vAlign w:val="center"/>
          </w:tcPr>
          <w:p>
            <w:pPr>
              <w:pStyle w:val="42"/>
              <w:adjustRightInd w:val="0"/>
              <w:textAlignment w:val="baseline"/>
              <w:rPr>
                <w:sz w:val="18"/>
                <w:szCs w:val="18"/>
              </w:rPr>
            </w:pPr>
            <w:r>
              <w:rPr>
                <w:sz w:val="18"/>
                <w:szCs w:val="18"/>
              </w:rPr>
              <w:t>危险单元</w:t>
            </w:r>
          </w:p>
        </w:tc>
        <w:tc>
          <w:tcPr>
            <w:tcW w:w="1077" w:type="dxa"/>
            <w:vAlign w:val="center"/>
          </w:tcPr>
          <w:p>
            <w:pPr>
              <w:pStyle w:val="42"/>
              <w:adjustRightInd w:val="0"/>
              <w:textAlignment w:val="baseline"/>
              <w:rPr>
                <w:sz w:val="18"/>
                <w:szCs w:val="18"/>
              </w:rPr>
            </w:pPr>
            <w:r>
              <w:rPr>
                <w:sz w:val="18"/>
                <w:szCs w:val="18"/>
              </w:rPr>
              <w:t>危险物质</w:t>
            </w:r>
          </w:p>
        </w:tc>
        <w:tc>
          <w:tcPr>
            <w:tcW w:w="3481" w:type="dxa"/>
            <w:vAlign w:val="center"/>
          </w:tcPr>
          <w:p>
            <w:pPr>
              <w:pStyle w:val="42"/>
              <w:adjustRightInd w:val="0"/>
              <w:textAlignment w:val="baseline"/>
              <w:rPr>
                <w:sz w:val="18"/>
                <w:szCs w:val="18"/>
              </w:rPr>
            </w:pPr>
            <w:r>
              <w:rPr>
                <w:sz w:val="18"/>
                <w:szCs w:val="18"/>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jc w:val="center"/>
        </w:trPr>
        <w:tc>
          <w:tcPr>
            <w:tcW w:w="704" w:type="dxa"/>
            <w:vAlign w:val="center"/>
          </w:tcPr>
          <w:p>
            <w:pPr>
              <w:pStyle w:val="42"/>
              <w:adjustRightInd w:val="0"/>
              <w:textAlignment w:val="baseline"/>
              <w:rPr>
                <w:sz w:val="18"/>
                <w:szCs w:val="18"/>
              </w:rPr>
            </w:pPr>
            <w:r>
              <w:rPr>
                <w:sz w:val="18"/>
                <w:szCs w:val="18"/>
              </w:rPr>
              <w:t>1</w:t>
            </w:r>
          </w:p>
        </w:tc>
        <w:tc>
          <w:tcPr>
            <w:tcW w:w="1985" w:type="dxa"/>
            <w:vAlign w:val="center"/>
          </w:tcPr>
          <w:p>
            <w:pPr>
              <w:pStyle w:val="42"/>
              <w:adjustRightInd w:val="0"/>
              <w:textAlignment w:val="baseline"/>
              <w:rPr>
                <w:sz w:val="18"/>
                <w:szCs w:val="18"/>
              </w:rPr>
            </w:pPr>
            <w:r>
              <w:rPr>
                <w:rFonts w:hint="eastAsia"/>
                <w:sz w:val="18"/>
                <w:szCs w:val="18"/>
              </w:rPr>
              <w:t>液氨输送管道破损，液氨泄漏</w:t>
            </w:r>
          </w:p>
        </w:tc>
        <w:tc>
          <w:tcPr>
            <w:tcW w:w="1049" w:type="dxa"/>
            <w:vAlign w:val="center"/>
          </w:tcPr>
          <w:p>
            <w:pPr>
              <w:pStyle w:val="42"/>
              <w:adjustRightInd w:val="0"/>
              <w:textAlignment w:val="baseline"/>
              <w:rPr>
                <w:sz w:val="18"/>
                <w:szCs w:val="18"/>
              </w:rPr>
            </w:pPr>
            <w:r>
              <w:rPr>
                <w:rFonts w:hint="eastAsia"/>
                <w:sz w:val="18"/>
                <w:szCs w:val="18"/>
              </w:rPr>
              <w:t>液氨管道</w:t>
            </w:r>
          </w:p>
        </w:tc>
        <w:tc>
          <w:tcPr>
            <w:tcW w:w="1077" w:type="dxa"/>
            <w:vAlign w:val="center"/>
          </w:tcPr>
          <w:p>
            <w:pPr>
              <w:pStyle w:val="42"/>
              <w:adjustRightInd w:val="0"/>
              <w:textAlignment w:val="baseline"/>
              <w:rPr>
                <w:sz w:val="18"/>
                <w:szCs w:val="18"/>
              </w:rPr>
            </w:pPr>
            <w:r>
              <w:rPr>
                <w:rFonts w:hint="eastAsia"/>
                <w:sz w:val="18"/>
                <w:szCs w:val="18"/>
              </w:rPr>
              <w:t>氨</w:t>
            </w:r>
          </w:p>
        </w:tc>
        <w:tc>
          <w:tcPr>
            <w:tcW w:w="3481" w:type="dxa"/>
            <w:vAlign w:val="center"/>
          </w:tcPr>
          <w:p>
            <w:pPr>
              <w:pStyle w:val="42"/>
              <w:adjustRightInd w:val="0"/>
              <w:jc w:val="left"/>
              <w:textAlignment w:val="baseline"/>
              <w:rPr>
                <w:sz w:val="18"/>
                <w:szCs w:val="18"/>
              </w:rPr>
            </w:pPr>
            <w:r>
              <w:rPr>
                <w:sz w:val="18"/>
                <w:szCs w:val="18"/>
              </w:rPr>
              <w:t>1、泄漏后扩散影响环境空气；</w:t>
            </w:r>
          </w:p>
          <w:p>
            <w:pPr>
              <w:pStyle w:val="42"/>
              <w:adjustRightInd w:val="0"/>
              <w:jc w:val="left"/>
              <w:textAlignment w:val="baseline"/>
              <w:rPr>
                <w:sz w:val="18"/>
                <w:szCs w:val="18"/>
              </w:rPr>
            </w:pPr>
            <w:r>
              <w:rPr>
                <w:sz w:val="18"/>
                <w:szCs w:val="18"/>
              </w:rPr>
              <w:t>2、遇明火、高热能引起火灾、爆炸，未完全燃烧物质挥发影响环境空气；</w:t>
            </w:r>
          </w:p>
          <w:p>
            <w:pPr>
              <w:pStyle w:val="42"/>
              <w:adjustRightInd w:val="0"/>
              <w:jc w:val="left"/>
              <w:textAlignment w:val="baseline"/>
              <w:rPr>
                <w:sz w:val="18"/>
                <w:szCs w:val="18"/>
              </w:rPr>
            </w:pPr>
            <w:r>
              <w:rPr>
                <w:sz w:val="18"/>
                <w:szCs w:val="18"/>
              </w:rPr>
              <w:t>3、伴生/次生污染物，如消防废水没有按要求收集，或风险防范设施失灵可能影响水环境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2"/>
              <w:adjustRightInd w:val="0"/>
              <w:textAlignment w:val="baseline"/>
              <w:rPr>
                <w:sz w:val="18"/>
                <w:szCs w:val="18"/>
              </w:rPr>
            </w:pPr>
            <w:r>
              <w:rPr>
                <w:rFonts w:hint="eastAsia"/>
                <w:sz w:val="18"/>
                <w:szCs w:val="18"/>
              </w:rPr>
              <w:t>2</w:t>
            </w:r>
          </w:p>
        </w:tc>
        <w:tc>
          <w:tcPr>
            <w:tcW w:w="1985" w:type="dxa"/>
            <w:vAlign w:val="center"/>
          </w:tcPr>
          <w:p>
            <w:pPr>
              <w:pStyle w:val="42"/>
              <w:adjustRightInd w:val="0"/>
              <w:textAlignment w:val="baseline"/>
              <w:rPr>
                <w:sz w:val="18"/>
                <w:szCs w:val="18"/>
              </w:rPr>
            </w:pPr>
            <w:r>
              <w:rPr>
                <w:rFonts w:hint="eastAsia"/>
                <w:sz w:val="18"/>
                <w:szCs w:val="18"/>
              </w:rPr>
              <w:t>废水处理站调节池</w:t>
            </w:r>
            <w:r>
              <w:rPr>
                <w:sz w:val="18"/>
                <w:szCs w:val="18"/>
              </w:rPr>
              <w:t>池底防渗层破损</w:t>
            </w:r>
            <w:r>
              <w:rPr>
                <w:rFonts w:hint="eastAsia"/>
                <w:sz w:val="18"/>
                <w:szCs w:val="18"/>
              </w:rPr>
              <w:t>，废水泄漏</w:t>
            </w:r>
          </w:p>
        </w:tc>
        <w:tc>
          <w:tcPr>
            <w:tcW w:w="1049" w:type="dxa"/>
            <w:vAlign w:val="center"/>
          </w:tcPr>
          <w:p>
            <w:pPr>
              <w:pStyle w:val="42"/>
              <w:adjustRightInd w:val="0"/>
              <w:textAlignment w:val="baseline"/>
              <w:rPr>
                <w:sz w:val="18"/>
                <w:szCs w:val="18"/>
              </w:rPr>
            </w:pPr>
            <w:r>
              <w:rPr>
                <w:rFonts w:hint="eastAsia"/>
                <w:sz w:val="18"/>
                <w:szCs w:val="18"/>
              </w:rPr>
              <w:t>废水处理站</w:t>
            </w:r>
          </w:p>
        </w:tc>
        <w:tc>
          <w:tcPr>
            <w:tcW w:w="1077" w:type="dxa"/>
            <w:vAlign w:val="center"/>
          </w:tcPr>
          <w:p>
            <w:pPr>
              <w:pStyle w:val="42"/>
              <w:adjustRightInd w:val="0"/>
              <w:textAlignment w:val="baseline"/>
              <w:rPr>
                <w:sz w:val="18"/>
                <w:szCs w:val="18"/>
              </w:rPr>
            </w:pPr>
            <w:r>
              <w:rPr>
                <w:rFonts w:hint="eastAsia"/>
                <w:sz w:val="18"/>
                <w:szCs w:val="18"/>
              </w:rPr>
              <w:t>废水</w:t>
            </w:r>
          </w:p>
        </w:tc>
        <w:tc>
          <w:tcPr>
            <w:tcW w:w="3481" w:type="dxa"/>
            <w:vAlign w:val="center"/>
          </w:tcPr>
          <w:p>
            <w:pPr>
              <w:pStyle w:val="42"/>
              <w:adjustRightInd w:val="0"/>
              <w:textAlignment w:val="baseline"/>
              <w:rPr>
                <w:sz w:val="18"/>
                <w:szCs w:val="18"/>
              </w:rPr>
            </w:pPr>
            <w:r>
              <w:rPr>
                <w:sz w:val="18"/>
                <w:szCs w:val="18"/>
              </w:rPr>
              <w:t>废水通过裂口渗入地下水，影响地下水质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2"/>
              <w:adjustRightInd w:val="0"/>
              <w:textAlignment w:val="baseline"/>
              <w:rPr>
                <w:sz w:val="18"/>
                <w:szCs w:val="18"/>
              </w:rPr>
            </w:pPr>
            <w:r>
              <w:rPr>
                <w:rFonts w:hint="eastAsia"/>
                <w:sz w:val="18"/>
                <w:szCs w:val="18"/>
              </w:rPr>
              <w:t>3</w:t>
            </w:r>
          </w:p>
        </w:tc>
        <w:tc>
          <w:tcPr>
            <w:tcW w:w="1985" w:type="dxa"/>
            <w:vAlign w:val="center"/>
          </w:tcPr>
          <w:p>
            <w:pPr>
              <w:pStyle w:val="42"/>
              <w:adjustRightInd w:val="0"/>
              <w:textAlignment w:val="baseline"/>
              <w:rPr>
                <w:sz w:val="18"/>
                <w:szCs w:val="18"/>
              </w:rPr>
            </w:pPr>
            <w:r>
              <w:rPr>
                <w:rFonts w:hint="eastAsia"/>
                <w:sz w:val="18"/>
                <w:szCs w:val="18"/>
              </w:rPr>
              <w:t>天然气（甲烷）泄漏，</w:t>
            </w:r>
            <w:r>
              <w:rPr>
                <w:sz w:val="18"/>
                <w:szCs w:val="18"/>
              </w:rPr>
              <w:t>火灾/爆炸引发的次生污染事故</w:t>
            </w:r>
          </w:p>
        </w:tc>
        <w:tc>
          <w:tcPr>
            <w:tcW w:w="1049" w:type="dxa"/>
            <w:vAlign w:val="center"/>
          </w:tcPr>
          <w:p>
            <w:pPr>
              <w:pStyle w:val="42"/>
              <w:adjustRightInd w:val="0"/>
              <w:textAlignment w:val="baseline"/>
              <w:rPr>
                <w:sz w:val="18"/>
                <w:szCs w:val="18"/>
              </w:rPr>
            </w:pPr>
            <w:r>
              <w:rPr>
                <w:rFonts w:hint="eastAsia"/>
                <w:sz w:val="18"/>
                <w:szCs w:val="18"/>
              </w:rPr>
              <w:t>合成氨装置区</w:t>
            </w:r>
          </w:p>
        </w:tc>
        <w:tc>
          <w:tcPr>
            <w:tcW w:w="1077" w:type="dxa"/>
            <w:vAlign w:val="center"/>
          </w:tcPr>
          <w:p>
            <w:pPr>
              <w:pStyle w:val="42"/>
              <w:adjustRightInd w:val="0"/>
              <w:textAlignment w:val="baseline"/>
              <w:rPr>
                <w:sz w:val="18"/>
                <w:szCs w:val="18"/>
              </w:rPr>
            </w:pPr>
            <w:r>
              <w:rPr>
                <w:rFonts w:hint="eastAsia"/>
                <w:sz w:val="18"/>
                <w:szCs w:val="18"/>
              </w:rPr>
              <w:t>CO</w:t>
            </w:r>
          </w:p>
        </w:tc>
        <w:tc>
          <w:tcPr>
            <w:tcW w:w="3481" w:type="dxa"/>
            <w:vAlign w:val="center"/>
          </w:tcPr>
          <w:p>
            <w:pPr>
              <w:pStyle w:val="42"/>
              <w:adjustRightInd w:val="0"/>
              <w:textAlignment w:val="baseline"/>
              <w:rPr>
                <w:sz w:val="18"/>
                <w:szCs w:val="18"/>
              </w:rPr>
            </w:pPr>
            <w:r>
              <w:rPr>
                <w:rFonts w:hint="eastAsia"/>
                <w:sz w:val="18"/>
                <w:szCs w:val="18"/>
              </w:rPr>
              <w:t>甲烷不完全燃烧产生的CO</w:t>
            </w:r>
            <w:r>
              <w:rPr>
                <w:sz w:val="18"/>
                <w:szCs w:val="18"/>
              </w:rPr>
              <w:t>扩散影响环境空气</w:t>
            </w:r>
          </w:p>
        </w:tc>
      </w:tr>
    </w:tbl>
    <w:p>
      <w:pPr>
        <w:pStyle w:val="4"/>
        <w:spacing w:before="156" w:after="156"/>
      </w:pPr>
      <w:bookmarkStart w:id="147" w:name="_Toc84844314"/>
      <w:r>
        <w:rPr>
          <w:rFonts w:hint="eastAsia"/>
        </w:rPr>
        <w:t>6.6.2事故概率</w:t>
      </w:r>
      <w:bookmarkEnd w:id="147"/>
    </w:p>
    <w:p>
      <w:pPr>
        <w:ind w:firstLine="480"/>
      </w:pPr>
      <w:r>
        <w:rPr>
          <w:rFonts w:hint="eastAsia"/>
        </w:rPr>
        <w:t>根据《建设项目环境风险评价技术导则》（HJ 169-2018）附录E，及《环境风险评价实用技术和方法》中推荐的泄漏事故发生概率，项目各类型事故的发生概率汇总见表6.6-2。</w:t>
      </w:r>
    </w:p>
    <w:p>
      <w:pPr>
        <w:pStyle w:val="41"/>
      </w:pPr>
      <w:r>
        <w:rPr>
          <w:rFonts w:hint="eastAsia"/>
        </w:rPr>
        <w:t>表6.6-2 项目设定事故发生概率汇总一览表</w:t>
      </w:r>
    </w:p>
    <w:tbl>
      <w:tblPr>
        <w:tblStyle w:val="34"/>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685"/>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42"/>
              <w:adjustRightInd w:val="0"/>
              <w:textAlignment w:val="baseline"/>
            </w:pPr>
            <w:r>
              <w:t>部件类型</w:t>
            </w:r>
          </w:p>
        </w:tc>
        <w:tc>
          <w:tcPr>
            <w:tcW w:w="3685" w:type="dxa"/>
            <w:vAlign w:val="center"/>
          </w:tcPr>
          <w:p>
            <w:pPr>
              <w:pStyle w:val="42"/>
              <w:adjustRightInd w:val="0"/>
              <w:textAlignment w:val="baseline"/>
            </w:pPr>
            <w:r>
              <w:t>泄漏模式</w:t>
            </w:r>
          </w:p>
        </w:tc>
        <w:tc>
          <w:tcPr>
            <w:tcW w:w="2100" w:type="dxa"/>
            <w:vAlign w:val="center"/>
          </w:tcPr>
          <w:p>
            <w:pPr>
              <w:pStyle w:val="42"/>
              <w:adjustRightInd w:val="0"/>
              <w:textAlignment w:val="baseline"/>
            </w:pPr>
            <w:r>
              <w:t>泄漏频率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42"/>
              <w:adjustRightInd w:val="0"/>
              <w:textAlignment w:val="baseline"/>
            </w:pPr>
            <w:r>
              <w:t>反应器/工艺储罐/气体储罐/塔器</w:t>
            </w:r>
          </w:p>
        </w:tc>
        <w:tc>
          <w:tcPr>
            <w:tcW w:w="3685" w:type="dxa"/>
            <w:vAlign w:val="center"/>
          </w:tcPr>
          <w:p>
            <w:pPr>
              <w:pStyle w:val="42"/>
              <w:adjustRightInd w:val="0"/>
              <w:textAlignment w:val="baseline"/>
            </w:pPr>
            <w:r>
              <w:t>泄漏孔径为10 mm 孔径</w:t>
            </w:r>
          </w:p>
          <w:p>
            <w:pPr>
              <w:pStyle w:val="42"/>
              <w:adjustRightInd w:val="0"/>
              <w:textAlignment w:val="baseline"/>
            </w:pPr>
            <w:r>
              <w:t>10 min 内储罐泄漏完</w:t>
            </w:r>
          </w:p>
          <w:p>
            <w:pPr>
              <w:pStyle w:val="42"/>
              <w:adjustRightInd w:val="0"/>
              <w:textAlignment w:val="baseline"/>
            </w:pPr>
            <w:r>
              <w:t>储罐全破裂</w:t>
            </w:r>
          </w:p>
        </w:tc>
        <w:tc>
          <w:tcPr>
            <w:tcW w:w="2100" w:type="dxa"/>
            <w:vAlign w:val="center"/>
          </w:tcPr>
          <w:p>
            <w:pPr>
              <w:pStyle w:val="42"/>
              <w:adjustRightInd w:val="0"/>
              <w:textAlignment w:val="baseline"/>
            </w:pPr>
            <w:r>
              <w:t>1.00×10</w:t>
            </w:r>
            <w:r>
              <w:rPr>
                <w:vertAlign w:val="superscript"/>
              </w:rPr>
              <w:t>-4</w:t>
            </w:r>
            <w:r>
              <w:t>/a</w:t>
            </w:r>
          </w:p>
          <w:p>
            <w:pPr>
              <w:pStyle w:val="42"/>
              <w:adjustRightInd w:val="0"/>
              <w:textAlignment w:val="baseline"/>
            </w:pPr>
            <w:r>
              <w:t>5.00×10</w:t>
            </w:r>
            <w:r>
              <w:rPr>
                <w:vertAlign w:val="superscript"/>
              </w:rPr>
              <w:t>-6</w:t>
            </w:r>
            <w:r>
              <w:t>/a</w:t>
            </w:r>
          </w:p>
          <w:p>
            <w:pPr>
              <w:pStyle w:val="42"/>
              <w:adjustRightInd w:val="0"/>
              <w:textAlignment w:val="baseline"/>
            </w:pPr>
            <w:r>
              <w:t>5.00×10</w:t>
            </w:r>
            <w:r>
              <w:rPr>
                <w:vertAlign w:val="superscript"/>
              </w:rPr>
              <w:t>-6</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42"/>
              <w:adjustRightInd w:val="0"/>
              <w:textAlignment w:val="baseline"/>
            </w:pPr>
            <w:r>
              <w:t>内径≤75mm 的管道</w:t>
            </w:r>
          </w:p>
        </w:tc>
        <w:tc>
          <w:tcPr>
            <w:tcW w:w="3685" w:type="dxa"/>
            <w:vAlign w:val="center"/>
          </w:tcPr>
          <w:p>
            <w:pPr>
              <w:pStyle w:val="42"/>
              <w:adjustRightInd w:val="0"/>
              <w:textAlignment w:val="baseline"/>
            </w:pPr>
            <w:r>
              <w:t>泄漏孔径为10%孔径</w:t>
            </w:r>
          </w:p>
          <w:p>
            <w:pPr>
              <w:pStyle w:val="42"/>
              <w:adjustRightInd w:val="0"/>
              <w:textAlignment w:val="baseline"/>
            </w:pPr>
            <w:r>
              <w:t>全管径泄漏</w:t>
            </w:r>
          </w:p>
        </w:tc>
        <w:tc>
          <w:tcPr>
            <w:tcW w:w="2100" w:type="dxa"/>
            <w:vAlign w:val="center"/>
          </w:tcPr>
          <w:p>
            <w:pPr>
              <w:pStyle w:val="42"/>
              <w:adjustRightInd w:val="0"/>
              <w:textAlignment w:val="baseline"/>
            </w:pPr>
            <w:r>
              <w:t>5.00×10</w:t>
            </w:r>
            <w:r>
              <w:rPr>
                <w:vertAlign w:val="superscript"/>
              </w:rPr>
              <w:t>-6</w:t>
            </w:r>
            <w:r>
              <w:t>/（m·a）</w:t>
            </w:r>
          </w:p>
          <w:p>
            <w:pPr>
              <w:pStyle w:val="42"/>
              <w:adjustRightInd w:val="0"/>
              <w:textAlignment w:val="baseline"/>
            </w:pPr>
            <w:r>
              <w:t>1.00×10</w:t>
            </w:r>
            <w:r>
              <w:rPr>
                <w:vertAlign w:val="superscript"/>
              </w:rPr>
              <w:t>-6</w:t>
            </w:r>
            <w: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42"/>
              <w:adjustRightInd w:val="0"/>
              <w:textAlignment w:val="baseline"/>
            </w:pPr>
            <w:r>
              <w:t>75mm＜内径≤150mm的管道</w:t>
            </w:r>
          </w:p>
        </w:tc>
        <w:tc>
          <w:tcPr>
            <w:tcW w:w="3685" w:type="dxa"/>
            <w:vAlign w:val="center"/>
          </w:tcPr>
          <w:p>
            <w:pPr>
              <w:pStyle w:val="42"/>
              <w:adjustRightInd w:val="0"/>
              <w:textAlignment w:val="baseline"/>
            </w:pPr>
            <w:r>
              <w:t>泄漏孔径为10%孔径</w:t>
            </w:r>
          </w:p>
          <w:p>
            <w:pPr>
              <w:pStyle w:val="42"/>
              <w:adjustRightInd w:val="0"/>
              <w:textAlignment w:val="baseline"/>
            </w:pPr>
            <w:r>
              <w:t>全管径泄漏</w:t>
            </w:r>
          </w:p>
        </w:tc>
        <w:tc>
          <w:tcPr>
            <w:tcW w:w="2100" w:type="dxa"/>
            <w:vAlign w:val="center"/>
          </w:tcPr>
          <w:p>
            <w:pPr>
              <w:pStyle w:val="42"/>
              <w:adjustRightInd w:val="0"/>
              <w:textAlignment w:val="baseline"/>
            </w:pPr>
            <w:r>
              <w:t>2.00×10</w:t>
            </w:r>
            <w:r>
              <w:rPr>
                <w:vertAlign w:val="superscript"/>
              </w:rPr>
              <w:t>-6</w:t>
            </w:r>
            <w:r>
              <w:t>/（m·a）</w:t>
            </w:r>
          </w:p>
          <w:p>
            <w:pPr>
              <w:pStyle w:val="42"/>
              <w:adjustRightInd w:val="0"/>
              <w:textAlignment w:val="baseline"/>
            </w:pPr>
            <w:r>
              <w:t>3.00×10</w:t>
            </w:r>
            <w:r>
              <w:rPr>
                <w:vertAlign w:val="superscript"/>
              </w:rPr>
              <w:t>-7</w:t>
            </w:r>
            <w: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pStyle w:val="42"/>
              <w:adjustRightInd w:val="0"/>
              <w:textAlignment w:val="baseline"/>
            </w:pPr>
            <w:r>
              <w:t>内径＞150mm 的管道</w:t>
            </w:r>
          </w:p>
        </w:tc>
        <w:tc>
          <w:tcPr>
            <w:tcW w:w="3685" w:type="dxa"/>
            <w:vAlign w:val="center"/>
          </w:tcPr>
          <w:p>
            <w:pPr>
              <w:pStyle w:val="42"/>
              <w:adjustRightInd w:val="0"/>
              <w:textAlignment w:val="baseline"/>
            </w:pPr>
            <w:r>
              <w:t>泄漏孔径为10%孔径（最大50 mm）</w:t>
            </w:r>
          </w:p>
          <w:p>
            <w:pPr>
              <w:pStyle w:val="42"/>
              <w:adjustRightInd w:val="0"/>
              <w:textAlignment w:val="baseline"/>
            </w:pPr>
            <w:r>
              <w:t>全管径泄漏</w:t>
            </w:r>
          </w:p>
        </w:tc>
        <w:tc>
          <w:tcPr>
            <w:tcW w:w="2100" w:type="dxa"/>
            <w:vAlign w:val="center"/>
          </w:tcPr>
          <w:p>
            <w:pPr>
              <w:pStyle w:val="42"/>
              <w:adjustRightInd w:val="0"/>
              <w:textAlignment w:val="baseline"/>
            </w:pPr>
            <w:r>
              <w:t>2.40×10</w:t>
            </w:r>
            <w:r>
              <w:rPr>
                <w:vertAlign w:val="superscript"/>
              </w:rPr>
              <w:t>-6</w:t>
            </w:r>
            <w:r>
              <w:t>/（m·a）</w:t>
            </w:r>
          </w:p>
          <w:p>
            <w:pPr>
              <w:pStyle w:val="42"/>
              <w:adjustRightInd w:val="0"/>
              <w:textAlignment w:val="baseline"/>
            </w:pPr>
            <w:r>
              <w:t>1.00×10</w:t>
            </w:r>
            <w:r>
              <w:rPr>
                <w:vertAlign w:val="superscript"/>
              </w:rPr>
              <w:t>-7</w:t>
            </w:r>
            <w:r>
              <w:t>/（m·a）</w:t>
            </w:r>
          </w:p>
        </w:tc>
      </w:tr>
    </w:tbl>
    <w:p>
      <w:pPr>
        <w:ind w:firstLine="480"/>
      </w:pPr>
      <w:r>
        <w:rPr>
          <w:rFonts w:hint="eastAsia"/>
        </w:rPr>
        <w:t>根据《建设项目环境风险评价技术导则》（HJ 169-2018），发生频率小于</w:t>
      </w:r>
      <w:r>
        <w:t>10</w:t>
      </w:r>
      <w:r>
        <w:rPr>
          <w:vertAlign w:val="superscript"/>
        </w:rPr>
        <w:t>-6</w:t>
      </w:r>
      <w:r>
        <w:rPr>
          <w:rFonts w:hint="eastAsia"/>
        </w:rPr>
        <w:t>/年的事件是极小概率事件，可作为代表性事故情形中最大可信事故设定的参考。拟建项目液氨输送管道内径150mm、总长约150m，本次评价考虑</w:t>
      </w:r>
      <w:r>
        <w:t>10%孔径</w:t>
      </w:r>
      <w:r>
        <w:rPr>
          <w:rFonts w:hint="eastAsia"/>
        </w:rPr>
        <w:t>泄漏，事故发生概率2.00</w:t>
      </w:r>
      <w:r>
        <w:t>×10</w:t>
      </w:r>
      <w:r>
        <w:rPr>
          <w:vertAlign w:val="superscript"/>
        </w:rPr>
        <w:t>-</w:t>
      </w:r>
      <w:r>
        <w:rPr>
          <w:rFonts w:hint="eastAsia"/>
          <w:vertAlign w:val="superscript"/>
        </w:rPr>
        <w:t>6</w:t>
      </w:r>
      <w:r>
        <w:t>/（m·a）</w:t>
      </w:r>
      <w:r>
        <w:rPr>
          <w:rFonts w:hint="eastAsia"/>
        </w:rPr>
        <w:t>。</w:t>
      </w:r>
    </w:p>
    <w:p>
      <w:pPr>
        <w:pStyle w:val="3"/>
        <w:spacing w:before="156" w:after="156"/>
      </w:pPr>
      <w:bookmarkStart w:id="148" w:name="_Toc84844315"/>
      <w:r>
        <w:rPr>
          <w:rFonts w:hint="eastAsia"/>
        </w:rPr>
        <w:t>6.7源强分析</w:t>
      </w:r>
      <w:bookmarkEnd w:id="148"/>
    </w:p>
    <w:p>
      <w:pPr>
        <w:pStyle w:val="4"/>
        <w:spacing w:before="156" w:after="156"/>
      </w:pPr>
      <w:bookmarkStart w:id="149" w:name="_Toc84844316"/>
      <w:r>
        <w:rPr>
          <w:rFonts w:hint="eastAsia"/>
        </w:rPr>
        <w:t>6.7.1泄漏事故源强确定</w:t>
      </w:r>
      <w:bookmarkEnd w:id="149"/>
    </w:p>
    <w:p>
      <w:pPr>
        <w:ind w:firstLine="480"/>
      </w:pPr>
      <w:r>
        <w:rPr>
          <w:rFonts w:hint="eastAsia"/>
        </w:rPr>
        <w:t>本工程液氨输送管道内径150mm、总长约150m，管道配套设置压力监控系统，泄漏后压力下降，可根据泄漏点位置，通过切断两侧阀门、装置区开启泄漏负压抽吸管线抽回至氨火炬系统，以控制和处置泄漏影响。本次评价泄漏时间设定为10min。</w:t>
      </w:r>
    </w:p>
    <w:p>
      <w:pPr>
        <w:ind w:firstLine="480"/>
      </w:pPr>
      <w:r>
        <w:rPr>
          <w:rFonts w:hint="eastAsia"/>
        </w:rPr>
        <w:t>液氨泄漏速率的计算参照《建设项目环境风险评价技术导则》（HJ169-2018）附录F推荐的两相流泄漏公式计算：</w:t>
      </w:r>
    </w:p>
    <w:p>
      <w:pPr>
        <w:pStyle w:val="41"/>
        <w:spacing w:before="156" w:beforeLines="50" w:after="156" w:afterLines="50"/>
      </w:pPr>
      <w:r>
        <w:drawing>
          <wp:inline distT="0" distB="0" distL="0" distR="0">
            <wp:extent cx="1645920" cy="258445"/>
            <wp:effectExtent l="0" t="0" r="0" b="8255"/>
            <wp:docPr id="11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646898" cy="258901"/>
                    </a:xfrm>
                    <a:prstGeom prst="rect">
                      <a:avLst/>
                    </a:prstGeom>
                    <a:noFill/>
                    <a:ln>
                      <a:noFill/>
                    </a:ln>
                  </pic:spPr>
                </pic:pic>
              </a:graphicData>
            </a:graphic>
          </wp:inline>
        </w:drawing>
      </w:r>
    </w:p>
    <w:p>
      <w:pPr>
        <w:pStyle w:val="41"/>
        <w:spacing w:before="156" w:beforeLines="50" w:after="156" w:afterLines="50"/>
      </w:pPr>
      <w:r>
        <w:drawing>
          <wp:inline distT="0" distB="0" distL="0" distR="0">
            <wp:extent cx="1510030" cy="518795"/>
            <wp:effectExtent l="0" t="0" r="0" b="0"/>
            <wp:docPr id="1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509664" cy="519160"/>
                    </a:xfrm>
                    <a:prstGeom prst="rect">
                      <a:avLst/>
                    </a:prstGeom>
                    <a:noFill/>
                    <a:ln>
                      <a:noFill/>
                    </a:ln>
                  </pic:spPr>
                </pic:pic>
              </a:graphicData>
            </a:graphic>
          </wp:inline>
        </w:drawing>
      </w:r>
    </w:p>
    <w:p>
      <w:pPr>
        <w:pStyle w:val="41"/>
        <w:spacing w:before="156" w:beforeLines="50" w:after="156" w:afterLines="50"/>
      </w:pPr>
      <w:r>
        <w:drawing>
          <wp:inline distT="0" distB="0" distL="0" distR="0">
            <wp:extent cx="1411605" cy="372110"/>
            <wp:effectExtent l="0" t="0" r="0" b="8890"/>
            <wp:docPr id="1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412047" cy="372331"/>
                    </a:xfrm>
                    <a:prstGeom prst="rect">
                      <a:avLst/>
                    </a:prstGeom>
                    <a:noFill/>
                    <a:ln>
                      <a:noFill/>
                    </a:ln>
                  </pic:spPr>
                </pic:pic>
              </a:graphicData>
            </a:graphic>
          </wp:inline>
        </w:drawing>
      </w:r>
    </w:p>
    <w:p>
      <w:pPr>
        <w:ind w:firstLine="480"/>
      </w:pPr>
      <w:r>
        <w:rPr>
          <w:rFonts w:hint="eastAsia"/>
        </w:rPr>
        <w:t>式中：Q</w:t>
      </w:r>
      <w:r>
        <w:rPr>
          <w:rFonts w:hint="eastAsia"/>
          <w:vertAlign w:val="subscript"/>
        </w:rPr>
        <w:t>LG</w:t>
      </w:r>
      <w:r>
        <w:rPr>
          <w:rFonts w:hint="eastAsia"/>
        </w:rPr>
        <w:t>——两相流泄漏速率，kg/s；</w:t>
      </w:r>
    </w:p>
    <w:p>
      <w:pPr>
        <w:ind w:firstLine="480"/>
      </w:pPr>
      <w:r>
        <w:rPr>
          <w:rFonts w:hint="eastAsia"/>
        </w:rPr>
        <w:t>C</w:t>
      </w:r>
      <w:r>
        <w:rPr>
          <w:rFonts w:hint="eastAsia"/>
          <w:vertAlign w:val="subscript"/>
        </w:rPr>
        <w:t>d</w:t>
      </w:r>
      <w:r>
        <w:rPr>
          <w:rFonts w:hint="eastAsia"/>
        </w:rPr>
        <w:t>——两相流泄漏系数，取0.8；</w:t>
      </w:r>
    </w:p>
    <w:p>
      <w:pPr>
        <w:ind w:firstLine="480"/>
      </w:pPr>
      <w:r>
        <w:rPr>
          <w:rFonts w:hint="eastAsia"/>
        </w:rPr>
        <w:t>P</w:t>
      </w:r>
      <w:r>
        <w:rPr>
          <w:rFonts w:hint="eastAsia"/>
          <w:vertAlign w:val="subscript"/>
        </w:rPr>
        <w:t>C</w:t>
      </w:r>
      <w:r>
        <w:rPr>
          <w:rFonts w:hint="eastAsia"/>
        </w:rPr>
        <w:t>——临界压力，Pa，取0.55Pa；</w:t>
      </w:r>
    </w:p>
    <w:p>
      <w:pPr>
        <w:ind w:firstLine="480"/>
      </w:pPr>
      <w:r>
        <w:rPr>
          <w:rFonts w:hint="eastAsia"/>
        </w:rPr>
        <w:t>P——操作压力或容器压力，Pa，取1.6MPa；</w:t>
      </w:r>
    </w:p>
    <w:p>
      <w:pPr>
        <w:ind w:firstLine="480"/>
      </w:pPr>
      <w:r>
        <w:rPr>
          <w:rFonts w:hint="eastAsia"/>
        </w:rPr>
        <w:t>A——裂口面积，m，取0.0017m</w:t>
      </w:r>
      <w:r>
        <w:rPr>
          <w:rFonts w:hint="eastAsia"/>
          <w:vertAlign w:val="superscript"/>
        </w:rPr>
        <w:t>2</w:t>
      </w:r>
      <w:r>
        <w:rPr>
          <w:rFonts w:hint="eastAsia"/>
        </w:rPr>
        <w:t>；</w:t>
      </w:r>
    </w:p>
    <w:p>
      <w:pPr>
        <w:ind w:firstLine="480"/>
      </w:pPr>
      <w:r>
        <w:rPr>
          <w:rFonts w:hint="eastAsia"/>
        </w:rPr>
        <w:t>ρ</w:t>
      </w:r>
      <w:r>
        <w:rPr>
          <w:rFonts w:hint="eastAsia"/>
          <w:vertAlign w:val="subscript"/>
        </w:rPr>
        <w:t>m</w:t>
      </w:r>
      <w:r>
        <w:rPr>
          <w:rFonts w:hint="eastAsia"/>
        </w:rPr>
        <w:t>——两相混合物的平均密度，6.32kg/m</w:t>
      </w:r>
      <w:r>
        <w:rPr>
          <w:rFonts w:hint="eastAsia"/>
          <w:vertAlign w:val="superscript"/>
        </w:rPr>
        <w:t>3</w:t>
      </w:r>
      <w:r>
        <w:rPr>
          <w:rFonts w:hint="eastAsia"/>
        </w:rPr>
        <w:t>；</w:t>
      </w:r>
    </w:p>
    <w:p>
      <w:pPr>
        <w:ind w:firstLine="480"/>
      </w:pPr>
      <w:r>
        <w:rPr>
          <w:rFonts w:hint="eastAsia"/>
        </w:rPr>
        <w:t>ρ</w:t>
      </w:r>
      <w:r>
        <w:rPr>
          <w:rFonts w:hint="eastAsia"/>
          <w:vertAlign w:val="subscript"/>
        </w:rPr>
        <w:t>1</w:t>
      </w:r>
      <w:r>
        <w:rPr>
          <w:rFonts w:hint="eastAsia"/>
        </w:rPr>
        <w:t>——液体蒸发的蒸汽密度，kg/m</w:t>
      </w:r>
      <w:r>
        <w:rPr>
          <w:rFonts w:hint="eastAsia"/>
          <w:vertAlign w:val="superscript"/>
        </w:rPr>
        <w:t>3</w:t>
      </w:r>
      <w:r>
        <w:rPr>
          <w:rFonts w:hint="eastAsia"/>
        </w:rPr>
        <w:t>，取0.865 kg/m</w:t>
      </w:r>
      <w:r>
        <w:rPr>
          <w:rFonts w:hint="eastAsia"/>
          <w:vertAlign w:val="superscript"/>
        </w:rPr>
        <w:t>3</w:t>
      </w:r>
      <w:r>
        <w:rPr>
          <w:rFonts w:hint="eastAsia"/>
        </w:rPr>
        <w:t>；</w:t>
      </w:r>
    </w:p>
    <w:p>
      <w:pPr>
        <w:ind w:firstLine="480"/>
      </w:pPr>
      <w:r>
        <w:rPr>
          <w:rFonts w:hint="eastAsia"/>
        </w:rPr>
        <w:t>ρ</w:t>
      </w:r>
      <w:r>
        <w:rPr>
          <w:rFonts w:hint="eastAsia"/>
          <w:vertAlign w:val="subscript"/>
        </w:rPr>
        <w:t>2</w:t>
      </w:r>
      <w:r>
        <w:rPr>
          <w:rFonts w:hint="eastAsia"/>
        </w:rPr>
        <w:t>——液体密度，kg/m</w:t>
      </w:r>
      <w:r>
        <w:rPr>
          <w:rFonts w:hint="eastAsia"/>
          <w:vertAlign w:val="superscript"/>
        </w:rPr>
        <w:t>3</w:t>
      </w:r>
      <w:r>
        <w:rPr>
          <w:rFonts w:hint="eastAsia"/>
        </w:rPr>
        <w:t>，取682.8kg/m</w:t>
      </w:r>
      <w:r>
        <w:rPr>
          <w:rFonts w:hint="eastAsia"/>
          <w:vertAlign w:val="superscript"/>
        </w:rPr>
        <w:t>3</w:t>
      </w:r>
      <w:r>
        <w:rPr>
          <w:rFonts w:hint="eastAsia"/>
        </w:rPr>
        <w:t>；</w:t>
      </w:r>
    </w:p>
    <w:p>
      <w:pPr>
        <w:ind w:firstLine="480"/>
      </w:pPr>
      <w:r>
        <w:rPr>
          <w:rFonts w:hint="eastAsia"/>
        </w:rPr>
        <w:t>F</w:t>
      </w:r>
      <w:r>
        <w:rPr>
          <w:rFonts w:hint="eastAsia"/>
          <w:vertAlign w:val="subscript"/>
        </w:rPr>
        <w:t>V</w:t>
      </w:r>
      <w:r>
        <w:rPr>
          <w:rFonts w:hint="eastAsia"/>
        </w:rPr>
        <w:t>——蒸发的液体占液体总量的比例；</w:t>
      </w:r>
    </w:p>
    <w:p>
      <w:pPr>
        <w:ind w:firstLine="480"/>
      </w:pPr>
      <w:r>
        <w:rPr>
          <w:rFonts w:hint="eastAsia"/>
        </w:rPr>
        <w:t>C</w:t>
      </w:r>
      <w:r>
        <w:rPr>
          <w:rFonts w:hint="eastAsia"/>
          <w:vertAlign w:val="subscript"/>
        </w:rPr>
        <w:t>P</w:t>
      </w:r>
      <w:r>
        <w:rPr>
          <w:rFonts w:hint="eastAsia"/>
        </w:rPr>
        <w:t>——两相混合物的定压比热容，J/(kg•K)；</w:t>
      </w:r>
    </w:p>
    <w:p>
      <w:pPr>
        <w:ind w:firstLine="480"/>
      </w:pPr>
      <w:r>
        <w:rPr>
          <w:rFonts w:hint="eastAsia"/>
        </w:rPr>
        <w:t>T</w:t>
      </w:r>
      <w:r>
        <w:rPr>
          <w:rFonts w:hint="eastAsia"/>
          <w:vertAlign w:val="subscript"/>
        </w:rPr>
        <w:t>LG</w:t>
      </w:r>
      <w:r>
        <w:rPr>
          <w:rFonts w:hint="eastAsia"/>
        </w:rPr>
        <w:t>——两相混合物的温度，239.65K；</w:t>
      </w:r>
    </w:p>
    <w:p>
      <w:pPr>
        <w:ind w:firstLine="480"/>
      </w:pPr>
      <w:r>
        <w:rPr>
          <w:rFonts w:hint="eastAsia"/>
        </w:rPr>
        <w:t>T</w:t>
      </w:r>
      <w:r>
        <w:rPr>
          <w:rFonts w:hint="eastAsia"/>
          <w:vertAlign w:val="subscript"/>
        </w:rPr>
        <w:t>C</w:t>
      </w:r>
      <w:r>
        <w:rPr>
          <w:rFonts w:hint="eastAsia"/>
        </w:rPr>
        <w:t>——液体在临界压力下的沸点，K；</w:t>
      </w:r>
    </w:p>
    <w:p>
      <w:pPr>
        <w:ind w:firstLine="480"/>
      </w:pPr>
      <w:r>
        <w:rPr>
          <w:rFonts w:hint="eastAsia"/>
        </w:rPr>
        <w:t>H——液体的汽化热，J/kg，取1370840J/kg。</w:t>
      </w:r>
    </w:p>
    <w:p>
      <w:pPr>
        <w:ind w:firstLine="480"/>
      </w:pPr>
      <w:r>
        <w:rPr>
          <w:rFonts w:hint="eastAsia"/>
        </w:rPr>
        <w:t>根据上述公式及参数，估算出液氨管道破裂事故和天然气缓冲罐泄漏事故状况下，泄漏源强汇总见表6.7-1。</w:t>
      </w:r>
    </w:p>
    <w:p>
      <w:pPr>
        <w:pStyle w:val="41"/>
      </w:pPr>
      <w:r>
        <w:rPr>
          <w:rFonts w:hint="eastAsia"/>
        </w:rPr>
        <w:t>表6.7-1  拟建项目事故源强一览表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9"/>
        <w:gridCol w:w="494"/>
        <w:gridCol w:w="654"/>
        <w:gridCol w:w="654"/>
        <w:gridCol w:w="981"/>
        <w:gridCol w:w="818"/>
        <w:gridCol w:w="820"/>
        <w:gridCol w:w="862"/>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03" w:type="pct"/>
            <w:vAlign w:val="center"/>
          </w:tcPr>
          <w:p>
            <w:pPr>
              <w:pStyle w:val="42"/>
              <w:rPr>
                <w:sz w:val="18"/>
                <w:szCs w:val="18"/>
              </w:rPr>
            </w:pPr>
            <w:r>
              <w:rPr>
                <w:sz w:val="18"/>
                <w:szCs w:val="18"/>
              </w:rPr>
              <w:t>风险事故情形描述</w:t>
            </w:r>
          </w:p>
        </w:tc>
        <w:tc>
          <w:tcPr>
            <w:tcW w:w="297" w:type="pct"/>
            <w:vAlign w:val="center"/>
          </w:tcPr>
          <w:p>
            <w:pPr>
              <w:pStyle w:val="42"/>
              <w:rPr>
                <w:sz w:val="18"/>
                <w:szCs w:val="18"/>
              </w:rPr>
            </w:pPr>
            <w:r>
              <w:rPr>
                <w:sz w:val="18"/>
                <w:szCs w:val="18"/>
              </w:rPr>
              <w:t>危险单元</w:t>
            </w:r>
          </w:p>
        </w:tc>
        <w:tc>
          <w:tcPr>
            <w:tcW w:w="393" w:type="pct"/>
            <w:vAlign w:val="center"/>
          </w:tcPr>
          <w:p>
            <w:pPr>
              <w:pStyle w:val="42"/>
              <w:rPr>
                <w:sz w:val="18"/>
                <w:szCs w:val="18"/>
              </w:rPr>
            </w:pPr>
            <w:r>
              <w:rPr>
                <w:sz w:val="18"/>
                <w:szCs w:val="18"/>
              </w:rPr>
              <w:t>影响途径</w:t>
            </w:r>
          </w:p>
        </w:tc>
        <w:tc>
          <w:tcPr>
            <w:tcW w:w="393" w:type="pct"/>
            <w:vAlign w:val="center"/>
          </w:tcPr>
          <w:p>
            <w:pPr>
              <w:pStyle w:val="42"/>
              <w:rPr>
                <w:sz w:val="18"/>
                <w:szCs w:val="18"/>
              </w:rPr>
            </w:pPr>
            <w:r>
              <w:rPr>
                <w:sz w:val="18"/>
                <w:szCs w:val="18"/>
              </w:rPr>
              <w:t>物料名称</w:t>
            </w:r>
          </w:p>
        </w:tc>
        <w:tc>
          <w:tcPr>
            <w:tcW w:w="590" w:type="pct"/>
            <w:vAlign w:val="center"/>
          </w:tcPr>
          <w:p>
            <w:pPr>
              <w:pStyle w:val="42"/>
              <w:rPr>
                <w:sz w:val="18"/>
                <w:szCs w:val="18"/>
              </w:rPr>
            </w:pPr>
            <w:r>
              <w:rPr>
                <w:sz w:val="18"/>
                <w:szCs w:val="18"/>
              </w:rPr>
              <w:t>单个裂口面积（m</w:t>
            </w:r>
            <w:r>
              <w:rPr>
                <w:sz w:val="18"/>
                <w:szCs w:val="18"/>
                <w:vertAlign w:val="superscript"/>
              </w:rPr>
              <w:t>2</w:t>
            </w:r>
            <w:r>
              <w:rPr>
                <w:sz w:val="18"/>
                <w:szCs w:val="18"/>
              </w:rPr>
              <w:t>）</w:t>
            </w:r>
          </w:p>
        </w:tc>
        <w:tc>
          <w:tcPr>
            <w:tcW w:w="492" w:type="pct"/>
            <w:vAlign w:val="center"/>
          </w:tcPr>
          <w:p>
            <w:pPr>
              <w:pStyle w:val="42"/>
              <w:rPr>
                <w:sz w:val="18"/>
                <w:szCs w:val="18"/>
              </w:rPr>
            </w:pPr>
            <w:r>
              <w:rPr>
                <w:sz w:val="18"/>
                <w:szCs w:val="18"/>
              </w:rPr>
              <w:t>泄漏速率</w:t>
            </w:r>
          </w:p>
          <w:p>
            <w:pPr>
              <w:pStyle w:val="42"/>
              <w:rPr>
                <w:sz w:val="18"/>
                <w:szCs w:val="18"/>
              </w:rPr>
            </w:pPr>
            <w:r>
              <w:rPr>
                <w:sz w:val="18"/>
                <w:szCs w:val="18"/>
              </w:rPr>
              <w:t>（kg/s）</w:t>
            </w:r>
          </w:p>
        </w:tc>
        <w:tc>
          <w:tcPr>
            <w:tcW w:w="493" w:type="pct"/>
            <w:vAlign w:val="center"/>
          </w:tcPr>
          <w:p>
            <w:pPr>
              <w:pStyle w:val="42"/>
              <w:rPr>
                <w:sz w:val="18"/>
                <w:szCs w:val="18"/>
              </w:rPr>
            </w:pPr>
            <w:r>
              <w:rPr>
                <w:sz w:val="18"/>
                <w:szCs w:val="18"/>
              </w:rPr>
              <w:t>泄漏时间</w:t>
            </w:r>
          </w:p>
          <w:p>
            <w:pPr>
              <w:pStyle w:val="42"/>
              <w:rPr>
                <w:sz w:val="18"/>
                <w:szCs w:val="18"/>
              </w:rPr>
            </w:pPr>
            <w:r>
              <w:rPr>
                <w:sz w:val="18"/>
                <w:szCs w:val="18"/>
              </w:rPr>
              <w:t>（min）</w:t>
            </w:r>
          </w:p>
        </w:tc>
        <w:tc>
          <w:tcPr>
            <w:tcW w:w="518" w:type="pct"/>
            <w:vAlign w:val="center"/>
          </w:tcPr>
          <w:p>
            <w:pPr>
              <w:pStyle w:val="42"/>
              <w:rPr>
                <w:sz w:val="18"/>
                <w:szCs w:val="18"/>
              </w:rPr>
            </w:pPr>
            <w:r>
              <w:rPr>
                <w:sz w:val="18"/>
                <w:szCs w:val="18"/>
              </w:rPr>
              <w:t>最大泄漏量（kg）</w:t>
            </w:r>
          </w:p>
        </w:tc>
        <w:tc>
          <w:tcPr>
            <w:tcW w:w="820" w:type="pct"/>
            <w:vAlign w:val="center"/>
          </w:tcPr>
          <w:p>
            <w:pPr>
              <w:pStyle w:val="42"/>
              <w:rPr>
                <w:sz w:val="18"/>
                <w:szCs w:val="18"/>
              </w:rPr>
            </w:pPr>
            <w:r>
              <w:rPr>
                <w:sz w:val="18"/>
                <w:szCs w:val="18"/>
              </w:rPr>
              <w:t>蒸发量（kg）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1003" w:type="pct"/>
            <w:vAlign w:val="center"/>
          </w:tcPr>
          <w:p>
            <w:pPr>
              <w:pStyle w:val="42"/>
              <w:rPr>
                <w:sz w:val="18"/>
                <w:szCs w:val="18"/>
              </w:rPr>
            </w:pPr>
            <w:r>
              <w:rPr>
                <w:rFonts w:hint="eastAsia"/>
                <w:sz w:val="18"/>
                <w:szCs w:val="18"/>
              </w:rPr>
              <w:t>DN150液氨管道破损</w:t>
            </w:r>
            <w:r>
              <w:rPr>
                <w:sz w:val="18"/>
                <w:szCs w:val="18"/>
              </w:rPr>
              <w:t>，</w:t>
            </w:r>
            <w:r>
              <w:rPr>
                <w:rFonts w:hint="eastAsia"/>
                <w:sz w:val="18"/>
                <w:szCs w:val="18"/>
              </w:rPr>
              <w:t>10%孔径泄漏</w:t>
            </w:r>
          </w:p>
        </w:tc>
        <w:tc>
          <w:tcPr>
            <w:tcW w:w="297" w:type="pct"/>
            <w:vAlign w:val="center"/>
          </w:tcPr>
          <w:p>
            <w:pPr>
              <w:pStyle w:val="42"/>
              <w:rPr>
                <w:sz w:val="18"/>
                <w:szCs w:val="18"/>
              </w:rPr>
            </w:pPr>
            <w:r>
              <w:rPr>
                <w:rFonts w:hint="eastAsia"/>
                <w:sz w:val="18"/>
                <w:szCs w:val="18"/>
              </w:rPr>
              <w:t>液氨管道</w:t>
            </w:r>
          </w:p>
        </w:tc>
        <w:tc>
          <w:tcPr>
            <w:tcW w:w="393" w:type="pct"/>
            <w:vAlign w:val="center"/>
          </w:tcPr>
          <w:p>
            <w:pPr>
              <w:pStyle w:val="42"/>
              <w:rPr>
                <w:sz w:val="18"/>
                <w:szCs w:val="18"/>
              </w:rPr>
            </w:pPr>
            <w:r>
              <w:rPr>
                <w:sz w:val="18"/>
                <w:szCs w:val="18"/>
              </w:rPr>
              <w:t>泄露后大气扩散</w:t>
            </w:r>
          </w:p>
        </w:tc>
        <w:tc>
          <w:tcPr>
            <w:tcW w:w="393" w:type="pct"/>
            <w:vAlign w:val="center"/>
          </w:tcPr>
          <w:p>
            <w:pPr>
              <w:pStyle w:val="42"/>
              <w:rPr>
                <w:sz w:val="18"/>
                <w:szCs w:val="18"/>
              </w:rPr>
            </w:pPr>
            <w:r>
              <w:rPr>
                <w:sz w:val="18"/>
                <w:szCs w:val="18"/>
              </w:rPr>
              <w:t>氨</w:t>
            </w:r>
          </w:p>
        </w:tc>
        <w:tc>
          <w:tcPr>
            <w:tcW w:w="590" w:type="pct"/>
            <w:vAlign w:val="center"/>
          </w:tcPr>
          <w:p>
            <w:pPr>
              <w:pStyle w:val="42"/>
              <w:rPr>
                <w:sz w:val="18"/>
                <w:szCs w:val="18"/>
              </w:rPr>
            </w:pPr>
            <w:r>
              <w:rPr>
                <w:rFonts w:hint="eastAsia"/>
                <w:sz w:val="18"/>
                <w:szCs w:val="18"/>
              </w:rPr>
              <w:t>0.0017</w:t>
            </w:r>
          </w:p>
        </w:tc>
        <w:tc>
          <w:tcPr>
            <w:tcW w:w="492" w:type="pct"/>
            <w:vAlign w:val="center"/>
          </w:tcPr>
          <w:p>
            <w:pPr>
              <w:pStyle w:val="42"/>
              <w:rPr>
                <w:sz w:val="18"/>
                <w:szCs w:val="18"/>
              </w:rPr>
            </w:pPr>
            <w:r>
              <w:rPr>
                <w:rFonts w:hint="eastAsia"/>
                <w:sz w:val="18"/>
                <w:szCs w:val="18"/>
              </w:rPr>
              <w:t>4.816</w:t>
            </w:r>
          </w:p>
        </w:tc>
        <w:tc>
          <w:tcPr>
            <w:tcW w:w="493" w:type="pct"/>
            <w:vAlign w:val="center"/>
          </w:tcPr>
          <w:p>
            <w:pPr>
              <w:pStyle w:val="42"/>
              <w:rPr>
                <w:sz w:val="18"/>
                <w:szCs w:val="18"/>
              </w:rPr>
            </w:pPr>
            <w:r>
              <w:rPr>
                <w:sz w:val="18"/>
                <w:szCs w:val="18"/>
              </w:rPr>
              <w:t>10min</w:t>
            </w:r>
          </w:p>
        </w:tc>
        <w:tc>
          <w:tcPr>
            <w:tcW w:w="518" w:type="pct"/>
            <w:vAlign w:val="center"/>
          </w:tcPr>
          <w:p>
            <w:pPr>
              <w:pStyle w:val="42"/>
              <w:rPr>
                <w:sz w:val="18"/>
                <w:szCs w:val="18"/>
              </w:rPr>
            </w:pPr>
            <w:r>
              <w:rPr>
                <w:rFonts w:hint="eastAsia"/>
                <w:sz w:val="18"/>
                <w:szCs w:val="18"/>
              </w:rPr>
              <w:t>2889.6</w:t>
            </w:r>
          </w:p>
        </w:tc>
        <w:tc>
          <w:tcPr>
            <w:tcW w:w="820" w:type="pct"/>
            <w:vAlign w:val="center"/>
          </w:tcPr>
          <w:p>
            <w:pPr>
              <w:pStyle w:val="42"/>
              <w:rPr>
                <w:sz w:val="18"/>
                <w:szCs w:val="18"/>
              </w:rPr>
            </w:pPr>
            <w:r>
              <w:rPr>
                <w:rFonts w:hint="eastAsia"/>
                <w:sz w:val="18"/>
                <w:szCs w:val="18"/>
              </w:rPr>
              <w:t>754.2</w:t>
            </w:r>
          </w:p>
          <w:p>
            <w:pPr>
              <w:pStyle w:val="42"/>
              <w:rPr>
                <w:sz w:val="18"/>
                <w:szCs w:val="18"/>
              </w:rPr>
            </w:pPr>
            <w:r>
              <w:rPr>
                <w:sz w:val="18"/>
                <w:szCs w:val="18"/>
              </w:rPr>
              <w:t>（</w:t>
            </w:r>
            <w:r>
              <w:rPr>
                <w:rFonts w:hint="eastAsia"/>
                <w:sz w:val="18"/>
                <w:szCs w:val="18"/>
              </w:rPr>
              <w:t>纯气体1.257</w:t>
            </w:r>
          </w:p>
          <w:p>
            <w:pPr>
              <w:pStyle w:val="42"/>
              <w:rPr>
                <w:sz w:val="18"/>
                <w:szCs w:val="18"/>
              </w:rPr>
            </w:pPr>
            <w:r>
              <w:rPr>
                <w:sz w:val="18"/>
                <w:szCs w:val="18"/>
              </w:rPr>
              <w:t>kg/s）</w:t>
            </w:r>
          </w:p>
        </w:tc>
      </w:tr>
    </w:tbl>
    <w:p>
      <w:pPr>
        <w:pStyle w:val="4"/>
        <w:spacing w:before="156" w:after="156"/>
      </w:pPr>
      <w:bookmarkStart w:id="150" w:name="_Toc84844317"/>
      <w:r>
        <w:rPr>
          <w:rFonts w:hint="eastAsia"/>
        </w:rPr>
        <w:t>6.7.2燃爆次生污染事故源强</w:t>
      </w:r>
      <w:bookmarkEnd w:id="150"/>
    </w:p>
    <w:p>
      <w:pPr>
        <w:ind w:firstLine="480"/>
      </w:pPr>
      <w:bookmarkStart w:id="151" w:name="OLE_LINK5"/>
      <w:r>
        <w:rPr>
          <w:rFonts w:hint="eastAsia" w:eastAsiaTheme="minorEastAsia"/>
        </w:rPr>
        <w:t>天然气（甲烷）</w:t>
      </w:r>
      <w:bookmarkEnd w:id="151"/>
      <w:r>
        <w:rPr>
          <w:rFonts w:hint="eastAsia" w:eastAsiaTheme="minorEastAsia"/>
        </w:rPr>
        <w:t>泄漏后遇明火、高热能引起燃烧爆炸，过程中不完全燃烧产生CO，</w:t>
      </w:r>
      <w:r>
        <w:rPr>
          <w:rFonts w:hint="eastAsia"/>
        </w:rPr>
        <w:t>伴生</w:t>
      </w:r>
      <w:r>
        <w:t>/</w:t>
      </w:r>
      <w:r>
        <w:rPr>
          <w:rFonts w:hint="eastAsia"/>
        </w:rPr>
        <w:t>次生</w:t>
      </w:r>
      <w:r>
        <w:t>CO</w:t>
      </w:r>
      <w:r>
        <w:rPr>
          <w:rFonts w:hint="eastAsia"/>
        </w:rPr>
        <w:t>量按照《建设项目环境风险评价技术导则》（</w:t>
      </w:r>
      <w:r>
        <w:t>HJ169-2018</w:t>
      </w:r>
      <w:r>
        <w:rPr>
          <w:rFonts w:hint="eastAsia"/>
        </w:rPr>
        <w:t>）附录</w:t>
      </w:r>
      <w:r>
        <w:t>F</w:t>
      </w:r>
      <w:r>
        <w:rPr>
          <w:rFonts w:hint="eastAsia"/>
        </w:rPr>
        <w:t>推荐的经验估算法进行计算：</w:t>
      </w:r>
    </w:p>
    <w:p>
      <w:pPr>
        <w:pStyle w:val="41"/>
      </w:pPr>
      <w:r>
        <w:t>G</w:t>
      </w:r>
      <w:r>
        <w:rPr>
          <w:vertAlign w:val="subscript"/>
        </w:rPr>
        <w:t>CO</w:t>
      </w:r>
      <w:r>
        <w:t>=2330qCQ</w:t>
      </w:r>
    </w:p>
    <w:p>
      <w:pPr>
        <w:ind w:firstLine="480"/>
      </w:pPr>
      <w:r>
        <w:rPr>
          <w:rFonts w:hint="eastAsia"/>
        </w:rPr>
        <w:t>式中：</w:t>
      </w:r>
      <w:r>
        <w:t>G</w:t>
      </w:r>
      <w:r>
        <w:rPr>
          <w:vertAlign w:val="subscript"/>
        </w:rPr>
        <w:t>CO</w:t>
      </w:r>
      <w:r>
        <w:t>—</w:t>
      </w:r>
      <w:r>
        <w:rPr>
          <w:rFonts w:hint="eastAsia"/>
        </w:rPr>
        <w:t>一氧化碳的产生量，</w:t>
      </w:r>
      <w:r>
        <w:t>kg/s</w:t>
      </w:r>
      <w:r>
        <w:rPr>
          <w:rFonts w:hint="eastAsia"/>
        </w:rPr>
        <w:t>；</w:t>
      </w:r>
    </w:p>
    <w:p>
      <w:pPr>
        <w:ind w:firstLine="1200" w:firstLineChars="500"/>
      </w:pPr>
      <w:r>
        <w:t>C——</w:t>
      </w:r>
      <w:r>
        <w:rPr>
          <w:rFonts w:hint="eastAsia"/>
        </w:rPr>
        <w:t>物质中碳的含量</w:t>
      </w:r>
      <w:r>
        <w:t>%</w:t>
      </w:r>
      <w:r>
        <w:rPr>
          <w:rFonts w:hint="eastAsia"/>
        </w:rPr>
        <w:t>，取75</w:t>
      </w:r>
      <w:r>
        <w:t>%</w:t>
      </w:r>
      <w:r>
        <w:rPr>
          <w:rFonts w:hint="eastAsia"/>
        </w:rPr>
        <w:t>；</w:t>
      </w:r>
    </w:p>
    <w:p>
      <w:pPr>
        <w:ind w:firstLine="1200" w:firstLineChars="500"/>
      </w:pPr>
      <w:r>
        <w:t>q——</w:t>
      </w:r>
      <w:r>
        <w:rPr>
          <w:rFonts w:hint="eastAsia"/>
        </w:rPr>
        <w:t>化学不完全燃烧值，取</w:t>
      </w:r>
      <w:r>
        <w:t>6.0%</w:t>
      </w:r>
      <w:r>
        <w:rPr>
          <w:rFonts w:hint="eastAsia"/>
        </w:rPr>
        <w:t>；</w:t>
      </w:r>
    </w:p>
    <w:p>
      <w:pPr>
        <w:ind w:firstLine="1200" w:firstLineChars="500"/>
      </w:pPr>
      <w:r>
        <w:t>Q——</w:t>
      </w:r>
      <w:r>
        <w:rPr>
          <w:rFonts w:hint="eastAsia"/>
        </w:rPr>
        <w:t>参与燃烧的物质量（</w:t>
      </w:r>
      <w:r>
        <w:t>t/s</w:t>
      </w:r>
      <w:r>
        <w:rPr>
          <w:rFonts w:hint="eastAsia"/>
        </w:rPr>
        <w:t>）。</w:t>
      </w:r>
    </w:p>
    <w:p>
      <w:pPr>
        <w:ind w:firstLine="480"/>
      </w:pPr>
      <w:r>
        <w:rPr>
          <w:rFonts w:hint="eastAsia"/>
        </w:rPr>
        <w:t>本次评价考虑</w:t>
      </w:r>
      <w:r>
        <w:rPr>
          <w:rFonts w:hint="eastAsia" w:eastAsiaTheme="minorEastAsia"/>
        </w:rPr>
        <w:t>天然气（甲烷）缓冲罐泄漏连接管道泄漏、</w:t>
      </w:r>
      <w:r>
        <w:rPr>
          <w:rFonts w:hint="eastAsia"/>
        </w:rPr>
        <w:t>与空气混合能形成爆炸性混合物，遇热源或明火燃烧爆炸，缓冲罐甲烷最大存在量0.04t，评价考虑全部燃烧，火灾持续时间15min，则参与燃烧的物质量为0.00004t/s，经计算，CO产生速率为0.005kg</w:t>
      </w:r>
      <w:r>
        <w:t>/</w:t>
      </w:r>
      <w:r>
        <w:rPr>
          <w:rFonts w:hint="eastAsia"/>
        </w:rPr>
        <w:t>s。</w:t>
      </w:r>
    </w:p>
    <w:p>
      <w:pPr>
        <w:pStyle w:val="3"/>
        <w:spacing w:before="156" w:after="156"/>
      </w:pPr>
      <w:bookmarkStart w:id="152" w:name="_Toc84844318"/>
      <w:r>
        <w:rPr>
          <w:rFonts w:hint="eastAsia"/>
        </w:rPr>
        <w:t>6.8 风险预测与评价</w:t>
      </w:r>
      <w:bookmarkEnd w:id="152"/>
    </w:p>
    <w:p>
      <w:pPr>
        <w:pStyle w:val="4"/>
        <w:spacing w:before="156" w:after="156"/>
      </w:pPr>
      <w:bookmarkStart w:id="153" w:name="_Toc84844319"/>
      <w:r>
        <w:rPr>
          <w:rFonts w:hint="eastAsia"/>
        </w:rPr>
        <w:t>6.8.1大气环境风险分析</w:t>
      </w:r>
      <w:bookmarkEnd w:id="153"/>
    </w:p>
    <w:p>
      <w:pPr>
        <w:pStyle w:val="5"/>
      </w:pPr>
      <w:r>
        <w:rPr>
          <w:rFonts w:hint="eastAsia"/>
        </w:rPr>
        <w:t>6.8.1.1预测模型选取</w:t>
      </w:r>
    </w:p>
    <w:p>
      <w:pPr>
        <w:ind w:firstLine="480"/>
      </w:pPr>
      <w:r>
        <w:rPr>
          <w:rFonts w:hint="eastAsia"/>
        </w:rPr>
        <w:t>（1）泄漏气体排放方式判定</w:t>
      </w:r>
    </w:p>
    <w:p>
      <w:pPr>
        <w:ind w:firstLine="480"/>
      </w:pPr>
      <w:r>
        <w:rPr>
          <w:rFonts w:hint="eastAsia"/>
        </w:rPr>
        <w:t>根据《建设项目环境风险评价技术导则》（HJ169-2018），判定连续排放还是瞬时排放，可以通过排放时间Td和污染物到达最近的受体点（网格点或敏感点）的时间T确定。</w:t>
      </w:r>
    </w:p>
    <w:p>
      <w:pPr>
        <w:pStyle w:val="41"/>
      </w:pPr>
      <w:r>
        <w:t>T=2X/U</w:t>
      </w:r>
    </w:p>
    <w:p>
      <w:pPr>
        <w:ind w:firstLine="480"/>
      </w:pPr>
      <w:r>
        <w:rPr>
          <w:rFonts w:hint="eastAsia"/>
        </w:rPr>
        <w:t>式中：X—事故发生地与计算点的距离，取泄漏发生地到网格点的距离50m；</w:t>
      </w:r>
    </w:p>
    <w:p>
      <w:pPr>
        <w:ind w:firstLine="1080" w:firstLineChars="450"/>
      </w:pPr>
      <w:r>
        <w:rPr>
          <w:rFonts w:hint="eastAsia"/>
        </w:rPr>
        <w:t>Ur—10m高处风速。假设风速和风向在T时段内保持不变。本次取风速为1.5m/s。</w:t>
      </w:r>
    </w:p>
    <w:p>
      <w:pPr>
        <w:ind w:firstLine="480"/>
      </w:pPr>
      <w:r>
        <w:rPr>
          <w:rFonts w:hint="eastAsia"/>
        </w:rPr>
        <w:t>当Td＞T时，可被认为是连续排放的；当Td≤T时，可被认为是瞬时排放的。</w:t>
      </w:r>
    </w:p>
    <w:p>
      <w:pPr>
        <w:ind w:firstLine="480"/>
      </w:pPr>
      <w:r>
        <w:rPr>
          <w:rFonts w:hint="eastAsia"/>
        </w:rPr>
        <w:t>经计算得出T=66.7s。</w:t>
      </w:r>
    </w:p>
    <w:p>
      <w:pPr>
        <w:ind w:firstLine="480"/>
      </w:pPr>
      <w:r>
        <w:rPr>
          <w:rFonts w:hint="eastAsia"/>
        </w:rPr>
        <w:t>而本次评价确定的液氨和天然气（甲烷）泄漏事故排放时间均大于66.7s，因此，Td＞T，均为连续排放。</w:t>
      </w:r>
    </w:p>
    <w:p>
      <w:pPr>
        <w:ind w:firstLine="480"/>
      </w:pPr>
      <w:r>
        <w:rPr>
          <w:rFonts w:hint="eastAsia"/>
        </w:rPr>
        <w:t>（2）次生CO轻质/重质气体的判定</w:t>
      </w:r>
    </w:p>
    <w:p>
      <w:pPr>
        <w:ind w:firstLine="480"/>
      </w:pPr>
      <w:r>
        <w:rPr>
          <w:rFonts w:hint="eastAsia"/>
        </w:rPr>
        <w:t>根据《建设项目环境风险评价技术导则》（HJ169-2018），判定烟团/烟羽是否为重质气体，取决于它相对空气的“过剩密度”和环境条件等因素。通常采用理查德森数（Ri）作为标准进行判断，Ri的概念公示为：</w:t>
      </w:r>
    </w:p>
    <w:p>
      <w:pPr>
        <w:pStyle w:val="41"/>
      </w:pPr>
      <w:r>
        <w:rPr>
          <w:rFonts w:hint="eastAsia"/>
        </w:rPr>
        <w:t>R</w:t>
      </w:r>
      <w:r>
        <w:rPr>
          <w:rFonts w:hint="eastAsia"/>
          <w:vertAlign w:val="subscript"/>
        </w:rPr>
        <w:t>i</w:t>
      </w:r>
      <w:r>
        <w:rPr>
          <w:rFonts w:hint="eastAsia"/>
        </w:rPr>
        <w:t>=烟团的势能/环境的湍流动能</w:t>
      </w:r>
    </w:p>
    <w:p>
      <w:pPr>
        <w:ind w:firstLine="480"/>
      </w:pPr>
      <w:r>
        <w:rPr>
          <w:rFonts w:hint="eastAsia"/>
        </w:rPr>
        <w:t>本次评价按照连续排放计，R</w:t>
      </w:r>
      <w:r>
        <w:rPr>
          <w:rFonts w:hint="eastAsia"/>
          <w:vertAlign w:val="subscript"/>
        </w:rPr>
        <w:t>i</w:t>
      </w:r>
      <w:r>
        <w:rPr>
          <w:rFonts w:hint="eastAsia"/>
        </w:rPr>
        <w:t>≥1/6为重质气体，R</w:t>
      </w:r>
      <w:r>
        <w:rPr>
          <w:rFonts w:hint="eastAsia"/>
          <w:vertAlign w:val="subscript"/>
        </w:rPr>
        <w:t>i</w:t>
      </w:r>
      <w:r>
        <w:rPr>
          <w:rFonts w:hint="eastAsia"/>
        </w:rPr>
        <w:t>＜1/6为轻质气体。</w:t>
      </w:r>
    </w:p>
    <w:p>
      <w:pPr>
        <w:ind w:firstLine="480"/>
      </w:pPr>
      <w:r>
        <w:rPr>
          <w:rFonts w:hint="eastAsia"/>
        </w:rPr>
        <w:t>连续排放的公式为：</w:t>
      </w:r>
    </w:p>
    <w:p>
      <w:pPr>
        <w:pStyle w:val="41"/>
      </w:pPr>
      <w:r>
        <w:drawing>
          <wp:inline distT="0" distB="0" distL="0" distR="0">
            <wp:extent cx="1971675" cy="762000"/>
            <wp:effectExtent l="0" t="0" r="9525"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971675" cy="762000"/>
                    </a:xfrm>
                    <a:prstGeom prst="rect">
                      <a:avLst/>
                    </a:prstGeom>
                    <a:noFill/>
                    <a:ln>
                      <a:noFill/>
                    </a:ln>
                  </pic:spPr>
                </pic:pic>
              </a:graphicData>
            </a:graphic>
          </wp:inline>
        </w:drawing>
      </w:r>
    </w:p>
    <w:p>
      <w:pPr>
        <w:ind w:firstLine="480"/>
      </w:pPr>
      <w:r>
        <w:rPr>
          <w:rFonts w:hint="eastAsia"/>
        </w:rPr>
        <w:t>式中：ρrel—排放物质进入大气的初始密度，kg/m</w:t>
      </w:r>
      <w:r>
        <w:rPr>
          <w:rFonts w:hint="eastAsia"/>
          <w:vertAlign w:val="superscript"/>
        </w:rPr>
        <w:t>3</w:t>
      </w:r>
      <w:r>
        <w:rPr>
          <w:rFonts w:hint="eastAsia"/>
        </w:rPr>
        <w:t>，一氧化碳取0.97；</w:t>
      </w:r>
    </w:p>
    <w:p>
      <w:pPr>
        <w:ind w:firstLine="480"/>
      </w:pPr>
      <w:r>
        <w:rPr>
          <w:rFonts w:hint="eastAsia"/>
        </w:rPr>
        <w:t>ρ</w:t>
      </w:r>
      <w:r>
        <w:rPr>
          <w:rFonts w:hint="eastAsia"/>
          <w:vertAlign w:val="subscript"/>
        </w:rPr>
        <w:t>a</w:t>
      </w:r>
      <w:r>
        <w:rPr>
          <w:rFonts w:hint="eastAsia"/>
        </w:rPr>
        <w:t>—环境空气密度，kg/m</w:t>
      </w:r>
      <w:r>
        <w:rPr>
          <w:rFonts w:hint="eastAsia"/>
          <w:vertAlign w:val="superscript"/>
        </w:rPr>
        <w:t>3</w:t>
      </w:r>
      <w:r>
        <w:rPr>
          <w:rFonts w:hint="eastAsia"/>
        </w:rPr>
        <w:t>，取1.29；</w:t>
      </w:r>
    </w:p>
    <w:p>
      <w:pPr>
        <w:ind w:firstLine="480"/>
      </w:pPr>
      <w:r>
        <w:rPr>
          <w:rFonts w:hint="eastAsia"/>
        </w:rPr>
        <w:t>Q—连续排放烟羽的排放速率，kg/s；</w:t>
      </w:r>
    </w:p>
    <w:p>
      <w:pPr>
        <w:ind w:firstLine="480"/>
      </w:pPr>
      <w:r>
        <w:rPr>
          <w:rFonts w:hint="eastAsia"/>
        </w:rPr>
        <w:t>Drel—初始的烟团宽度，即源直径，m；</w:t>
      </w:r>
    </w:p>
    <w:p>
      <w:pPr>
        <w:ind w:firstLine="480"/>
      </w:pPr>
      <w:r>
        <w:rPr>
          <w:rFonts w:hint="eastAsia"/>
        </w:rPr>
        <w:t>Ur—10m高处风速，m/s；</w:t>
      </w:r>
    </w:p>
    <w:p>
      <w:pPr>
        <w:ind w:firstLine="480"/>
      </w:pPr>
      <w:r>
        <w:rPr>
          <w:rFonts w:hint="eastAsia"/>
        </w:rPr>
        <w:t>根据大气预测软件EIAProA2018-风险模型-风险源强估算模式计算得出：本项目CO烟团初始密度未大于空气密度，不计算理查德森数，即均属于轻质气体，扩散计算建议采用AFTOX模式。</w:t>
      </w:r>
    </w:p>
    <w:p>
      <w:pPr>
        <w:ind w:firstLine="480"/>
      </w:pPr>
      <w:r>
        <w:rPr>
          <w:rFonts w:hint="eastAsia"/>
        </w:rPr>
        <w:t>（3）液氨泄漏预测模型选取</w:t>
      </w:r>
    </w:p>
    <w:p>
      <w:pPr>
        <w:ind w:firstLine="480"/>
      </w:pPr>
      <w:r>
        <w:rPr>
          <w:rFonts w:hint="eastAsia"/>
        </w:rPr>
        <w:t>根据大气预测软件EIAProA2018-风险模型-风险源强估算模式计算得出：液氨泄漏属于气液两相混合物泄漏，泄漏后液态比例=0.74，扩散过程中，液态部分仍会不断气化为蒸气。对于两相混合物，后续扩散建议采用SLAB模式。</w:t>
      </w:r>
    </w:p>
    <w:p>
      <w:pPr>
        <w:pStyle w:val="5"/>
      </w:pPr>
      <w:r>
        <w:rPr>
          <w:rFonts w:hint="eastAsia"/>
        </w:rPr>
        <w:t>6.8.1.2大气风险预测</w:t>
      </w:r>
    </w:p>
    <w:p>
      <w:pPr>
        <w:ind w:firstLine="480"/>
      </w:pPr>
      <w:r>
        <w:rPr>
          <w:rFonts w:hint="eastAsia"/>
        </w:rPr>
        <w:t>（1）大气风险预测模型主要参数</w:t>
      </w:r>
    </w:p>
    <w:p>
      <w:pPr>
        <w:ind w:firstLine="480"/>
      </w:pPr>
      <w:r>
        <w:rPr>
          <w:rFonts w:hint="eastAsia"/>
        </w:rPr>
        <w:t>结合项目危险物质储存方式及物质危险程度，本次评价大气风险预测因子确定为氨和天然气（甲烷）燃爆次生CO，大气风险预测模型主要参数见表6.8-1。</w:t>
      </w:r>
    </w:p>
    <w:p>
      <w:pPr>
        <w:pStyle w:val="41"/>
      </w:pPr>
      <w:r>
        <w:rPr>
          <w:rFonts w:hint="eastAsia"/>
        </w:rPr>
        <w:t>表6.8-1大气风险预测模型主要参数表</w:t>
      </w:r>
    </w:p>
    <w:tbl>
      <w:tblPr>
        <w:tblStyle w:val="3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2551"/>
        <w:gridCol w:w="2271"/>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noWrap/>
            <w:vAlign w:val="center"/>
          </w:tcPr>
          <w:p>
            <w:pPr>
              <w:pStyle w:val="42"/>
            </w:pPr>
            <w:r>
              <w:rPr>
                <w:rFonts w:hint="eastAsia"/>
              </w:rPr>
              <w:t>参数类型</w:t>
            </w:r>
          </w:p>
        </w:tc>
        <w:tc>
          <w:tcPr>
            <w:tcW w:w="2551" w:type="dxa"/>
            <w:noWrap/>
            <w:vAlign w:val="center"/>
          </w:tcPr>
          <w:p>
            <w:pPr>
              <w:pStyle w:val="42"/>
            </w:pPr>
            <w:r>
              <w:rPr>
                <w:rFonts w:hint="eastAsia"/>
              </w:rPr>
              <w:t>选项</w:t>
            </w:r>
          </w:p>
        </w:tc>
        <w:tc>
          <w:tcPr>
            <w:tcW w:w="4581" w:type="dxa"/>
            <w:gridSpan w:val="2"/>
            <w:noWrap/>
            <w:vAlign w:val="center"/>
          </w:tcPr>
          <w:p>
            <w:pPr>
              <w:pStyle w:val="42"/>
            </w:pPr>
            <w:r>
              <w:rPr>
                <w:rFonts w:hint="eastAsia"/>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restart"/>
            <w:noWrap/>
            <w:vAlign w:val="center"/>
          </w:tcPr>
          <w:p>
            <w:pPr>
              <w:pStyle w:val="42"/>
            </w:pPr>
            <w:r>
              <w:rPr>
                <w:rFonts w:hint="eastAsia"/>
              </w:rPr>
              <w:t>基本情况</w:t>
            </w:r>
          </w:p>
          <w:p>
            <w:pPr>
              <w:pStyle w:val="42"/>
            </w:pPr>
            <w:r>
              <w:rPr>
                <w:rFonts w:hint="eastAsia"/>
                <w:kern w:val="0"/>
                <w:szCs w:val="21"/>
              </w:rPr>
              <w:t>参数类型</w:t>
            </w:r>
          </w:p>
        </w:tc>
        <w:tc>
          <w:tcPr>
            <w:tcW w:w="2551" w:type="dxa"/>
            <w:noWrap/>
            <w:vAlign w:val="center"/>
          </w:tcPr>
          <w:p>
            <w:pPr>
              <w:pStyle w:val="42"/>
            </w:pPr>
            <w:r>
              <w:rPr>
                <w:rFonts w:hint="eastAsia"/>
              </w:rPr>
              <w:t>事故物质</w:t>
            </w:r>
          </w:p>
        </w:tc>
        <w:tc>
          <w:tcPr>
            <w:tcW w:w="2271" w:type="dxa"/>
            <w:noWrap/>
            <w:vAlign w:val="center"/>
          </w:tcPr>
          <w:p>
            <w:pPr>
              <w:pStyle w:val="42"/>
            </w:pPr>
            <w:r>
              <w:rPr>
                <w:rFonts w:hint="eastAsia"/>
              </w:rPr>
              <w:t>氨</w:t>
            </w:r>
          </w:p>
        </w:tc>
        <w:tc>
          <w:tcPr>
            <w:tcW w:w="2310" w:type="dxa"/>
            <w:vAlign w:val="center"/>
          </w:tcPr>
          <w:p>
            <w:pPr>
              <w:pStyle w:val="42"/>
            </w:pPr>
            <w:r>
              <w:rPr>
                <w:rFonts w:hint="eastAsia"/>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pPr>
          </w:p>
        </w:tc>
        <w:tc>
          <w:tcPr>
            <w:tcW w:w="2551" w:type="dxa"/>
            <w:noWrap/>
            <w:vAlign w:val="center"/>
          </w:tcPr>
          <w:p>
            <w:pPr>
              <w:pStyle w:val="42"/>
            </w:pPr>
            <w:r>
              <w:rPr>
                <w:rFonts w:hint="eastAsia"/>
              </w:rPr>
              <w:t>事故源经度</w:t>
            </w:r>
            <w:r>
              <w:t>/</w:t>
            </w:r>
            <w:r>
              <w:rPr>
                <w:rFonts w:hint="eastAsia"/>
              </w:rPr>
              <w:t>（°）</w:t>
            </w:r>
          </w:p>
        </w:tc>
        <w:tc>
          <w:tcPr>
            <w:tcW w:w="2271" w:type="dxa"/>
            <w:noWrap/>
            <w:vAlign w:val="center"/>
          </w:tcPr>
          <w:p>
            <w:pPr>
              <w:pStyle w:val="42"/>
              <w:rPr>
                <w:kern w:val="0"/>
                <w:szCs w:val="21"/>
              </w:rPr>
            </w:pPr>
            <w:r>
              <w:rPr>
                <w:rFonts w:hint="eastAsia"/>
                <w:kern w:val="0"/>
                <w:szCs w:val="21"/>
              </w:rPr>
              <w:t>106.9825</w:t>
            </w:r>
          </w:p>
        </w:tc>
        <w:tc>
          <w:tcPr>
            <w:tcW w:w="2310" w:type="dxa"/>
            <w:vAlign w:val="center"/>
          </w:tcPr>
          <w:p>
            <w:pPr>
              <w:pStyle w:val="42"/>
              <w:rPr>
                <w:kern w:val="0"/>
                <w:szCs w:val="21"/>
              </w:rPr>
            </w:pPr>
            <w:r>
              <w:rPr>
                <w:rFonts w:hint="eastAsia"/>
                <w:kern w:val="0"/>
                <w:szCs w:val="21"/>
              </w:rPr>
              <w:t>106.9810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pPr>
          </w:p>
        </w:tc>
        <w:tc>
          <w:tcPr>
            <w:tcW w:w="2551" w:type="dxa"/>
            <w:noWrap/>
            <w:vAlign w:val="center"/>
          </w:tcPr>
          <w:p>
            <w:pPr>
              <w:pStyle w:val="42"/>
            </w:pPr>
            <w:r>
              <w:rPr>
                <w:rFonts w:hint="eastAsia"/>
              </w:rPr>
              <w:t>事故源纬度</w:t>
            </w:r>
            <w:r>
              <w:t>/</w:t>
            </w:r>
            <w:r>
              <w:rPr>
                <w:rFonts w:hint="eastAsia"/>
              </w:rPr>
              <w:t>（°）</w:t>
            </w:r>
          </w:p>
        </w:tc>
        <w:tc>
          <w:tcPr>
            <w:tcW w:w="2271" w:type="dxa"/>
            <w:noWrap/>
            <w:vAlign w:val="center"/>
          </w:tcPr>
          <w:p>
            <w:pPr>
              <w:pStyle w:val="42"/>
              <w:rPr>
                <w:kern w:val="0"/>
                <w:szCs w:val="21"/>
              </w:rPr>
            </w:pPr>
            <w:r>
              <w:rPr>
                <w:rFonts w:hint="eastAsia"/>
                <w:kern w:val="0"/>
                <w:szCs w:val="21"/>
              </w:rPr>
              <w:t>29.8636</w:t>
            </w:r>
          </w:p>
        </w:tc>
        <w:tc>
          <w:tcPr>
            <w:tcW w:w="2310" w:type="dxa"/>
            <w:vAlign w:val="center"/>
          </w:tcPr>
          <w:p>
            <w:pPr>
              <w:pStyle w:val="42"/>
              <w:rPr>
                <w:kern w:val="0"/>
                <w:szCs w:val="21"/>
              </w:rPr>
            </w:pPr>
            <w:r>
              <w:rPr>
                <w:rFonts w:hint="eastAsia"/>
                <w:kern w:val="0"/>
                <w:szCs w:val="21"/>
              </w:rPr>
              <w:t>29.8371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pPr>
          </w:p>
        </w:tc>
        <w:tc>
          <w:tcPr>
            <w:tcW w:w="2551" w:type="dxa"/>
            <w:noWrap/>
            <w:vAlign w:val="center"/>
          </w:tcPr>
          <w:p>
            <w:pPr>
              <w:pStyle w:val="42"/>
            </w:pPr>
            <w:r>
              <w:rPr>
                <w:rFonts w:hint="eastAsia"/>
              </w:rPr>
              <w:t>事故源类型</w:t>
            </w:r>
          </w:p>
        </w:tc>
        <w:tc>
          <w:tcPr>
            <w:tcW w:w="2271" w:type="dxa"/>
            <w:noWrap/>
            <w:vAlign w:val="center"/>
          </w:tcPr>
          <w:p>
            <w:pPr>
              <w:pStyle w:val="42"/>
            </w:pPr>
            <w:r>
              <w:rPr>
                <w:rFonts w:hint="eastAsia"/>
              </w:rPr>
              <w:t>液氨管道泄漏</w:t>
            </w:r>
          </w:p>
        </w:tc>
        <w:tc>
          <w:tcPr>
            <w:tcW w:w="2310" w:type="dxa"/>
            <w:vAlign w:val="center"/>
          </w:tcPr>
          <w:p>
            <w:pPr>
              <w:pStyle w:val="42"/>
            </w:pPr>
            <w:r>
              <w:rPr>
                <w:rFonts w:hint="eastAsia"/>
              </w:rPr>
              <w:t>天然气缓冲罐泄漏，遇明火燃爆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restart"/>
            <w:noWrap/>
            <w:vAlign w:val="center"/>
          </w:tcPr>
          <w:p>
            <w:pPr>
              <w:pStyle w:val="42"/>
              <w:rPr>
                <w:kern w:val="0"/>
                <w:szCs w:val="21"/>
              </w:rPr>
            </w:pPr>
            <w:r>
              <w:rPr>
                <w:rFonts w:hint="eastAsia"/>
                <w:kern w:val="0"/>
                <w:szCs w:val="21"/>
              </w:rPr>
              <w:t>气象参数</w:t>
            </w:r>
          </w:p>
        </w:tc>
        <w:tc>
          <w:tcPr>
            <w:tcW w:w="2551" w:type="dxa"/>
            <w:noWrap/>
            <w:vAlign w:val="center"/>
          </w:tcPr>
          <w:p>
            <w:pPr>
              <w:pStyle w:val="42"/>
              <w:rPr>
                <w:kern w:val="0"/>
                <w:szCs w:val="21"/>
              </w:rPr>
            </w:pPr>
            <w:r>
              <w:rPr>
                <w:rFonts w:hint="eastAsia"/>
                <w:kern w:val="0"/>
                <w:szCs w:val="21"/>
              </w:rPr>
              <w:t>气象条件类型</w:t>
            </w:r>
          </w:p>
        </w:tc>
        <w:tc>
          <w:tcPr>
            <w:tcW w:w="2271" w:type="dxa"/>
            <w:noWrap/>
            <w:vAlign w:val="center"/>
          </w:tcPr>
          <w:p>
            <w:pPr>
              <w:pStyle w:val="42"/>
              <w:rPr>
                <w:kern w:val="0"/>
                <w:szCs w:val="21"/>
              </w:rPr>
            </w:pPr>
            <w:r>
              <w:rPr>
                <w:rFonts w:hint="eastAsia"/>
                <w:kern w:val="0"/>
                <w:szCs w:val="21"/>
              </w:rPr>
              <w:t>最不利气象</w:t>
            </w:r>
          </w:p>
        </w:tc>
        <w:tc>
          <w:tcPr>
            <w:tcW w:w="2310" w:type="dxa"/>
            <w:vAlign w:val="center"/>
          </w:tcPr>
          <w:p>
            <w:pPr>
              <w:pStyle w:val="42"/>
              <w:rPr>
                <w:kern w:val="0"/>
                <w:szCs w:val="21"/>
              </w:rPr>
            </w:pPr>
            <w:r>
              <w:rPr>
                <w:rFonts w:hint="eastAsia"/>
                <w:kern w:val="0"/>
                <w:szCs w:val="21"/>
              </w:rPr>
              <w:t>最常见气象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风速</w:t>
            </w:r>
            <w:r>
              <w:rPr>
                <w:kern w:val="0"/>
                <w:szCs w:val="21"/>
              </w:rPr>
              <w:t>/</w:t>
            </w:r>
            <w:r>
              <w:rPr>
                <w:rFonts w:hint="eastAsia"/>
                <w:kern w:val="0"/>
                <w:szCs w:val="21"/>
              </w:rPr>
              <w:t>（</w:t>
            </w:r>
            <w:r>
              <w:rPr>
                <w:kern w:val="0"/>
                <w:szCs w:val="21"/>
              </w:rPr>
              <w:t>m/s</w:t>
            </w:r>
            <w:r>
              <w:rPr>
                <w:rFonts w:hint="eastAsia"/>
                <w:kern w:val="0"/>
                <w:szCs w:val="21"/>
              </w:rPr>
              <w:t>）</w:t>
            </w:r>
          </w:p>
        </w:tc>
        <w:tc>
          <w:tcPr>
            <w:tcW w:w="2271" w:type="dxa"/>
            <w:noWrap/>
            <w:vAlign w:val="center"/>
          </w:tcPr>
          <w:p>
            <w:pPr>
              <w:pStyle w:val="42"/>
              <w:rPr>
                <w:kern w:val="0"/>
                <w:szCs w:val="21"/>
              </w:rPr>
            </w:pPr>
            <w:r>
              <w:rPr>
                <w:kern w:val="0"/>
                <w:szCs w:val="21"/>
              </w:rPr>
              <w:t>1.5</w:t>
            </w:r>
          </w:p>
        </w:tc>
        <w:tc>
          <w:tcPr>
            <w:tcW w:w="2310" w:type="dxa"/>
            <w:vAlign w:val="center"/>
          </w:tcPr>
          <w:p>
            <w:pPr>
              <w:pStyle w:val="42"/>
              <w:rPr>
                <w:kern w:val="0"/>
                <w:szCs w:val="21"/>
              </w:rPr>
            </w:pPr>
            <w:r>
              <w:rPr>
                <w:kern w:val="0"/>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环境温度</w:t>
            </w:r>
            <w:r>
              <w:rPr>
                <w:kern w:val="0"/>
                <w:szCs w:val="21"/>
              </w:rPr>
              <w:t>/</w:t>
            </w:r>
            <w:r>
              <w:rPr>
                <w:rFonts w:hint="eastAsia"/>
                <w:kern w:val="0"/>
                <w:szCs w:val="21"/>
              </w:rPr>
              <w:t>℃</w:t>
            </w:r>
          </w:p>
        </w:tc>
        <w:tc>
          <w:tcPr>
            <w:tcW w:w="2271" w:type="dxa"/>
            <w:noWrap/>
            <w:vAlign w:val="center"/>
          </w:tcPr>
          <w:p>
            <w:pPr>
              <w:pStyle w:val="42"/>
              <w:rPr>
                <w:kern w:val="0"/>
                <w:szCs w:val="21"/>
              </w:rPr>
            </w:pPr>
            <w:r>
              <w:rPr>
                <w:kern w:val="0"/>
                <w:szCs w:val="21"/>
              </w:rPr>
              <w:t>25</w:t>
            </w:r>
          </w:p>
        </w:tc>
        <w:tc>
          <w:tcPr>
            <w:tcW w:w="2310" w:type="dxa"/>
            <w:vAlign w:val="center"/>
          </w:tcPr>
          <w:p>
            <w:pPr>
              <w:pStyle w:val="42"/>
              <w:rPr>
                <w:kern w:val="0"/>
                <w:szCs w:val="21"/>
              </w:rPr>
            </w:pPr>
            <w:r>
              <w:rPr>
                <w:kern w:val="0"/>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相对湿度</w:t>
            </w:r>
            <w:r>
              <w:rPr>
                <w:kern w:val="0"/>
                <w:szCs w:val="21"/>
              </w:rPr>
              <w:t>/%</w:t>
            </w:r>
          </w:p>
        </w:tc>
        <w:tc>
          <w:tcPr>
            <w:tcW w:w="2271" w:type="dxa"/>
            <w:noWrap/>
            <w:vAlign w:val="center"/>
          </w:tcPr>
          <w:p>
            <w:pPr>
              <w:pStyle w:val="42"/>
              <w:rPr>
                <w:kern w:val="0"/>
                <w:szCs w:val="21"/>
              </w:rPr>
            </w:pPr>
            <w:r>
              <w:rPr>
                <w:kern w:val="0"/>
                <w:szCs w:val="21"/>
              </w:rPr>
              <w:t>50</w:t>
            </w:r>
          </w:p>
        </w:tc>
        <w:tc>
          <w:tcPr>
            <w:tcW w:w="2310" w:type="dxa"/>
            <w:vAlign w:val="center"/>
          </w:tcPr>
          <w:p>
            <w:pPr>
              <w:pStyle w:val="42"/>
              <w:rPr>
                <w:kern w:val="0"/>
                <w:szCs w:val="21"/>
              </w:rPr>
            </w:pPr>
            <w:r>
              <w:rPr>
                <w:kern w:val="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稳定度</w:t>
            </w:r>
          </w:p>
        </w:tc>
        <w:tc>
          <w:tcPr>
            <w:tcW w:w="2271" w:type="dxa"/>
            <w:noWrap/>
            <w:vAlign w:val="center"/>
          </w:tcPr>
          <w:p>
            <w:pPr>
              <w:pStyle w:val="42"/>
              <w:rPr>
                <w:kern w:val="0"/>
                <w:szCs w:val="21"/>
              </w:rPr>
            </w:pPr>
            <w:r>
              <w:rPr>
                <w:kern w:val="0"/>
                <w:szCs w:val="21"/>
              </w:rPr>
              <w:t>F</w:t>
            </w:r>
          </w:p>
        </w:tc>
        <w:tc>
          <w:tcPr>
            <w:tcW w:w="2310" w:type="dxa"/>
            <w:vAlign w:val="center"/>
          </w:tcPr>
          <w:p>
            <w:pPr>
              <w:pStyle w:val="42"/>
              <w:rPr>
                <w:kern w:val="0"/>
                <w:szCs w:val="21"/>
              </w:rPr>
            </w:pPr>
            <w:r>
              <w:rPr>
                <w:kern w:val="0"/>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restart"/>
            <w:noWrap/>
            <w:vAlign w:val="center"/>
          </w:tcPr>
          <w:p>
            <w:pPr>
              <w:pStyle w:val="42"/>
              <w:rPr>
                <w:kern w:val="0"/>
                <w:szCs w:val="21"/>
              </w:rPr>
            </w:pPr>
            <w:r>
              <w:rPr>
                <w:rFonts w:hint="eastAsia"/>
                <w:kern w:val="0"/>
                <w:szCs w:val="21"/>
              </w:rPr>
              <w:t>其他参数</w:t>
            </w:r>
          </w:p>
        </w:tc>
        <w:tc>
          <w:tcPr>
            <w:tcW w:w="2551" w:type="dxa"/>
            <w:noWrap/>
            <w:vAlign w:val="center"/>
          </w:tcPr>
          <w:p>
            <w:pPr>
              <w:pStyle w:val="42"/>
              <w:rPr>
                <w:kern w:val="0"/>
                <w:szCs w:val="21"/>
              </w:rPr>
            </w:pPr>
            <w:r>
              <w:rPr>
                <w:rFonts w:hint="eastAsia"/>
                <w:kern w:val="0"/>
                <w:szCs w:val="21"/>
              </w:rPr>
              <w:t>地表粗糙度</w:t>
            </w:r>
            <w:r>
              <w:rPr>
                <w:kern w:val="0"/>
                <w:szCs w:val="21"/>
              </w:rPr>
              <w:t>/m</w:t>
            </w:r>
          </w:p>
        </w:tc>
        <w:tc>
          <w:tcPr>
            <w:tcW w:w="4581" w:type="dxa"/>
            <w:gridSpan w:val="2"/>
            <w:noWrap/>
            <w:vAlign w:val="center"/>
          </w:tcPr>
          <w:p>
            <w:pPr>
              <w:pStyle w:val="42"/>
              <w:rPr>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是否考虑地形</w:t>
            </w:r>
          </w:p>
        </w:tc>
        <w:tc>
          <w:tcPr>
            <w:tcW w:w="4581" w:type="dxa"/>
            <w:gridSpan w:val="2"/>
            <w:noWrap/>
            <w:vAlign w:val="center"/>
          </w:tcPr>
          <w:p>
            <w:pPr>
              <w:pStyle w:val="42"/>
              <w:rPr>
                <w:kern w:val="0"/>
                <w:szCs w:val="21"/>
              </w:rPr>
            </w:pPr>
            <w:r>
              <w:rPr>
                <w:rFonts w:hint="eastAsia"/>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7" w:type="dxa"/>
            <w:vMerge w:val="continue"/>
            <w:noWrap/>
            <w:vAlign w:val="center"/>
          </w:tcPr>
          <w:p>
            <w:pPr>
              <w:pStyle w:val="42"/>
              <w:rPr>
                <w:kern w:val="0"/>
                <w:szCs w:val="21"/>
              </w:rPr>
            </w:pPr>
          </w:p>
        </w:tc>
        <w:tc>
          <w:tcPr>
            <w:tcW w:w="2551" w:type="dxa"/>
            <w:noWrap/>
            <w:vAlign w:val="center"/>
          </w:tcPr>
          <w:p>
            <w:pPr>
              <w:pStyle w:val="42"/>
              <w:rPr>
                <w:kern w:val="0"/>
                <w:szCs w:val="21"/>
              </w:rPr>
            </w:pPr>
            <w:r>
              <w:rPr>
                <w:rFonts w:hint="eastAsia"/>
                <w:kern w:val="0"/>
                <w:szCs w:val="21"/>
              </w:rPr>
              <w:t>地形数据精度</w:t>
            </w:r>
            <w:r>
              <w:rPr>
                <w:kern w:val="0"/>
                <w:szCs w:val="21"/>
              </w:rPr>
              <w:t>/m</w:t>
            </w:r>
          </w:p>
        </w:tc>
        <w:tc>
          <w:tcPr>
            <w:tcW w:w="4581" w:type="dxa"/>
            <w:gridSpan w:val="2"/>
            <w:noWrap/>
            <w:vAlign w:val="center"/>
          </w:tcPr>
          <w:p>
            <w:pPr>
              <w:pStyle w:val="42"/>
              <w:rPr>
                <w:kern w:val="0"/>
                <w:szCs w:val="21"/>
              </w:rPr>
            </w:pPr>
            <w:r>
              <w:rPr>
                <w:kern w:val="0"/>
                <w:szCs w:val="21"/>
              </w:rPr>
              <w:t>——</w:t>
            </w:r>
          </w:p>
        </w:tc>
      </w:tr>
    </w:tbl>
    <w:p>
      <w:pPr>
        <w:ind w:firstLine="480"/>
      </w:pPr>
      <w:r>
        <w:rPr>
          <w:rFonts w:hint="eastAsia"/>
        </w:rPr>
        <w:t>（2）大气毒性终点浓度</w:t>
      </w:r>
    </w:p>
    <w:p>
      <w:pPr>
        <w:ind w:firstLine="480"/>
      </w:pPr>
      <w:r>
        <w:rPr>
          <w:rFonts w:hint="eastAsia"/>
        </w:rPr>
        <w:t>氨、次生CO的大气毒性终点浓度见表6.8-2。</w:t>
      </w:r>
    </w:p>
    <w:p>
      <w:pPr>
        <w:pStyle w:val="41"/>
      </w:pPr>
      <w:r>
        <w:rPr>
          <w:rFonts w:hint="eastAsia"/>
        </w:rPr>
        <w:t>表6.8-2  氨、次生CO的大气毒性终点浓度表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336"/>
        <w:gridCol w:w="1277"/>
        <w:gridCol w:w="2551"/>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7" w:type="pct"/>
            <w:shd w:val="clear" w:color="auto" w:fill="auto"/>
            <w:vAlign w:val="center"/>
          </w:tcPr>
          <w:p>
            <w:pPr>
              <w:pStyle w:val="42"/>
            </w:pPr>
            <w:r>
              <w:t>序号</w:t>
            </w:r>
          </w:p>
        </w:tc>
        <w:tc>
          <w:tcPr>
            <w:tcW w:w="784" w:type="pct"/>
            <w:shd w:val="clear" w:color="auto" w:fill="auto"/>
            <w:vAlign w:val="center"/>
          </w:tcPr>
          <w:p>
            <w:pPr>
              <w:pStyle w:val="42"/>
            </w:pPr>
            <w:r>
              <w:t>物质</w:t>
            </w:r>
          </w:p>
        </w:tc>
        <w:tc>
          <w:tcPr>
            <w:tcW w:w="749" w:type="pct"/>
            <w:shd w:val="clear" w:color="auto" w:fill="auto"/>
            <w:vAlign w:val="center"/>
          </w:tcPr>
          <w:p>
            <w:pPr>
              <w:pStyle w:val="42"/>
            </w:pPr>
            <w:r>
              <w:t>CAS号</w:t>
            </w:r>
          </w:p>
        </w:tc>
        <w:tc>
          <w:tcPr>
            <w:tcW w:w="1497" w:type="pct"/>
            <w:shd w:val="clear" w:color="auto" w:fill="auto"/>
            <w:vAlign w:val="center"/>
          </w:tcPr>
          <w:p>
            <w:pPr>
              <w:pStyle w:val="42"/>
            </w:pPr>
            <w:r>
              <w:t>毒性终点浓度-1（mg/m</w:t>
            </w:r>
            <w:r>
              <w:rPr>
                <w:vertAlign w:val="superscript"/>
              </w:rPr>
              <w:t>3</w:t>
            </w:r>
            <w:r>
              <w:t>）</w:t>
            </w:r>
          </w:p>
        </w:tc>
        <w:tc>
          <w:tcPr>
            <w:tcW w:w="1443" w:type="pct"/>
            <w:shd w:val="clear" w:color="auto" w:fill="auto"/>
            <w:vAlign w:val="center"/>
          </w:tcPr>
          <w:p>
            <w:pPr>
              <w:pStyle w:val="42"/>
            </w:pPr>
            <w:r>
              <w:t>毒性终点浓度-2（mg/m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7" w:type="pct"/>
            <w:shd w:val="clear" w:color="auto" w:fill="auto"/>
            <w:vAlign w:val="center"/>
          </w:tcPr>
          <w:p>
            <w:pPr>
              <w:pStyle w:val="42"/>
            </w:pPr>
            <w:r>
              <w:t>1</w:t>
            </w:r>
          </w:p>
        </w:tc>
        <w:tc>
          <w:tcPr>
            <w:tcW w:w="784" w:type="pct"/>
            <w:shd w:val="clear" w:color="auto" w:fill="auto"/>
            <w:vAlign w:val="center"/>
          </w:tcPr>
          <w:p>
            <w:pPr>
              <w:pStyle w:val="42"/>
            </w:pPr>
            <w:r>
              <w:rPr>
                <w:rFonts w:hint="eastAsia"/>
              </w:rPr>
              <w:t>氨</w:t>
            </w:r>
          </w:p>
        </w:tc>
        <w:tc>
          <w:tcPr>
            <w:tcW w:w="749" w:type="pct"/>
            <w:shd w:val="clear" w:color="auto" w:fill="auto"/>
            <w:vAlign w:val="center"/>
          </w:tcPr>
          <w:p>
            <w:pPr>
              <w:pStyle w:val="42"/>
            </w:pPr>
            <w:r>
              <w:t>7664-41-7</w:t>
            </w:r>
          </w:p>
        </w:tc>
        <w:tc>
          <w:tcPr>
            <w:tcW w:w="1497" w:type="pct"/>
            <w:shd w:val="clear" w:color="auto" w:fill="auto"/>
            <w:vAlign w:val="center"/>
          </w:tcPr>
          <w:p>
            <w:pPr>
              <w:pStyle w:val="42"/>
            </w:pPr>
            <w:r>
              <w:rPr>
                <w:rFonts w:hint="eastAsia"/>
              </w:rPr>
              <w:t>770</w:t>
            </w:r>
          </w:p>
        </w:tc>
        <w:tc>
          <w:tcPr>
            <w:tcW w:w="1443" w:type="pct"/>
            <w:shd w:val="clear" w:color="auto" w:fill="auto"/>
            <w:vAlign w:val="center"/>
          </w:tcPr>
          <w:p>
            <w:pPr>
              <w:pStyle w:val="42"/>
            </w:pPr>
            <w:r>
              <w:rPr>
                <w:rFonts w:hint="eastAsi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7" w:type="pct"/>
            <w:shd w:val="clear" w:color="auto" w:fill="auto"/>
            <w:vAlign w:val="center"/>
          </w:tcPr>
          <w:p>
            <w:pPr>
              <w:pStyle w:val="42"/>
            </w:pPr>
            <w:r>
              <w:rPr>
                <w:rFonts w:hint="eastAsia"/>
              </w:rPr>
              <w:t>2</w:t>
            </w:r>
          </w:p>
        </w:tc>
        <w:tc>
          <w:tcPr>
            <w:tcW w:w="784" w:type="pct"/>
            <w:shd w:val="clear" w:color="auto" w:fill="auto"/>
            <w:vAlign w:val="center"/>
          </w:tcPr>
          <w:p>
            <w:pPr>
              <w:pStyle w:val="42"/>
            </w:pPr>
            <w:r>
              <w:t>一氧化碳</w:t>
            </w:r>
          </w:p>
        </w:tc>
        <w:tc>
          <w:tcPr>
            <w:tcW w:w="749" w:type="pct"/>
            <w:shd w:val="clear" w:color="auto" w:fill="auto"/>
            <w:vAlign w:val="center"/>
          </w:tcPr>
          <w:p>
            <w:pPr>
              <w:pStyle w:val="42"/>
            </w:pPr>
            <w:r>
              <w:t>630-08-0</w:t>
            </w:r>
          </w:p>
        </w:tc>
        <w:tc>
          <w:tcPr>
            <w:tcW w:w="1497" w:type="pct"/>
            <w:shd w:val="clear" w:color="auto" w:fill="auto"/>
            <w:vAlign w:val="center"/>
          </w:tcPr>
          <w:p>
            <w:pPr>
              <w:pStyle w:val="42"/>
            </w:pPr>
            <w:r>
              <w:t>380</w:t>
            </w:r>
          </w:p>
        </w:tc>
        <w:tc>
          <w:tcPr>
            <w:tcW w:w="1443" w:type="pct"/>
            <w:shd w:val="clear" w:color="auto" w:fill="auto"/>
            <w:vAlign w:val="center"/>
          </w:tcPr>
          <w:p>
            <w:pPr>
              <w:pStyle w:val="42"/>
            </w:pPr>
            <w:r>
              <w:t>95</w:t>
            </w:r>
          </w:p>
        </w:tc>
      </w:tr>
    </w:tbl>
    <w:p>
      <w:pPr>
        <w:ind w:firstLine="480"/>
      </w:pPr>
      <w:r>
        <w:rPr>
          <w:rFonts w:hint="eastAsia"/>
        </w:rPr>
        <w:t>（3）预测结果及后果分析</w:t>
      </w:r>
    </w:p>
    <w:p>
      <w:pPr>
        <w:ind w:firstLine="480"/>
      </w:pPr>
      <w:r>
        <w:rPr>
          <w:rFonts w:hint="eastAsia"/>
        </w:rPr>
        <w:t>①下风向不同距离处最大浓度分布</w:t>
      </w:r>
    </w:p>
    <w:p>
      <w:pPr>
        <w:ind w:firstLine="480"/>
      </w:pPr>
      <w:r>
        <w:rPr>
          <w:rFonts w:hint="eastAsia"/>
        </w:rPr>
        <w:t>计算结果：本次评价大气环境风险评价等级为以级，</w:t>
      </w:r>
      <w:r>
        <w:t>评价选取</w:t>
      </w:r>
      <w:r>
        <w:rPr>
          <w:rFonts w:hint="eastAsia"/>
        </w:rPr>
        <w:t>最不利气象和最常见气象</w:t>
      </w:r>
      <w:r>
        <w:t>状况下，</w:t>
      </w:r>
      <w:r>
        <w:rPr>
          <w:rFonts w:hint="eastAsia"/>
        </w:rPr>
        <w:t>计算下风向不同距离处氨、次生CO的最大浓度，详见下表6.8-3~表6.8-4。</w:t>
      </w:r>
    </w:p>
    <w:p>
      <w:pPr>
        <w:pStyle w:val="41"/>
      </w:pPr>
      <w:r>
        <w:rPr>
          <w:rFonts w:hint="eastAsia"/>
        </w:rPr>
        <w:t>表6.8-3   最不利和最常见气象状况液氨泄漏后的下风向浓度分布表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50"/>
        <w:gridCol w:w="848"/>
        <w:gridCol w:w="633"/>
        <w:gridCol w:w="750"/>
        <w:gridCol w:w="935"/>
        <w:gridCol w:w="750"/>
        <w:gridCol w:w="948"/>
        <w:gridCol w:w="633"/>
        <w:gridCol w:w="750"/>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338" w:type="pct"/>
            <w:vMerge w:val="restart"/>
            <w:shd w:val="clear" w:color="auto" w:fill="auto"/>
            <w:vAlign w:val="center"/>
          </w:tcPr>
          <w:p>
            <w:pPr>
              <w:pStyle w:val="42"/>
              <w:rPr>
                <w:sz w:val="15"/>
                <w:szCs w:val="15"/>
              </w:rPr>
            </w:pPr>
            <w:r>
              <w:rPr>
                <w:rFonts w:hint="eastAsia"/>
                <w:sz w:val="15"/>
                <w:szCs w:val="15"/>
              </w:rPr>
              <w:t xml:space="preserve">距离 </w:t>
            </w:r>
            <w:r>
              <w:rPr>
                <w:sz w:val="15"/>
                <w:szCs w:val="15"/>
              </w:rPr>
              <w:t>(m)</w:t>
            </w:r>
          </w:p>
        </w:tc>
        <w:tc>
          <w:tcPr>
            <w:tcW w:w="2298" w:type="pct"/>
            <w:gridSpan w:val="5"/>
            <w:shd w:val="clear" w:color="auto" w:fill="auto"/>
            <w:noWrap/>
            <w:vAlign w:val="center"/>
          </w:tcPr>
          <w:p>
            <w:pPr>
              <w:pStyle w:val="42"/>
              <w:rPr>
                <w:sz w:val="15"/>
                <w:szCs w:val="15"/>
              </w:rPr>
            </w:pPr>
            <w:r>
              <w:rPr>
                <w:rFonts w:hint="eastAsia"/>
                <w:sz w:val="15"/>
                <w:szCs w:val="15"/>
              </w:rPr>
              <w:t>最不利气象条件</w:t>
            </w:r>
          </w:p>
        </w:tc>
        <w:tc>
          <w:tcPr>
            <w:tcW w:w="2364" w:type="pct"/>
            <w:gridSpan w:val="5"/>
            <w:shd w:val="clear" w:color="auto" w:fill="auto"/>
            <w:noWrap/>
            <w:vAlign w:val="center"/>
          </w:tcPr>
          <w:p>
            <w:pPr>
              <w:pStyle w:val="42"/>
              <w:rPr>
                <w:sz w:val="15"/>
                <w:szCs w:val="15"/>
              </w:rPr>
            </w:pPr>
            <w:r>
              <w:rPr>
                <w:rFonts w:hint="eastAsia"/>
                <w:sz w:val="15"/>
                <w:szCs w:val="15"/>
              </w:rPr>
              <w:t>最常见气象条件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338" w:type="pct"/>
            <w:vMerge w:val="continue"/>
            <w:shd w:val="clear" w:color="auto" w:fill="auto"/>
            <w:vAlign w:val="center"/>
          </w:tcPr>
          <w:p>
            <w:pPr>
              <w:pStyle w:val="42"/>
              <w:rPr>
                <w:sz w:val="15"/>
                <w:szCs w:val="15"/>
              </w:rPr>
            </w:pPr>
          </w:p>
        </w:tc>
        <w:tc>
          <w:tcPr>
            <w:tcW w:w="440" w:type="pct"/>
            <w:shd w:val="clear" w:color="auto" w:fill="auto"/>
            <w:vAlign w:val="center"/>
          </w:tcPr>
          <w:p>
            <w:pPr>
              <w:pStyle w:val="42"/>
              <w:rPr>
                <w:sz w:val="15"/>
                <w:szCs w:val="15"/>
              </w:rPr>
            </w:pPr>
            <w:r>
              <w:rPr>
                <w:rFonts w:hint="eastAsia"/>
                <w:sz w:val="15"/>
                <w:szCs w:val="15"/>
              </w:rPr>
              <w:t>浓度出现时间（</w:t>
            </w:r>
            <w:r>
              <w:rPr>
                <w:sz w:val="15"/>
                <w:szCs w:val="15"/>
              </w:rPr>
              <w:t>min）</w:t>
            </w:r>
          </w:p>
        </w:tc>
        <w:tc>
          <w:tcPr>
            <w:tcW w:w="498" w:type="pct"/>
            <w:shd w:val="clear" w:color="auto" w:fill="auto"/>
            <w:vAlign w:val="center"/>
          </w:tcPr>
          <w:p>
            <w:pPr>
              <w:pStyle w:val="42"/>
              <w:rPr>
                <w:sz w:val="15"/>
                <w:szCs w:val="15"/>
              </w:rPr>
            </w:pPr>
            <w:r>
              <w:rPr>
                <w:rFonts w:hint="eastAsia"/>
                <w:sz w:val="15"/>
                <w:szCs w:val="15"/>
              </w:rPr>
              <w:t>高峰浓度(mg/m</w:t>
            </w:r>
            <w:r>
              <w:rPr>
                <w:sz w:val="15"/>
                <w:szCs w:val="15"/>
                <w:vertAlign w:val="superscript"/>
              </w:rPr>
              <w:t>3</w:t>
            </w:r>
            <w:r>
              <w:rPr>
                <w:sz w:val="15"/>
                <w:szCs w:val="15"/>
              </w:rPr>
              <w:t>)</w:t>
            </w:r>
          </w:p>
        </w:tc>
        <w:tc>
          <w:tcPr>
            <w:tcW w:w="371" w:type="pct"/>
            <w:vAlign w:val="center"/>
          </w:tcPr>
          <w:p>
            <w:pPr>
              <w:pStyle w:val="42"/>
              <w:rPr>
                <w:sz w:val="15"/>
                <w:szCs w:val="15"/>
              </w:rPr>
            </w:pPr>
            <w:r>
              <w:rPr>
                <w:rFonts w:hint="eastAsia"/>
                <w:sz w:val="15"/>
                <w:szCs w:val="15"/>
              </w:rPr>
              <w:t>质心高度（m）</w:t>
            </w:r>
          </w:p>
        </w:tc>
        <w:tc>
          <w:tcPr>
            <w:tcW w:w="440" w:type="pct"/>
            <w:vAlign w:val="center"/>
          </w:tcPr>
          <w:p>
            <w:pPr>
              <w:pStyle w:val="42"/>
              <w:rPr>
                <w:sz w:val="15"/>
                <w:szCs w:val="15"/>
              </w:rPr>
            </w:pPr>
            <w:r>
              <w:rPr>
                <w:rFonts w:hint="eastAsia"/>
                <w:sz w:val="15"/>
                <w:szCs w:val="15"/>
              </w:rPr>
              <w:t>出现时间（min）</w:t>
            </w:r>
          </w:p>
        </w:tc>
        <w:tc>
          <w:tcPr>
            <w:tcW w:w="549" w:type="pct"/>
            <w:vAlign w:val="center"/>
          </w:tcPr>
          <w:p>
            <w:pPr>
              <w:pStyle w:val="42"/>
              <w:rPr>
                <w:sz w:val="15"/>
                <w:szCs w:val="15"/>
              </w:rPr>
            </w:pPr>
            <w:r>
              <w:rPr>
                <w:rFonts w:hint="eastAsia"/>
                <w:sz w:val="15"/>
                <w:szCs w:val="15"/>
              </w:rPr>
              <w:t>质心浓度(mg/m</w:t>
            </w:r>
            <w:r>
              <w:rPr>
                <w:sz w:val="15"/>
                <w:szCs w:val="15"/>
                <w:vertAlign w:val="superscript"/>
              </w:rPr>
              <w:t>3</w:t>
            </w:r>
            <w:r>
              <w:rPr>
                <w:sz w:val="15"/>
                <w:szCs w:val="15"/>
              </w:rPr>
              <w:t>)</w:t>
            </w:r>
          </w:p>
        </w:tc>
        <w:tc>
          <w:tcPr>
            <w:tcW w:w="440" w:type="pct"/>
            <w:shd w:val="clear" w:color="auto" w:fill="auto"/>
            <w:vAlign w:val="center"/>
          </w:tcPr>
          <w:p>
            <w:pPr>
              <w:pStyle w:val="42"/>
              <w:rPr>
                <w:sz w:val="15"/>
                <w:szCs w:val="15"/>
              </w:rPr>
            </w:pPr>
            <w:r>
              <w:rPr>
                <w:rFonts w:hint="eastAsia"/>
                <w:sz w:val="15"/>
                <w:szCs w:val="15"/>
              </w:rPr>
              <w:t>浓度出现时间（</w:t>
            </w:r>
            <w:r>
              <w:rPr>
                <w:sz w:val="15"/>
                <w:szCs w:val="15"/>
              </w:rPr>
              <w:t>min）</w:t>
            </w:r>
          </w:p>
        </w:tc>
        <w:tc>
          <w:tcPr>
            <w:tcW w:w="556" w:type="pct"/>
            <w:shd w:val="clear" w:color="auto" w:fill="auto"/>
            <w:vAlign w:val="center"/>
          </w:tcPr>
          <w:p>
            <w:pPr>
              <w:pStyle w:val="42"/>
              <w:rPr>
                <w:sz w:val="15"/>
                <w:szCs w:val="15"/>
              </w:rPr>
            </w:pPr>
            <w:r>
              <w:rPr>
                <w:rFonts w:hint="eastAsia"/>
                <w:sz w:val="15"/>
                <w:szCs w:val="15"/>
              </w:rPr>
              <w:t>高峰浓度(mg/m</w:t>
            </w:r>
            <w:r>
              <w:rPr>
                <w:sz w:val="15"/>
                <w:szCs w:val="15"/>
                <w:vertAlign w:val="superscript"/>
              </w:rPr>
              <w:t>3</w:t>
            </w:r>
            <w:r>
              <w:rPr>
                <w:sz w:val="15"/>
                <w:szCs w:val="15"/>
              </w:rPr>
              <w:t>)</w:t>
            </w:r>
          </w:p>
        </w:tc>
        <w:tc>
          <w:tcPr>
            <w:tcW w:w="371" w:type="pct"/>
            <w:vAlign w:val="center"/>
          </w:tcPr>
          <w:p>
            <w:pPr>
              <w:pStyle w:val="42"/>
              <w:rPr>
                <w:sz w:val="15"/>
                <w:szCs w:val="15"/>
              </w:rPr>
            </w:pPr>
            <w:r>
              <w:rPr>
                <w:rFonts w:hint="eastAsia"/>
                <w:sz w:val="15"/>
                <w:szCs w:val="15"/>
              </w:rPr>
              <w:t>质心高度（m）</w:t>
            </w:r>
          </w:p>
        </w:tc>
        <w:tc>
          <w:tcPr>
            <w:tcW w:w="440" w:type="pct"/>
            <w:vAlign w:val="center"/>
          </w:tcPr>
          <w:p>
            <w:pPr>
              <w:pStyle w:val="42"/>
              <w:rPr>
                <w:sz w:val="15"/>
                <w:szCs w:val="15"/>
              </w:rPr>
            </w:pPr>
            <w:r>
              <w:rPr>
                <w:rFonts w:hint="eastAsia"/>
                <w:sz w:val="15"/>
                <w:szCs w:val="15"/>
              </w:rPr>
              <w:t>出现时间（min）</w:t>
            </w:r>
          </w:p>
        </w:tc>
        <w:tc>
          <w:tcPr>
            <w:tcW w:w="557" w:type="pct"/>
            <w:vAlign w:val="center"/>
          </w:tcPr>
          <w:p>
            <w:pPr>
              <w:pStyle w:val="42"/>
              <w:rPr>
                <w:sz w:val="15"/>
                <w:szCs w:val="15"/>
              </w:rPr>
            </w:pPr>
            <w:r>
              <w:rPr>
                <w:rFonts w:hint="eastAsia"/>
                <w:sz w:val="15"/>
                <w:szCs w:val="15"/>
              </w:rPr>
              <w:t>质心浓度(mg/m</w:t>
            </w:r>
            <w:r>
              <w:rPr>
                <w:sz w:val="15"/>
                <w:szCs w:val="15"/>
                <w:vertAlign w:val="superscript"/>
              </w:rPr>
              <w:t>3</w:t>
            </w:r>
            <w:r>
              <w:rPr>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10</w:t>
            </w:r>
          </w:p>
        </w:tc>
        <w:tc>
          <w:tcPr>
            <w:tcW w:w="440" w:type="pct"/>
            <w:shd w:val="clear" w:color="auto" w:fill="auto"/>
            <w:vAlign w:val="bottom"/>
          </w:tcPr>
          <w:p>
            <w:pPr>
              <w:pStyle w:val="42"/>
              <w:rPr>
                <w:sz w:val="15"/>
                <w:szCs w:val="15"/>
              </w:rPr>
            </w:pPr>
            <w:r>
              <w:rPr>
                <w:rFonts w:hint="eastAsia"/>
                <w:sz w:val="15"/>
                <w:szCs w:val="15"/>
              </w:rPr>
              <w:t xml:space="preserve">5.06 </w:t>
            </w:r>
          </w:p>
        </w:tc>
        <w:tc>
          <w:tcPr>
            <w:tcW w:w="498" w:type="pct"/>
            <w:shd w:val="clear" w:color="auto" w:fill="auto"/>
            <w:vAlign w:val="bottom"/>
          </w:tcPr>
          <w:p>
            <w:pPr>
              <w:pStyle w:val="42"/>
              <w:rPr>
                <w:sz w:val="15"/>
                <w:szCs w:val="15"/>
              </w:rPr>
            </w:pPr>
            <w:r>
              <w:rPr>
                <w:rFonts w:hint="eastAsia"/>
                <w:sz w:val="15"/>
                <w:szCs w:val="15"/>
              </w:rPr>
              <w:t xml:space="preserve">8.0518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5.06 </w:t>
            </w:r>
          </w:p>
        </w:tc>
        <w:tc>
          <w:tcPr>
            <w:tcW w:w="549" w:type="pct"/>
            <w:vAlign w:val="bottom"/>
          </w:tcPr>
          <w:p>
            <w:pPr>
              <w:pStyle w:val="42"/>
              <w:rPr>
                <w:sz w:val="15"/>
                <w:szCs w:val="15"/>
              </w:rPr>
            </w:pPr>
            <w:r>
              <w:rPr>
                <w:rFonts w:hint="eastAsia"/>
                <w:sz w:val="15"/>
                <w:szCs w:val="15"/>
              </w:rPr>
              <w:t xml:space="preserve">55354.0000 </w:t>
            </w:r>
          </w:p>
        </w:tc>
        <w:tc>
          <w:tcPr>
            <w:tcW w:w="440" w:type="pct"/>
            <w:shd w:val="clear" w:color="auto" w:fill="auto"/>
            <w:vAlign w:val="bottom"/>
          </w:tcPr>
          <w:p>
            <w:pPr>
              <w:pStyle w:val="42"/>
              <w:rPr>
                <w:sz w:val="18"/>
                <w:szCs w:val="18"/>
              </w:rPr>
            </w:pPr>
            <w:r>
              <w:rPr>
                <w:rFonts w:hint="eastAsia"/>
                <w:sz w:val="18"/>
                <w:szCs w:val="18"/>
              </w:rPr>
              <w:t xml:space="preserve">7.60 </w:t>
            </w:r>
          </w:p>
        </w:tc>
        <w:tc>
          <w:tcPr>
            <w:tcW w:w="556" w:type="pct"/>
            <w:shd w:val="clear" w:color="auto" w:fill="auto"/>
            <w:vAlign w:val="bottom"/>
          </w:tcPr>
          <w:p>
            <w:pPr>
              <w:pStyle w:val="42"/>
              <w:rPr>
                <w:sz w:val="15"/>
                <w:szCs w:val="15"/>
              </w:rPr>
            </w:pPr>
            <w:r>
              <w:rPr>
                <w:rFonts w:hint="eastAsia"/>
                <w:sz w:val="15"/>
                <w:szCs w:val="15"/>
              </w:rPr>
              <w:t xml:space="preserve">3325.3000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7.60 </w:t>
            </w:r>
          </w:p>
        </w:tc>
        <w:tc>
          <w:tcPr>
            <w:tcW w:w="557" w:type="pct"/>
            <w:vAlign w:val="bottom"/>
          </w:tcPr>
          <w:p>
            <w:pPr>
              <w:pStyle w:val="42"/>
              <w:rPr>
                <w:sz w:val="15"/>
                <w:szCs w:val="15"/>
              </w:rPr>
            </w:pPr>
            <w:r>
              <w:rPr>
                <w:rFonts w:hint="eastAsia"/>
                <w:sz w:val="15"/>
                <w:szCs w:val="15"/>
              </w:rPr>
              <w:t xml:space="preserve">54711.0000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60</w:t>
            </w:r>
          </w:p>
        </w:tc>
        <w:tc>
          <w:tcPr>
            <w:tcW w:w="440" w:type="pct"/>
            <w:shd w:val="clear" w:color="auto" w:fill="auto"/>
            <w:vAlign w:val="bottom"/>
          </w:tcPr>
          <w:p>
            <w:pPr>
              <w:pStyle w:val="42"/>
              <w:rPr>
                <w:sz w:val="15"/>
                <w:szCs w:val="15"/>
              </w:rPr>
            </w:pPr>
            <w:r>
              <w:rPr>
                <w:rFonts w:hint="eastAsia"/>
                <w:sz w:val="15"/>
                <w:szCs w:val="15"/>
              </w:rPr>
              <w:t xml:space="preserve">5.42 </w:t>
            </w:r>
          </w:p>
        </w:tc>
        <w:tc>
          <w:tcPr>
            <w:tcW w:w="498" w:type="pct"/>
            <w:shd w:val="clear" w:color="auto" w:fill="auto"/>
            <w:vAlign w:val="bottom"/>
          </w:tcPr>
          <w:p>
            <w:pPr>
              <w:pStyle w:val="42"/>
              <w:rPr>
                <w:sz w:val="15"/>
                <w:szCs w:val="15"/>
              </w:rPr>
            </w:pPr>
            <w:r>
              <w:rPr>
                <w:rFonts w:hint="eastAsia"/>
                <w:sz w:val="15"/>
                <w:szCs w:val="15"/>
              </w:rPr>
              <w:t xml:space="preserve">620.6700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5.42 </w:t>
            </w:r>
          </w:p>
        </w:tc>
        <w:tc>
          <w:tcPr>
            <w:tcW w:w="549" w:type="pct"/>
            <w:vAlign w:val="bottom"/>
          </w:tcPr>
          <w:p>
            <w:pPr>
              <w:pStyle w:val="42"/>
              <w:rPr>
                <w:sz w:val="15"/>
                <w:szCs w:val="15"/>
              </w:rPr>
            </w:pPr>
            <w:r>
              <w:rPr>
                <w:rFonts w:hint="eastAsia"/>
                <w:sz w:val="15"/>
                <w:szCs w:val="15"/>
              </w:rPr>
              <w:t xml:space="preserve">636.9100 </w:t>
            </w:r>
          </w:p>
        </w:tc>
        <w:tc>
          <w:tcPr>
            <w:tcW w:w="440" w:type="pct"/>
            <w:shd w:val="clear" w:color="auto" w:fill="auto"/>
            <w:vAlign w:val="bottom"/>
          </w:tcPr>
          <w:p>
            <w:pPr>
              <w:pStyle w:val="42"/>
              <w:rPr>
                <w:sz w:val="18"/>
                <w:szCs w:val="18"/>
              </w:rPr>
            </w:pPr>
            <w:r>
              <w:rPr>
                <w:rFonts w:hint="eastAsia"/>
                <w:sz w:val="18"/>
                <w:szCs w:val="18"/>
              </w:rPr>
              <w:t xml:space="preserve">8.13 </w:t>
            </w:r>
          </w:p>
        </w:tc>
        <w:tc>
          <w:tcPr>
            <w:tcW w:w="556" w:type="pct"/>
            <w:shd w:val="clear" w:color="auto" w:fill="auto"/>
            <w:vAlign w:val="bottom"/>
          </w:tcPr>
          <w:p>
            <w:pPr>
              <w:pStyle w:val="42"/>
              <w:rPr>
                <w:sz w:val="15"/>
                <w:szCs w:val="15"/>
              </w:rPr>
            </w:pPr>
            <w:r>
              <w:rPr>
                <w:rFonts w:hint="eastAsia"/>
                <w:sz w:val="15"/>
                <w:szCs w:val="15"/>
              </w:rPr>
              <w:t xml:space="preserve">716.5300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8.13 </w:t>
            </w:r>
          </w:p>
        </w:tc>
        <w:tc>
          <w:tcPr>
            <w:tcW w:w="557" w:type="pct"/>
            <w:vAlign w:val="bottom"/>
          </w:tcPr>
          <w:p>
            <w:pPr>
              <w:pStyle w:val="42"/>
              <w:rPr>
                <w:sz w:val="15"/>
                <w:szCs w:val="15"/>
              </w:rPr>
            </w:pPr>
            <w:r>
              <w:rPr>
                <w:rFonts w:hint="eastAsia"/>
                <w:sz w:val="15"/>
                <w:szCs w:val="15"/>
              </w:rPr>
              <w:t xml:space="preserve">721.0600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110</w:t>
            </w:r>
          </w:p>
        </w:tc>
        <w:tc>
          <w:tcPr>
            <w:tcW w:w="440" w:type="pct"/>
            <w:shd w:val="clear" w:color="auto" w:fill="auto"/>
            <w:vAlign w:val="bottom"/>
          </w:tcPr>
          <w:p>
            <w:pPr>
              <w:pStyle w:val="42"/>
              <w:rPr>
                <w:sz w:val="15"/>
                <w:szCs w:val="15"/>
              </w:rPr>
            </w:pPr>
            <w:r>
              <w:rPr>
                <w:rFonts w:hint="eastAsia"/>
                <w:sz w:val="15"/>
                <w:szCs w:val="15"/>
              </w:rPr>
              <w:t xml:space="preserve">5.77 </w:t>
            </w:r>
          </w:p>
        </w:tc>
        <w:tc>
          <w:tcPr>
            <w:tcW w:w="498" w:type="pct"/>
            <w:shd w:val="clear" w:color="auto" w:fill="auto"/>
            <w:vAlign w:val="bottom"/>
          </w:tcPr>
          <w:p>
            <w:pPr>
              <w:pStyle w:val="42"/>
              <w:rPr>
                <w:sz w:val="15"/>
                <w:szCs w:val="15"/>
              </w:rPr>
            </w:pPr>
            <w:r>
              <w:rPr>
                <w:rFonts w:hint="eastAsia"/>
                <w:sz w:val="15"/>
                <w:szCs w:val="15"/>
              </w:rPr>
              <w:t xml:space="preserve">161.7300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5.77 </w:t>
            </w:r>
          </w:p>
        </w:tc>
        <w:tc>
          <w:tcPr>
            <w:tcW w:w="549" w:type="pct"/>
            <w:vAlign w:val="bottom"/>
          </w:tcPr>
          <w:p>
            <w:pPr>
              <w:pStyle w:val="42"/>
              <w:rPr>
                <w:sz w:val="15"/>
                <w:szCs w:val="15"/>
              </w:rPr>
            </w:pPr>
            <w:r>
              <w:rPr>
                <w:rFonts w:hint="eastAsia"/>
                <w:sz w:val="15"/>
                <w:szCs w:val="15"/>
              </w:rPr>
              <w:t xml:space="preserve">162.1400 </w:t>
            </w:r>
          </w:p>
        </w:tc>
        <w:tc>
          <w:tcPr>
            <w:tcW w:w="440" w:type="pct"/>
            <w:shd w:val="clear" w:color="auto" w:fill="auto"/>
            <w:vAlign w:val="bottom"/>
          </w:tcPr>
          <w:p>
            <w:pPr>
              <w:pStyle w:val="42"/>
              <w:rPr>
                <w:sz w:val="18"/>
                <w:szCs w:val="18"/>
              </w:rPr>
            </w:pPr>
            <w:r>
              <w:rPr>
                <w:rFonts w:hint="eastAsia"/>
                <w:sz w:val="18"/>
                <w:szCs w:val="18"/>
              </w:rPr>
              <w:t xml:space="preserve">8.66 </w:t>
            </w:r>
          </w:p>
        </w:tc>
        <w:tc>
          <w:tcPr>
            <w:tcW w:w="556" w:type="pct"/>
            <w:shd w:val="clear" w:color="auto" w:fill="auto"/>
            <w:vAlign w:val="bottom"/>
          </w:tcPr>
          <w:p>
            <w:pPr>
              <w:pStyle w:val="42"/>
              <w:rPr>
                <w:sz w:val="15"/>
                <w:szCs w:val="15"/>
              </w:rPr>
            </w:pPr>
            <w:r>
              <w:rPr>
                <w:rFonts w:hint="eastAsia"/>
                <w:sz w:val="15"/>
                <w:szCs w:val="15"/>
              </w:rPr>
              <w:t xml:space="preserve">199.3300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8.66 </w:t>
            </w:r>
          </w:p>
        </w:tc>
        <w:tc>
          <w:tcPr>
            <w:tcW w:w="557" w:type="pct"/>
            <w:vAlign w:val="bottom"/>
          </w:tcPr>
          <w:p>
            <w:pPr>
              <w:pStyle w:val="42"/>
              <w:rPr>
                <w:sz w:val="15"/>
                <w:szCs w:val="15"/>
              </w:rPr>
            </w:pPr>
            <w:r>
              <w:rPr>
                <w:rFonts w:hint="eastAsia"/>
                <w:sz w:val="15"/>
                <w:szCs w:val="15"/>
              </w:rPr>
              <w:t xml:space="preserve">199.5700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160</w:t>
            </w:r>
          </w:p>
        </w:tc>
        <w:tc>
          <w:tcPr>
            <w:tcW w:w="440" w:type="pct"/>
            <w:shd w:val="clear" w:color="auto" w:fill="auto"/>
            <w:vAlign w:val="bottom"/>
          </w:tcPr>
          <w:p>
            <w:pPr>
              <w:pStyle w:val="42"/>
              <w:rPr>
                <w:sz w:val="15"/>
                <w:szCs w:val="15"/>
              </w:rPr>
            </w:pPr>
            <w:r>
              <w:rPr>
                <w:rFonts w:hint="eastAsia"/>
                <w:sz w:val="15"/>
                <w:szCs w:val="15"/>
              </w:rPr>
              <w:t xml:space="preserve">6.12 </w:t>
            </w:r>
          </w:p>
        </w:tc>
        <w:tc>
          <w:tcPr>
            <w:tcW w:w="498" w:type="pct"/>
            <w:shd w:val="clear" w:color="auto" w:fill="auto"/>
            <w:vAlign w:val="bottom"/>
          </w:tcPr>
          <w:p>
            <w:pPr>
              <w:pStyle w:val="42"/>
              <w:rPr>
                <w:sz w:val="15"/>
                <w:szCs w:val="15"/>
              </w:rPr>
            </w:pPr>
            <w:r>
              <w:rPr>
                <w:rFonts w:hint="eastAsia"/>
                <w:sz w:val="15"/>
                <w:szCs w:val="15"/>
              </w:rPr>
              <w:t xml:space="preserve">72.5470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6.12 </w:t>
            </w:r>
          </w:p>
        </w:tc>
        <w:tc>
          <w:tcPr>
            <w:tcW w:w="549" w:type="pct"/>
            <w:vAlign w:val="bottom"/>
          </w:tcPr>
          <w:p>
            <w:pPr>
              <w:pStyle w:val="42"/>
              <w:rPr>
                <w:sz w:val="15"/>
                <w:szCs w:val="15"/>
              </w:rPr>
            </w:pPr>
            <w:r>
              <w:rPr>
                <w:rFonts w:hint="eastAsia"/>
                <w:sz w:val="15"/>
                <w:szCs w:val="15"/>
              </w:rPr>
              <w:t xml:space="preserve">72.6900 </w:t>
            </w:r>
          </w:p>
        </w:tc>
        <w:tc>
          <w:tcPr>
            <w:tcW w:w="440" w:type="pct"/>
            <w:shd w:val="clear" w:color="auto" w:fill="auto"/>
            <w:vAlign w:val="bottom"/>
          </w:tcPr>
          <w:p>
            <w:pPr>
              <w:pStyle w:val="42"/>
              <w:rPr>
                <w:sz w:val="18"/>
                <w:szCs w:val="18"/>
              </w:rPr>
            </w:pPr>
            <w:r>
              <w:rPr>
                <w:rFonts w:hint="eastAsia"/>
                <w:sz w:val="18"/>
                <w:szCs w:val="18"/>
              </w:rPr>
              <w:t xml:space="preserve">9.19 </w:t>
            </w:r>
          </w:p>
        </w:tc>
        <w:tc>
          <w:tcPr>
            <w:tcW w:w="556" w:type="pct"/>
            <w:shd w:val="clear" w:color="auto" w:fill="auto"/>
            <w:vAlign w:val="bottom"/>
          </w:tcPr>
          <w:p>
            <w:pPr>
              <w:pStyle w:val="42"/>
              <w:rPr>
                <w:sz w:val="18"/>
                <w:szCs w:val="18"/>
              </w:rPr>
            </w:pPr>
            <w:r>
              <w:rPr>
                <w:rFonts w:hint="eastAsia"/>
                <w:sz w:val="18"/>
                <w:szCs w:val="18"/>
              </w:rPr>
              <w:t xml:space="preserve">92.3390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9.19 </w:t>
            </w:r>
          </w:p>
        </w:tc>
        <w:tc>
          <w:tcPr>
            <w:tcW w:w="557" w:type="pct"/>
            <w:vAlign w:val="bottom"/>
          </w:tcPr>
          <w:p>
            <w:pPr>
              <w:pStyle w:val="42"/>
              <w:rPr>
                <w:sz w:val="18"/>
                <w:szCs w:val="18"/>
              </w:rPr>
            </w:pPr>
            <w:r>
              <w:rPr>
                <w:rFonts w:hint="eastAsia"/>
                <w:sz w:val="18"/>
                <w:szCs w:val="18"/>
              </w:rPr>
              <w:t xml:space="preserve">92.3390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210</w:t>
            </w:r>
          </w:p>
        </w:tc>
        <w:tc>
          <w:tcPr>
            <w:tcW w:w="440" w:type="pct"/>
            <w:shd w:val="clear" w:color="auto" w:fill="auto"/>
            <w:vAlign w:val="bottom"/>
          </w:tcPr>
          <w:p>
            <w:pPr>
              <w:pStyle w:val="42"/>
              <w:rPr>
                <w:sz w:val="15"/>
                <w:szCs w:val="15"/>
              </w:rPr>
            </w:pPr>
            <w:r>
              <w:rPr>
                <w:rFonts w:hint="eastAsia"/>
                <w:sz w:val="15"/>
                <w:szCs w:val="15"/>
              </w:rPr>
              <w:t xml:space="preserve">6.48 </w:t>
            </w:r>
          </w:p>
        </w:tc>
        <w:tc>
          <w:tcPr>
            <w:tcW w:w="498" w:type="pct"/>
            <w:shd w:val="clear" w:color="auto" w:fill="auto"/>
            <w:vAlign w:val="bottom"/>
          </w:tcPr>
          <w:p>
            <w:pPr>
              <w:pStyle w:val="42"/>
              <w:rPr>
                <w:sz w:val="15"/>
                <w:szCs w:val="15"/>
              </w:rPr>
            </w:pPr>
            <w:r>
              <w:rPr>
                <w:rFonts w:hint="eastAsia"/>
                <w:sz w:val="15"/>
                <w:szCs w:val="15"/>
              </w:rPr>
              <w:t xml:space="preserve">41.0940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6.48 </w:t>
            </w:r>
          </w:p>
        </w:tc>
        <w:tc>
          <w:tcPr>
            <w:tcW w:w="549" w:type="pct"/>
            <w:vAlign w:val="bottom"/>
          </w:tcPr>
          <w:p>
            <w:pPr>
              <w:pStyle w:val="42"/>
              <w:rPr>
                <w:sz w:val="15"/>
                <w:szCs w:val="15"/>
              </w:rPr>
            </w:pPr>
            <w:r>
              <w:rPr>
                <w:rFonts w:hint="eastAsia"/>
                <w:sz w:val="15"/>
                <w:szCs w:val="15"/>
              </w:rPr>
              <w:t xml:space="preserve">41.0940 </w:t>
            </w:r>
          </w:p>
        </w:tc>
        <w:tc>
          <w:tcPr>
            <w:tcW w:w="440" w:type="pct"/>
            <w:shd w:val="clear" w:color="auto" w:fill="auto"/>
            <w:vAlign w:val="bottom"/>
          </w:tcPr>
          <w:p>
            <w:pPr>
              <w:pStyle w:val="42"/>
              <w:rPr>
                <w:sz w:val="18"/>
                <w:szCs w:val="18"/>
              </w:rPr>
            </w:pPr>
            <w:r>
              <w:rPr>
                <w:rFonts w:hint="eastAsia"/>
                <w:sz w:val="18"/>
                <w:szCs w:val="18"/>
              </w:rPr>
              <w:t xml:space="preserve">9.72 </w:t>
            </w:r>
          </w:p>
        </w:tc>
        <w:tc>
          <w:tcPr>
            <w:tcW w:w="556" w:type="pct"/>
            <w:shd w:val="clear" w:color="auto" w:fill="auto"/>
            <w:vAlign w:val="bottom"/>
          </w:tcPr>
          <w:p>
            <w:pPr>
              <w:pStyle w:val="42"/>
              <w:rPr>
                <w:sz w:val="18"/>
                <w:szCs w:val="18"/>
              </w:rPr>
            </w:pPr>
            <w:r>
              <w:rPr>
                <w:rFonts w:hint="eastAsia"/>
                <w:sz w:val="18"/>
                <w:szCs w:val="18"/>
              </w:rPr>
              <w:t xml:space="preserve">53.0280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9.72 </w:t>
            </w:r>
          </w:p>
        </w:tc>
        <w:tc>
          <w:tcPr>
            <w:tcW w:w="557" w:type="pct"/>
            <w:vAlign w:val="bottom"/>
          </w:tcPr>
          <w:p>
            <w:pPr>
              <w:pStyle w:val="42"/>
              <w:rPr>
                <w:sz w:val="18"/>
                <w:szCs w:val="18"/>
              </w:rPr>
            </w:pPr>
            <w:r>
              <w:rPr>
                <w:rFonts w:hint="eastAsia"/>
                <w:sz w:val="18"/>
                <w:szCs w:val="18"/>
              </w:rPr>
              <w:t xml:space="preserve">53.1020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260</w:t>
            </w:r>
          </w:p>
        </w:tc>
        <w:tc>
          <w:tcPr>
            <w:tcW w:w="440" w:type="pct"/>
            <w:shd w:val="clear" w:color="auto" w:fill="auto"/>
            <w:vAlign w:val="bottom"/>
          </w:tcPr>
          <w:p>
            <w:pPr>
              <w:pStyle w:val="42"/>
              <w:rPr>
                <w:sz w:val="15"/>
                <w:szCs w:val="15"/>
              </w:rPr>
            </w:pPr>
            <w:r>
              <w:rPr>
                <w:rFonts w:hint="eastAsia"/>
                <w:sz w:val="15"/>
                <w:szCs w:val="15"/>
              </w:rPr>
              <w:t xml:space="preserve">6.83 </w:t>
            </w:r>
          </w:p>
        </w:tc>
        <w:tc>
          <w:tcPr>
            <w:tcW w:w="498" w:type="pct"/>
            <w:shd w:val="clear" w:color="auto" w:fill="auto"/>
            <w:vAlign w:val="bottom"/>
          </w:tcPr>
          <w:p>
            <w:pPr>
              <w:pStyle w:val="42"/>
              <w:rPr>
                <w:sz w:val="15"/>
                <w:szCs w:val="15"/>
              </w:rPr>
            </w:pPr>
            <w:r>
              <w:rPr>
                <w:rFonts w:hint="eastAsia"/>
                <w:sz w:val="15"/>
                <w:szCs w:val="15"/>
              </w:rPr>
              <w:t xml:space="preserve">26.4830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6.83 </w:t>
            </w:r>
          </w:p>
        </w:tc>
        <w:tc>
          <w:tcPr>
            <w:tcW w:w="549" w:type="pct"/>
            <w:vAlign w:val="bottom"/>
          </w:tcPr>
          <w:p>
            <w:pPr>
              <w:pStyle w:val="42"/>
              <w:rPr>
                <w:sz w:val="15"/>
                <w:szCs w:val="15"/>
              </w:rPr>
            </w:pPr>
            <w:r>
              <w:rPr>
                <w:rFonts w:hint="eastAsia"/>
                <w:sz w:val="15"/>
                <w:szCs w:val="15"/>
              </w:rPr>
              <w:t xml:space="preserve">26.4830 </w:t>
            </w:r>
          </w:p>
        </w:tc>
        <w:tc>
          <w:tcPr>
            <w:tcW w:w="440" w:type="pct"/>
            <w:shd w:val="clear" w:color="auto" w:fill="auto"/>
            <w:vAlign w:val="bottom"/>
          </w:tcPr>
          <w:p>
            <w:pPr>
              <w:pStyle w:val="42"/>
              <w:rPr>
                <w:sz w:val="18"/>
                <w:szCs w:val="18"/>
              </w:rPr>
            </w:pPr>
            <w:r>
              <w:rPr>
                <w:rFonts w:hint="eastAsia"/>
                <w:sz w:val="18"/>
                <w:szCs w:val="18"/>
              </w:rPr>
              <w:t xml:space="preserve">10.25 </w:t>
            </w:r>
          </w:p>
        </w:tc>
        <w:tc>
          <w:tcPr>
            <w:tcW w:w="556" w:type="pct"/>
            <w:shd w:val="clear" w:color="auto" w:fill="auto"/>
            <w:vAlign w:val="bottom"/>
          </w:tcPr>
          <w:p>
            <w:pPr>
              <w:pStyle w:val="42"/>
              <w:rPr>
                <w:sz w:val="18"/>
                <w:szCs w:val="18"/>
              </w:rPr>
            </w:pPr>
            <w:r>
              <w:rPr>
                <w:rFonts w:hint="eastAsia"/>
                <w:sz w:val="18"/>
                <w:szCs w:val="18"/>
              </w:rPr>
              <w:t xml:space="preserve">34.4950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10.25 </w:t>
            </w:r>
          </w:p>
        </w:tc>
        <w:tc>
          <w:tcPr>
            <w:tcW w:w="557" w:type="pct"/>
            <w:vAlign w:val="bottom"/>
          </w:tcPr>
          <w:p>
            <w:pPr>
              <w:pStyle w:val="42"/>
              <w:rPr>
                <w:sz w:val="18"/>
                <w:szCs w:val="18"/>
              </w:rPr>
            </w:pPr>
            <w:r>
              <w:rPr>
                <w:rFonts w:hint="eastAsia"/>
                <w:sz w:val="18"/>
                <w:szCs w:val="18"/>
              </w:rPr>
              <w:t xml:space="preserve">34.5840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310</w:t>
            </w:r>
          </w:p>
        </w:tc>
        <w:tc>
          <w:tcPr>
            <w:tcW w:w="440" w:type="pct"/>
            <w:shd w:val="clear" w:color="auto" w:fill="auto"/>
            <w:vAlign w:val="bottom"/>
          </w:tcPr>
          <w:p>
            <w:pPr>
              <w:pStyle w:val="42"/>
              <w:rPr>
                <w:sz w:val="15"/>
                <w:szCs w:val="15"/>
              </w:rPr>
            </w:pPr>
            <w:r>
              <w:rPr>
                <w:rFonts w:hint="eastAsia"/>
                <w:sz w:val="15"/>
                <w:szCs w:val="15"/>
              </w:rPr>
              <w:t xml:space="preserve">7.18 </w:t>
            </w:r>
          </w:p>
        </w:tc>
        <w:tc>
          <w:tcPr>
            <w:tcW w:w="498" w:type="pct"/>
            <w:shd w:val="clear" w:color="auto" w:fill="auto"/>
            <w:vAlign w:val="bottom"/>
          </w:tcPr>
          <w:p>
            <w:pPr>
              <w:pStyle w:val="42"/>
              <w:rPr>
                <w:sz w:val="15"/>
                <w:szCs w:val="15"/>
              </w:rPr>
            </w:pPr>
            <w:r>
              <w:rPr>
                <w:rFonts w:hint="eastAsia"/>
                <w:sz w:val="15"/>
                <w:szCs w:val="15"/>
              </w:rPr>
              <w:t xml:space="preserve">18.4420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7.18 </w:t>
            </w:r>
          </w:p>
        </w:tc>
        <w:tc>
          <w:tcPr>
            <w:tcW w:w="549" w:type="pct"/>
            <w:vAlign w:val="bottom"/>
          </w:tcPr>
          <w:p>
            <w:pPr>
              <w:pStyle w:val="42"/>
              <w:rPr>
                <w:sz w:val="15"/>
                <w:szCs w:val="15"/>
              </w:rPr>
            </w:pPr>
            <w:r>
              <w:rPr>
                <w:rFonts w:hint="eastAsia"/>
                <w:sz w:val="15"/>
                <w:szCs w:val="15"/>
              </w:rPr>
              <w:t xml:space="preserve">18.4860 </w:t>
            </w:r>
          </w:p>
        </w:tc>
        <w:tc>
          <w:tcPr>
            <w:tcW w:w="440" w:type="pct"/>
            <w:shd w:val="clear" w:color="auto" w:fill="auto"/>
            <w:vAlign w:val="bottom"/>
          </w:tcPr>
          <w:p>
            <w:pPr>
              <w:pStyle w:val="42"/>
              <w:rPr>
                <w:sz w:val="18"/>
                <w:szCs w:val="18"/>
              </w:rPr>
            </w:pPr>
            <w:r>
              <w:rPr>
                <w:rFonts w:hint="eastAsia"/>
                <w:sz w:val="18"/>
                <w:szCs w:val="18"/>
              </w:rPr>
              <w:t xml:space="preserve">10.78 </w:t>
            </w:r>
          </w:p>
        </w:tc>
        <w:tc>
          <w:tcPr>
            <w:tcW w:w="556" w:type="pct"/>
            <w:shd w:val="clear" w:color="auto" w:fill="auto"/>
            <w:vAlign w:val="bottom"/>
          </w:tcPr>
          <w:p>
            <w:pPr>
              <w:pStyle w:val="42"/>
              <w:rPr>
                <w:sz w:val="18"/>
                <w:szCs w:val="18"/>
              </w:rPr>
            </w:pPr>
            <w:r>
              <w:rPr>
                <w:rFonts w:hint="eastAsia"/>
                <w:sz w:val="18"/>
                <w:szCs w:val="18"/>
              </w:rPr>
              <w:t xml:space="preserve">24.3200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10.78 </w:t>
            </w:r>
          </w:p>
        </w:tc>
        <w:tc>
          <w:tcPr>
            <w:tcW w:w="557" w:type="pct"/>
            <w:vAlign w:val="bottom"/>
          </w:tcPr>
          <w:p>
            <w:pPr>
              <w:pStyle w:val="42"/>
              <w:rPr>
                <w:sz w:val="18"/>
                <w:szCs w:val="18"/>
              </w:rPr>
            </w:pPr>
            <w:r>
              <w:rPr>
                <w:rFonts w:hint="eastAsia"/>
                <w:sz w:val="18"/>
                <w:szCs w:val="18"/>
              </w:rPr>
              <w:t xml:space="preserve">24.3200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360</w:t>
            </w:r>
          </w:p>
        </w:tc>
        <w:tc>
          <w:tcPr>
            <w:tcW w:w="440" w:type="pct"/>
            <w:shd w:val="clear" w:color="auto" w:fill="auto"/>
            <w:vAlign w:val="bottom"/>
          </w:tcPr>
          <w:p>
            <w:pPr>
              <w:pStyle w:val="42"/>
              <w:rPr>
                <w:sz w:val="15"/>
                <w:szCs w:val="15"/>
              </w:rPr>
            </w:pPr>
            <w:r>
              <w:rPr>
                <w:rFonts w:hint="eastAsia"/>
                <w:sz w:val="15"/>
                <w:szCs w:val="15"/>
              </w:rPr>
              <w:t xml:space="preserve">7.54 </w:t>
            </w:r>
          </w:p>
        </w:tc>
        <w:tc>
          <w:tcPr>
            <w:tcW w:w="498" w:type="pct"/>
            <w:shd w:val="clear" w:color="auto" w:fill="auto"/>
            <w:vAlign w:val="bottom"/>
          </w:tcPr>
          <w:p>
            <w:pPr>
              <w:pStyle w:val="42"/>
              <w:rPr>
                <w:sz w:val="15"/>
                <w:szCs w:val="15"/>
              </w:rPr>
            </w:pPr>
            <w:r>
              <w:rPr>
                <w:rFonts w:hint="eastAsia"/>
                <w:sz w:val="15"/>
                <w:szCs w:val="15"/>
              </w:rPr>
              <w:t xml:space="preserve">13.6160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7.54 </w:t>
            </w:r>
          </w:p>
        </w:tc>
        <w:tc>
          <w:tcPr>
            <w:tcW w:w="549" w:type="pct"/>
            <w:vAlign w:val="bottom"/>
          </w:tcPr>
          <w:p>
            <w:pPr>
              <w:pStyle w:val="42"/>
              <w:rPr>
                <w:sz w:val="15"/>
                <w:szCs w:val="15"/>
              </w:rPr>
            </w:pPr>
            <w:r>
              <w:rPr>
                <w:rFonts w:hint="eastAsia"/>
                <w:sz w:val="15"/>
                <w:szCs w:val="15"/>
              </w:rPr>
              <w:t xml:space="preserve">13.6550 </w:t>
            </w:r>
          </w:p>
        </w:tc>
        <w:tc>
          <w:tcPr>
            <w:tcW w:w="440" w:type="pct"/>
            <w:shd w:val="clear" w:color="auto" w:fill="auto"/>
            <w:vAlign w:val="bottom"/>
          </w:tcPr>
          <w:p>
            <w:pPr>
              <w:pStyle w:val="42"/>
              <w:rPr>
                <w:sz w:val="18"/>
                <w:szCs w:val="18"/>
              </w:rPr>
            </w:pPr>
            <w:r>
              <w:rPr>
                <w:rFonts w:hint="eastAsia"/>
                <w:sz w:val="18"/>
                <w:szCs w:val="18"/>
              </w:rPr>
              <w:t xml:space="preserve">11.31 </w:t>
            </w:r>
          </w:p>
        </w:tc>
        <w:tc>
          <w:tcPr>
            <w:tcW w:w="556" w:type="pct"/>
            <w:shd w:val="clear" w:color="auto" w:fill="auto"/>
            <w:vAlign w:val="bottom"/>
          </w:tcPr>
          <w:p>
            <w:pPr>
              <w:pStyle w:val="42"/>
              <w:rPr>
                <w:sz w:val="18"/>
                <w:szCs w:val="18"/>
              </w:rPr>
            </w:pPr>
            <w:r>
              <w:rPr>
                <w:rFonts w:hint="eastAsia"/>
                <w:sz w:val="18"/>
                <w:szCs w:val="18"/>
              </w:rPr>
              <w:t xml:space="preserve">18.0620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11.31 </w:t>
            </w:r>
          </w:p>
        </w:tc>
        <w:tc>
          <w:tcPr>
            <w:tcW w:w="557" w:type="pct"/>
            <w:vAlign w:val="bottom"/>
          </w:tcPr>
          <w:p>
            <w:pPr>
              <w:pStyle w:val="42"/>
              <w:rPr>
                <w:sz w:val="18"/>
                <w:szCs w:val="18"/>
              </w:rPr>
            </w:pPr>
            <w:r>
              <w:rPr>
                <w:rFonts w:hint="eastAsia"/>
                <w:sz w:val="18"/>
                <w:szCs w:val="18"/>
              </w:rPr>
              <w:t xml:space="preserve">18.0620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410</w:t>
            </w:r>
          </w:p>
        </w:tc>
        <w:tc>
          <w:tcPr>
            <w:tcW w:w="440" w:type="pct"/>
            <w:shd w:val="clear" w:color="auto" w:fill="auto"/>
            <w:vAlign w:val="bottom"/>
          </w:tcPr>
          <w:p>
            <w:pPr>
              <w:pStyle w:val="42"/>
              <w:rPr>
                <w:sz w:val="15"/>
                <w:szCs w:val="15"/>
              </w:rPr>
            </w:pPr>
            <w:r>
              <w:rPr>
                <w:rFonts w:hint="eastAsia"/>
                <w:sz w:val="15"/>
                <w:szCs w:val="15"/>
              </w:rPr>
              <w:t xml:space="preserve">7.89 </w:t>
            </w:r>
          </w:p>
        </w:tc>
        <w:tc>
          <w:tcPr>
            <w:tcW w:w="498" w:type="pct"/>
            <w:shd w:val="clear" w:color="auto" w:fill="auto"/>
            <w:vAlign w:val="bottom"/>
          </w:tcPr>
          <w:p>
            <w:pPr>
              <w:pStyle w:val="42"/>
              <w:rPr>
                <w:sz w:val="15"/>
                <w:szCs w:val="15"/>
              </w:rPr>
            </w:pPr>
            <w:r>
              <w:rPr>
                <w:rFonts w:hint="eastAsia"/>
                <w:sz w:val="15"/>
                <w:szCs w:val="15"/>
              </w:rPr>
              <w:t xml:space="preserve">10.5220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7.89 </w:t>
            </w:r>
          </w:p>
        </w:tc>
        <w:tc>
          <w:tcPr>
            <w:tcW w:w="549" w:type="pct"/>
            <w:vAlign w:val="bottom"/>
          </w:tcPr>
          <w:p>
            <w:pPr>
              <w:pStyle w:val="42"/>
              <w:rPr>
                <w:sz w:val="15"/>
                <w:szCs w:val="15"/>
              </w:rPr>
            </w:pPr>
            <w:r>
              <w:rPr>
                <w:rFonts w:hint="eastAsia"/>
                <w:sz w:val="15"/>
                <w:szCs w:val="15"/>
              </w:rPr>
              <w:t xml:space="preserve">10.5390 </w:t>
            </w:r>
          </w:p>
        </w:tc>
        <w:tc>
          <w:tcPr>
            <w:tcW w:w="440" w:type="pct"/>
            <w:shd w:val="clear" w:color="auto" w:fill="auto"/>
            <w:vAlign w:val="bottom"/>
          </w:tcPr>
          <w:p>
            <w:pPr>
              <w:pStyle w:val="42"/>
              <w:rPr>
                <w:sz w:val="18"/>
                <w:szCs w:val="18"/>
              </w:rPr>
            </w:pPr>
            <w:r>
              <w:rPr>
                <w:rFonts w:hint="eastAsia"/>
                <w:sz w:val="18"/>
                <w:szCs w:val="18"/>
              </w:rPr>
              <w:t xml:space="preserve">11.84 </w:t>
            </w:r>
          </w:p>
        </w:tc>
        <w:tc>
          <w:tcPr>
            <w:tcW w:w="556" w:type="pct"/>
            <w:shd w:val="clear" w:color="auto" w:fill="auto"/>
            <w:vAlign w:val="bottom"/>
          </w:tcPr>
          <w:p>
            <w:pPr>
              <w:pStyle w:val="42"/>
              <w:rPr>
                <w:sz w:val="18"/>
                <w:szCs w:val="18"/>
              </w:rPr>
            </w:pPr>
            <w:r>
              <w:rPr>
                <w:rFonts w:hint="eastAsia"/>
                <w:sz w:val="18"/>
                <w:szCs w:val="18"/>
              </w:rPr>
              <w:t xml:space="preserve">13.9680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11.84 </w:t>
            </w:r>
          </w:p>
        </w:tc>
        <w:tc>
          <w:tcPr>
            <w:tcW w:w="557" w:type="pct"/>
            <w:vAlign w:val="bottom"/>
          </w:tcPr>
          <w:p>
            <w:pPr>
              <w:pStyle w:val="42"/>
              <w:rPr>
                <w:sz w:val="18"/>
                <w:szCs w:val="18"/>
              </w:rPr>
            </w:pPr>
            <w:r>
              <w:rPr>
                <w:rFonts w:hint="eastAsia"/>
                <w:sz w:val="18"/>
                <w:szCs w:val="18"/>
              </w:rPr>
              <w:t xml:space="preserve">13.9970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460</w:t>
            </w:r>
          </w:p>
        </w:tc>
        <w:tc>
          <w:tcPr>
            <w:tcW w:w="440" w:type="pct"/>
            <w:shd w:val="clear" w:color="auto" w:fill="auto"/>
            <w:vAlign w:val="bottom"/>
          </w:tcPr>
          <w:p>
            <w:pPr>
              <w:pStyle w:val="42"/>
              <w:rPr>
                <w:sz w:val="15"/>
                <w:szCs w:val="15"/>
              </w:rPr>
            </w:pPr>
            <w:r>
              <w:rPr>
                <w:rFonts w:hint="eastAsia"/>
                <w:sz w:val="15"/>
                <w:szCs w:val="15"/>
              </w:rPr>
              <w:t xml:space="preserve">8.25 </w:t>
            </w:r>
          </w:p>
        </w:tc>
        <w:tc>
          <w:tcPr>
            <w:tcW w:w="498" w:type="pct"/>
            <w:shd w:val="clear" w:color="auto" w:fill="auto"/>
            <w:vAlign w:val="bottom"/>
          </w:tcPr>
          <w:p>
            <w:pPr>
              <w:pStyle w:val="42"/>
              <w:rPr>
                <w:sz w:val="15"/>
                <w:szCs w:val="15"/>
              </w:rPr>
            </w:pPr>
            <w:r>
              <w:rPr>
                <w:rFonts w:hint="eastAsia"/>
                <w:sz w:val="15"/>
                <w:szCs w:val="15"/>
              </w:rPr>
              <w:t xml:space="preserve">8.3440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8.25 </w:t>
            </w:r>
          </w:p>
        </w:tc>
        <w:tc>
          <w:tcPr>
            <w:tcW w:w="549" w:type="pct"/>
            <w:vAlign w:val="bottom"/>
          </w:tcPr>
          <w:p>
            <w:pPr>
              <w:pStyle w:val="42"/>
              <w:rPr>
                <w:sz w:val="15"/>
                <w:szCs w:val="15"/>
              </w:rPr>
            </w:pPr>
            <w:r>
              <w:rPr>
                <w:rFonts w:hint="eastAsia"/>
                <w:sz w:val="15"/>
                <w:szCs w:val="15"/>
              </w:rPr>
              <w:t xml:space="preserve">8.3587 </w:t>
            </w:r>
          </w:p>
        </w:tc>
        <w:tc>
          <w:tcPr>
            <w:tcW w:w="440" w:type="pct"/>
            <w:shd w:val="clear" w:color="auto" w:fill="auto"/>
            <w:vAlign w:val="bottom"/>
          </w:tcPr>
          <w:p>
            <w:pPr>
              <w:pStyle w:val="42"/>
              <w:rPr>
                <w:sz w:val="18"/>
                <w:szCs w:val="18"/>
              </w:rPr>
            </w:pPr>
            <w:r>
              <w:rPr>
                <w:rFonts w:hint="eastAsia"/>
                <w:sz w:val="18"/>
                <w:szCs w:val="18"/>
              </w:rPr>
              <w:t xml:space="preserve">12.37 </w:t>
            </w:r>
          </w:p>
        </w:tc>
        <w:tc>
          <w:tcPr>
            <w:tcW w:w="556" w:type="pct"/>
            <w:shd w:val="clear" w:color="auto" w:fill="auto"/>
            <w:vAlign w:val="bottom"/>
          </w:tcPr>
          <w:p>
            <w:pPr>
              <w:pStyle w:val="42"/>
              <w:rPr>
                <w:sz w:val="18"/>
                <w:szCs w:val="18"/>
              </w:rPr>
            </w:pPr>
            <w:r>
              <w:rPr>
                <w:rFonts w:hint="eastAsia"/>
                <w:sz w:val="18"/>
                <w:szCs w:val="18"/>
              </w:rPr>
              <w:t xml:space="preserve">11.1260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12.37 </w:t>
            </w:r>
          </w:p>
        </w:tc>
        <w:tc>
          <w:tcPr>
            <w:tcW w:w="557" w:type="pct"/>
            <w:vAlign w:val="bottom"/>
          </w:tcPr>
          <w:p>
            <w:pPr>
              <w:pStyle w:val="42"/>
              <w:rPr>
                <w:sz w:val="18"/>
                <w:szCs w:val="18"/>
              </w:rPr>
            </w:pPr>
            <w:r>
              <w:rPr>
                <w:rFonts w:hint="eastAsia"/>
                <w:sz w:val="18"/>
                <w:szCs w:val="18"/>
              </w:rPr>
              <w:t xml:space="preserve">11.1420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510</w:t>
            </w:r>
          </w:p>
        </w:tc>
        <w:tc>
          <w:tcPr>
            <w:tcW w:w="440" w:type="pct"/>
            <w:shd w:val="clear" w:color="auto" w:fill="auto"/>
            <w:vAlign w:val="bottom"/>
          </w:tcPr>
          <w:p>
            <w:pPr>
              <w:pStyle w:val="42"/>
              <w:rPr>
                <w:sz w:val="15"/>
                <w:szCs w:val="15"/>
              </w:rPr>
            </w:pPr>
            <w:r>
              <w:rPr>
                <w:rFonts w:hint="eastAsia"/>
                <w:sz w:val="15"/>
                <w:szCs w:val="15"/>
              </w:rPr>
              <w:t xml:space="preserve">8.60 </w:t>
            </w:r>
          </w:p>
        </w:tc>
        <w:tc>
          <w:tcPr>
            <w:tcW w:w="498" w:type="pct"/>
            <w:shd w:val="clear" w:color="auto" w:fill="auto"/>
            <w:vAlign w:val="bottom"/>
          </w:tcPr>
          <w:p>
            <w:pPr>
              <w:pStyle w:val="42"/>
              <w:rPr>
                <w:sz w:val="15"/>
                <w:szCs w:val="15"/>
              </w:rPr>
            </w:pPr>
            <w:r>
              <w:rPr>
                <w:rFonts w:hint="eastAsia"/>
                <w:sz w:val="15"/>
                <w:szCs w:val="15"/>
              </w:rPr>
              <w:t xml:space="preserve">6.8138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8.60 </w:t>
            </w:r>
          </w:p>
        </w:tc>
        <w:tc>
          <w:tcPr>
            <w:tcW w:w="549" w:type="pct"/>
            <w:vAlign w:val="bottom"/>
          </w:tcPr>
          <w:p>
            <w:pPr>
              <w:pStyle w:val="42"/>
              <w:rPr>
                <w:sz w:val="15"/>
                <w:szCs w:val="15"/>
              </w:rPr>
            </w:pPr>
            <w:r>
              <w:rPr>
                <w:rFonts w:hint="eastAsia"/>
                <w:sz w:val="15"/>
                <w:szCs w:val="15"/>
              </w:rPr>
              <w:t xml:space="preserve">6.8199 </w:t>
            </w:r>
          </w:p>
        </w:tc>
        <w:tc>
          <w:tcPr>
            <w:tcW w:w="440" w:type="pct"/>
            <w:shd w:val="clear" w:color="auto" w:fill="auto"/>
            <w:vAlign w:val="bottom"/>
          </w:tcPr>
          <w:p>
            <w:pPr>
              <w:pStyle w:val="42"/>
              <w:rPr>
                <w:sz w:val="18"/>
                <w:szCs w:val="18"/>
              </w:rPr>
            </w:pPr>
            <w:r>
              <w:rPr>
                <w:rFonts w:hint="eastAsia"/>
                <w:sz w:val="18"/>
                <w:szCs w:val="18"/>
              </w:rPr>
              <w:t xml:space="preserve">12.90 </w:t>
            </w:r>
          </w:p>
        </w:tc>
        <w:tc>
          <w:tcPr>
            <w:tcW w:w="556" w:type="pct"/>
            <w:shd w:val="clear" w:color="auto" w:fill="auto"/>
            <w:vAlign w:val="bottom"/>
          </w:tcPr>
          <w:p>
            <w:pPr>
              <w:pStyle w:val="42"/>
              <w:rPr>
                <w:sz w:val="18"/>
                <w:szCs w:val="18"/>
              </w:rPr>
            </w:pPr>
            <w:r>
              <w:rPr>
                <w:rFonts w:hint="eastAsia"/>
                <w:sz w:val="18"/>
                <w:szCs w:val="18"/>
              </w:rPr>
              <w:t xml:space="preserve">9.1039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12.90 </w:t>
            </w:r>
          </w:p>
        </w:tc>
        <w:tc>
          <w:tcPr>
            <w:tcW w:w="557" w:type="pct"/>
            <w:vAlign w:val="bottom"/>
          </w:tcPr>
          <w:p>
            <w:pPr>
              <w:pStyle w:val="42"/>
              <w:rPr>
                <w:sz w:val="18"/>
                <w:szCs w:val="18"/>
              </w:rPr>
            </w:pPr>
            <w:r>
              <w:rPr>
                <w:rFonts w:hint="eastAsia"/>
                <w:sz w:val="18"/>
                <w:szCs w:val="18"/>
              </w:rPr>
              <w:t xml:space="preserve">9.1039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560</w:t>
            </w:r>
          </w:p>
        </w:tc>
        <w:tc>
          <w:tcPr>
            <w:tcW w:w="440" w:type="pct"/>
            <w:shd w:val="clear" w:color="auto" w:fill="auto"/>
            <w:vAlign w:val="bottom"/>
          </w:tcPr>
          <w:p>
            <w:pPr>
              <w:pStyle w:val="42"/>
              <w:rPr>
                <w:sz w:val="15"/>
                <w:szCs w:val="15"/>
              </w:rPr>
            </w:pPr>
            <w:r>
              <w:rPr>
                <w:rFonts w:hint="eastAsia"/>
                <w:sz w:val="15"/>
                <w:szCs w:val="15"/>
              </w:rPr>
              <w:t xml:space="preserve">8.95 </w:t>
            </w:r>
          </w:p>
        </w:tc>
        <w:tc>
          <w:tcPr>
            <w:tcW w:w="498" w:type="pct"/>
            <w:shd w:val="clear" w:color="auto" w:fill="auto"/>
            <w:vAlign w:val="bottom"/>
          </w:tcPr>
          <w:p>
            <w:pPr>
              <w:pStyle w:val="42"/>
              <w:rPr>
                <w:sz w:val="15"/>
                <w:szCs w:val="15"/>
              </w:rPr>
            </w:pPr>
            <w:r>
              <w:rPr>
                <w:rFonts w:hint="eastAsia"/>
                <w:sz w:val="15"/>
                <w:szCs w:val="15"/>
              </w:rPr>
              <w:t xml:space="preserve">5.6864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8.95 </w:t>
            </w:r>
          </w:p>
        </w:tc>
        <w:tc>
          <w:tcPr>
            <w:tcW w:w="549" w:type="pct"/>
            <w:vAlign w:val="bottom"/>
          </w:tcPr>
          <w:p>
            <w:pPr>
              <w:pStyle w:val="42"/>
              <w:rPr>
                <w:sz w:val="15"/>
                <w:szCs w:val="15"/>
              </w:rPr>
            </w:pPr>
            <w:r>
              <w:rPr>
                <w:rFonts w:hint="eastAsia"/>
                <w:sz w:val="15"/>
                <w:szCs w:val="15"/>
              </w:rPr>
              <w:t xml:space="preserve">5.6864 </w:t>
            </w:r>
          </w:p>
        </w:tc>
        <w:tc>
          <w:tcPr>
            <w:tcW w:w="440" w:type="pct"/>
            <w:shd w:val="clear" w:color="auto" w:fill="auto"/>
            <w:vAlign w:val="bottom"/>
          </w:tcPr>
          <w:p>
            <w:pPr>
              <w:pStyle w:val="42"/>
              <w:rPr>
                <w:sz w:val="18"/>
                <w:szCs w:val="18"/>
              </w:rPr>
            </w:pPr>
            <w:r>
              <w:rPr>
                <w:rFonts w:hint="eastAsia"/>
                <w:sz w:val="18"/>
                <w:szCs w:val="18"/>
              </w:rPr>
              <w:t xml:space="preserve">13.43 </w:t>
            </w:r>
          </w:p>
        </w:tc>
        <w:tc>
          <w:tcPr>
            <w:tcW w:w="556" w:type="pct"/>
            <w:shd w:val="clear" w:color="auto" w:fill="auto"/>
            <w:vAlign w:val="bottom"/>
          </w:tcPr>
          <w:p>
            <w:pPr>
              <w:pStyle w:val="42"/>
              <w:rPr>
                <w:sz w:val="18"/>
                <w:szCs w:val="18"/>
              </w:rPr>
            </w:pPr>
            <w:r>
              <w:rPr>
                <w:rFonts w:hint="eastAsia"/>
                <w:sz w:val="18"/>
                <w:szCs w:val="18"/>
              </w:rPr>
              <w:t xml:space="preserve">7.5820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13.43 </w:t>
            </w:r>
          </w:p>
        </w:tc>
        <w:tc>
          <w:tcPr>
            <w:tcW w:w="557" w:type="pct"/>
            <w:vAlign w:val="bottom"/>
          </w:tcPr>
          <w:p>
            <w:pPr>
              <w:pStyle w:val="42"/>
              <w:rPr>
                <w:sz w:val="18"/>
                <w:szCs w:val="18"/>
              </w:rPr>
            </w:pPr>
            <w:r>
              <w:rPr>
                <w:rFonts w:hint="eastAsia"/>
                <w:sz w:val="18"/>
                <w:szCs w:val="18"/>
              </w:rPr>
              <w:t xml:space="preserve">7.5820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610</w:t>
            </w:r>
          </w:p>
        </w:tc>
        <w:tc>
          <w:tcPr>
            <w:tcW w:w="440" w:type="pct"/>
            <w:shd w:val="clear" w:color="auto" w:fill="auto"/>
            <w:vAlign w:val="bottom"/>
          </w:tcPr>
          <w:p>
            <w:pPr>
              <w:pStyle w:val="42"/>
              <w:rPr>
                <w:sz w:val="15"/>
                <w:szCs w:val="15"/>
              </w:rPr>
            </w:pPr>
            <w:r>
              <w:rPr>
                <w:rFonts w:hint="eastAsia"/>
                <w:sz w:val="15"/>
                <w:szCs w:val="15"/>
              </w:rPr>
              <w:t xml:space="preserve">9.31 </w:t>
            </w:r>
          </w:p>
        </w:tc>
        <w:tc>
          <w:tcPr>
            <w:tcW w:w="498" w:type="pct"/>
            <w:shd w:val="clear" w:color="auto" w:fill="auto"/>
            <w:vAlign w:val="bottom"/>
          </w:tcPr>
          <w:p>
            <w:pPr>
              <w:pStyle w:val="42"/>
              <w:rPr>
                <w:sz w:val="15"/>
                <w:szCs w:val="15"/>
              </w:rPr>
            </w:pPr>
            <w:r>
              <w:rPr>
                <w:rFonts w:hint="eastAsia"/>
                <w:sz w:val="15"/>
                <w:szCs w:val="15"/>
              </w:rPr>
              <w:t xml:space="preserve">4.8319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9.31 </w:t>
            </w:r>
          </w:p>
        </w:tc>
        <w:tc>
          <w:tcPr>
            <w:tcW w:w="549" w:type="pct"/>
            <w:vAlign w:val="bottom"/>
          </w:tcPr>
          <w:p>
            <w:pPr>
              <w:pStyle w:val="42"/>
              <w:rPr>
                <w:sz w:val="15"/>
                <w:szCs w:val="15"/>
              </w:rPr>
            </w:pPr>
            <w:r>
              <w:rPr>
                <w:rFonts w:hint="eastAsia"/>
                <w:sz w:val="15"/>
                <w:szCs w:val="15"/>
              </w:rPr>
              <w:t xml:space="preserve">4.8319 </w:t>
            </w:r>
          </w:p>
        </w:tc>
        <w:tc>
          <w:tcPr>
            <w:tcW w:w="440" w:type="pct"/>
            <w:shd w:val="clear" w:color="auto" w:fill="auto"/>
            <w:vAlign w:val="bottom"/>
          </w:tcPr>
          <w:p>
            <w:pPr>
              <w:pStyle w:val="42"/>
              <w:rPr>
                <w:sz w:val="18"/>
                <w:szCs w:val="18"/>
              </w:rPr>
            </w:pPr>
            <w:r>
              <w:rPr>
                <w:rFonts w:hint="eastAsia"/>
                <w:sz w:val="18"/>
                <w:szCs w:val="18"/>
              </w:rPr>
              <w:t xml:space="preserve">13.96 </w:t>
            </w:r>
          </w:p>
        </w:tc>
        <w:tc>
          <w:tcPr>
            <w:tcW w:w="556" w:type="pct"/>
            <w:shd w:val="clear" w:color="auto" w:fill="auto"/>
            <w:vAlign w:val="bottom"/>
          </w:tcPr>
          <w:p>
            <w:pPr>
              <w:pStyle w:val="42"/>
              <w:rPr>
                <w:sz w:val="18"/>
                <w:szCs w:val="18"/>
              </w:rPr>
            </w:pPr>
            <w:r>
              <w:rPr>
                <w:rFonts w:hint="eastAsia"/>
                <w:sz w:val="18"/>
                <w:szCs w:val="18"/>
              </w:rPr>
              <w:t xml:space="preserve">6.4240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13.96 </w:t>
            </w:r>
          </w:p>
        </w:tc>
        <w:tc>
          <w:tcPr>
            <w:tcW w:w="557" w:type="pct"/>
            <w:vAlign w:val="bottom"/>
          </w:tcPr>
          <w:p>
            <w:pPr>
              <w:pStyle w:val="42"/>
              <w:rPr>
                <w:sz w:val="18"/>
                <w:szCs w:val="18"/>
              </w:rPr>
            </w:pPr>
            <w:r>
              <w:rPr>
                <w:rFonts w:hint="eastAsia"/>
                <w:sz w:val="18"/>
                <w:szCs w:val="18"/>
              </w:rPr>
              <w:t xml:space="preserve">6.4240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660</w:t>
            </w:r>
          </w:p>
        </w:tc>
        <w:tc>
          <w:tcPr>
            <w:tcW w:w="440" w:type="pct"/>
            <w:shd w:val="clear" w:color="auto" w:fill="auto"/>
            <w:vAlign w:val="bottom"/>
          </w:tcPr>
          <w:p>
            <w:pPr>
              <w:pStyle w:val="42"/>
              <w:rPr>
                <w:sz w:val="15"/>
                <w:szCs w:val="15"/>
              </w:rPr>
            </w:pPr>
            <w:r>
              <w:rPr>
                <w:rFonts w:hint="eastAsia"/>
                <w:sz w:val="15"/>
                <w:szCs w:val="15"/>
              </w:rPr>
              <w:t xml:space="preserve">9.66 </w:t>
            </w:r>
          </w:p>
        </w:tc>
        <w:tc>
          <w:tcPr>
            <w:tcW w:w="498" w:type="pct"/>
            <w:shd w:val="clear" w:color="auto" w:fill="auto"/>
            <w:vAlign w:val="bottom"/>
          </w:tcPr>
          <w:p>
            <w:pPr>
              <w:pStyle w:val="42"/>
              <w:rPr>
                <w:sz w:val="15"/>
                <w:szCs w:val="15"/>
              </w:rPr>
            </w:pPr>
            <w:r>
              <w:rPr>
                <w:rFonts w:hint="eastAsia"/>
                <w:sz w:val="15"/>
                <w:szCs w:val="15"/>
              </w:rPr>
              <w:t xml:space="preserve">4.1551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9.66 </w:t>
            </w:r>
          </w:p>
        </w:tc>
        <w:tc>
          <w:tcPr>
            <w:tcW w:w="549" w:type="pct"/>
            <w:vAlign w:val="bottom"/>
          </w:tcPr>
          <w:p>
            <w:pPr>
              <w:pStyle w:val="42"/>
              <w:rPr>
                <w:sz w:val="15"/>
                <w:szCs w:val="15"/>
              </w:rPr>
            </w:pPr>
            <w:r>
              <w:rPr>
                <w:rFonts w:hint="eastAsia"/>
                <w:sz w:val="15"/>
                <w:szCs w:val="15"/>
              </w:rPr>
              <w:t xml:space="preserve">4.1551 </w:t>
            </w:r>
          </w:p>
        </w:tc>
        <w:tc>
          <w:tcPr>
            <w:tcW w:w="440" w:type="pct"/>
            <w:shd w:val="clear" w:color="auto" w:fill="auto"/>
            <w:vAlign w:val="bottom"/>
          </w:tcPr>
          <w:p>
            <w:pPr>
              <w:pStyle w:val="42"/>
              <w:rPr>
                <w:sz w:val="18"/>
                <w:szCs w:val="18"/>
              </w:rPr>
            </w:pPr>
            <w:r>
              <w:rPr>
                <w:rFonts w:hint="eastAsia"/>
                <w:sz w:val="18"/>
                <w:szCs w:val="18"/>
              </w:rPr>
              <w:t xml:space="preserve">14.50 </w:t>
            </w:r>
          </w:p>
        </w:tc>
        <w:tc>
          <w:tcPr>
            <w:tcW w:w="556" w:type="pct"/>
            <w:shd w:val="clear" w:color="auto" w:fill="auto"/>
            <w:vAlign w:val="bottom"/>
          </w:tcPr>
          <w:p>
            <w:pPr>
              <w:pStyle w:val="42"/>
              <w:rPr>
                <w:sz w:val="18"/>
                <w:szCs w:val="18"/>
              </w:rPr>
            </w:pPr>
            <w:r>
              <w:rPr>
                <w:rFonts w:hint="eastAsia"/>
                <w:sz w:val="18"/>
                <w:szCs w:val="18"/>
              </w:rPr>
              <w:t xml:space="preserve">5.5019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14.50 </w:t>
            </w:r>
          </w:p>
        </w:tc>
        <w:tc>
          <w:tcPr>
            <w:tcW w:w="557" w:type="pct"/>
            <w:vAlign w:val="bottom"/>
          </w:tcPr>
          <w:p>
            <w:pPr>
              <w:pStyle w:val="42"/>
              <w:rPr>
                <w:sz w:val="18"/>
                <w:szCs w:val="18"/>
              </w:rPr>
            </w:pPr>
            <w:r>
              <w:rPr>
                <w:rFonts w:hint="eastAsia"/>
                <w:sz w:val="18"/>
                <w:szCs w:val="18"/>
              </w:rPr>
              <w:t xml:space="preserve">5.5019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710</w:t>
            </w:r>
          </w:p>
        </w:tc>
        <w:tc>
          <w:tcPr>
            <w:tcW w:w="440" w:type="pct"/>
            <w:shd w:val="clear" w:color="auto" w:fill="auto"/>
            <w:vAlign w:val="bottom"/>
          </w:tcPr>
          <w:p>
            <w:pPr>
              <w:pStyle w:val="42"/>
              <w:rPr>
                <w:sz w:val="15"/>
                <w:szCs w:val="15"/>
              </w:rPr>
            </w:pPr>
            <w:r>
              <w:rPr>
                <w:rFonts w:hint="eastAsia"/>
                <w:sz w:val="15"/>
                <w:szCs w:val="15"/>
              </w:rPr>
              <w:t xml:space="preserve">10.01 </w:t>
            </w:r>
          </w:p>
        </w:tc>
        <w:tc>
          <w:tcPr>
            <w:tcW w:w="498" w:type="pct"/>
            <w:shd w:val="clear" w:color="auto" w:fill="auto"/>
            <w:vAlign w:val="bottom"/>
          </w:tcPr>
          <w:p>
            <w:pPr>
              <w:pStyle w:val="42"/>
              <w:rPr>
                <w:sz w:val="15"/>
                <w:szCs w:val="15"/>
              </w:rPr>
            </w:pPr>
            <w:r>
              <w:rPr>
                <w:rFonts w:hint="eastAsia"/>
                <w:sz w:val="15"/>
                <w:szCs w:val="15"/>
              </w:rPr>
              <w:t xml:space="preserve">3.6311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10.01 </w:t>
            </w:r>
          </w:p>
        </w:tc>
        <w:tc>
          <w:tcPr>
            <w:tcW w:w="549" w:type="pct"/>
            <w:vAlign w:val="bottom"/>
          </w:tcPr>
          <w:p>
            <w:pPr>
              <w:pStyle w:val="42"/>
              <w:rPr>
                <w:sz w:val="15"/>
                <w:szCs w:val="15"/>
              </w:rPr>
            </w:pPr>
            <w:r>
              <w:rPr>
                <w:rFonts w:hint="eastAsia"/>
                <w:sz w:val="15"/>
                <w:szCs w:val="15"/>
              </w:rPr>
              <w:t xml:space="preserve">3.6311 </w:t>
            </w:r>
          </w:p>
        </w:tc>
        <w:tc>
          <w:tcPr>
            <w:tcW w:w="440" w:type="pct"/>
            <w:shd w:val="clear" w:color="auto" w:fill="auto"/>
            <w:vAlign w:val="bottom"/>
          </w:tcPr>
          <w:p>
            <w:pPr>
              <w:pStyle w:val="42"/>
              <w:rPr>
                <w:sz w:val="18"/>
                <w:szCs w:val="18"/>
              </w:rPr>
            </w:pPr>
            <w:r>
              <w:rPr>
                <w:rFonts w:hint="eastAsia"/>
                <w:sz w:val="18"/>
                <w:szCs w:val="18"/>
              </w:rPr>
              <w:t xml:space="preserve">15.02 </w:t>
            </w:r>
          </w:p>
        </w:tc>
        <w:tc>
          <w:tcPr>
            <w:tcW w:w="556" w:type="pct"/>
            <w:shd w:val="clear" w:color="auto" w:fill="auto"/>
            <w:vAlign w:val="bottom"/>
          </w:tcPr>
          <w:p>
            <w:pPr>
              <w:pStyle w:val="42"/>
              <w:rPr>
                <w:sz w:val="18"/>
                <w:szCs w:val="18"/>
              </w:rPr>
            </w:pPr>
            <w:r>
              <w:rPr>
                <w:rFonts w:hint="eastAsia"/>
                <w:sz w:val="18"/>
                <w:szCs w:val="18"/>
              </w:rPr>
              <w:t xml:space="preserve">4.7785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15.02 </w:t>
            </w:r>
          </w:p>
        </w:tc>
        <w:tc>
          <w:tcPr>
            <w:tcW w:w="557" w:type="pct"/>
            <w:vAlign w:val="bottom"/>
          </w:tcPr>
          <w:p>
            <w:pPr>
              <w:pStyle w:val="42"/>
              <w:rPr>
                <w:sz w:val="18"/>
                <w:szCs w:val="18"/>
              </w:rPr>
            </w:pPr>
            <w:r>
              <w:rPr>
                <w:rFonts w:hint="eastAsia"/>
                <w:sz w:val="18"/>
                <w:szCs w:val="18"/>
              </w:rPr>
              <w:t xml:space="preserve">4.7785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760</w:t>
            </w:r>
          </w:p>
        </w:tc>
        <w:tc>
          <w:tcPr>
            <w:tcW w:w="440" w:type="pct"/>
            <w:shd w:val="clear" w:color="auto" w:fill="auto"/>
            <w:vAlign w:val="bottom"/>
          </w:tcPr>
          <w:p>
            <w:pPr>
              <w:pStyle w:val="42"/>
              <w:rPr>
                <w:sz w:val="15"/>
                <w:szCs w:val="15"/>
              </w:rPr>
            </w:pPr>
            <w:r>
              <w:rPr>
                <w:rFonts w:hint="eastAsia"/>
                <w:sz w:val="15"/>
                <w:szCs w:val="15"/>
              </w:rPr>
              <w:t xml:space="preserve">10.37 </w:t>
            </w:r>
          </w:p>
        </w:tc>
        <w:tc>
          <w:tcPr>
            <w:tcW w:w="498" w:type="pct"/>
            <w:shd w:val="clear" w:color="auto" w:fill="auto"/>
            <w:vAlign w:val="bottom"/>
          </w:tcPr>
          <w:p>
            <w:pPr>
              <w:pStyle w:val="42"/>
              <w:rPr>
                <w:sz w:val="15"/>
                <w:szCs w:val="15"/>
              </w:rPr>
            </w:pPr>
            <w:r>
              <w:rPr>
                <w:rFonts w:hint="eastAsia"/>
                <w:sz w:val="15"/>
                <w:szCs w:val="15"/>
              </w:rPr>
              <w:t xml:space="preserve">3.1624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10.37 </w:t>
            </w:r>
          </w:p>
        </w:tc>
        <w:tc>
          <w:tcPr>
            <w:tcW w:w="549" w:type="pct"/>
            <w:vAlign w:val="bottom"/>
          </w:tcPr>
          <w:p>
            <w:pPr>
              <w:pStyle w:val="42"/>
              <w:rPr>
                <w:sz w:val="15"/>
                <w:szCs w:val="15"/>
              </w:rPr>
            </w:pPr>
            <w:r>
              <w:rPr>
                <w:rFonts w:hint="eastAsia"/>
                <w:sz w:val="15"/>
                <w:szCs w:val="15"/>
              </w:rPr>
              <w:t xml:space="preserve">3.1624 </w:t>
            </w:r>
          </w:p>
        </w:tc>
        <w:tc>
          <w:tcPr>
            <w:tcW w:w="440" w:type="pct"/>
            <w:shd w:val="clear" w:color="auto" w:fill="auto"/>
            <w:vAlign w:val="bottom"/>
          </w:tcPr>
          <w:p>
            <w:pPr>
              <w:pStyle w:val="42"/>
              <w:rPr>
                <w:sz w:val="18"/>
                <w:szCs w:val="18"/>
              </w:rPr>
            </w:pPr>
            <w:r>
              <w:rPr>
                <w:rFonts w:hint="eastAsia"/>
                <w:sz w:val="18"/>
                <w:szCs w:val="18"/>
              </w:rPr>
              <w:t xml:space="preserve">15.52 </w:t>
            </w:r>
          </w:p>
        </w:tc>
        <w:tc>
          <w:tcPr>
            <w:tcW w:w="556" w:type="pct"/>
            <w:shd w:val="clear" w:color="auto" w:fill="auto"/>
            <w:vAlign w:val="bottom"/>
          </w:tcPr>
          <w:p>
            <w:pPr>
              <w:pStyle w:val="42"/>
              <w:rPr>
                <w:sz w:val="18"/>
                <w:szCs w:val="18"/>
              </w:rPr>
            </w:pPr>
            <w:r>
              <w:rPr>
                <w:rFonts w:hint="eastAsia"/>
                <w:sz w:val="18"/>
                <w:szCs w:val="18"/>
              </w:rPr>
              <w:t xml:space="preserve">4.1191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15.52 </w:t>
            </w:r>
          </w:p>
        </w:tc>
        <w:tc>
          <w:tcPr>
            <w:tcW w:w="557" w:type="pct"/>
            <w:vAlign w:val="bottom"/>
          </w:tcPr>
          <w:p>
            <w:pPr>
              <w:pStyle w:val="42"/>
              <w:rPr>
                <w:sz w:val="18"/>
                <w:szCs w:val="18"/>
              </w:rPr>
            </w:pPr>
            <w:r>
              <w:rPr>
                <w:rFonts w:hint="eastAsia"/>
                <w:sz w:val="18"/>
                <w:szCs w:val="18"/>
              </w:rPr>
              <w:t xml:space="preserve">4.1191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810</w:t>
            </w:r>
          </w:p>
        </w:tc>
        <w:tc>
          <w:tcPr>
            <w:tcW w:w="440" w:type="pct"/>
            <w:shd w:val="clear" w:color="auto" w:fill="auto"/>
            <w:vAlign w:val="bottom"/>
          </w:tcPr>
          <w:p>
            <w:pPr>
              <w:pStyle w:val="42"/>
              <w:rPr>
                <w:sz w:val="15"/>
                <w:szCs w:val="15"/>
              </w:rPr>
            </w:pPr>
            <w:r>
              <w:rPr>
                <w:rFonts w:hint="eastAsia"/>
                <w:sz w:val="15"/>
                <w:szCs w:val="15"/>
              </w:rPr>
              <w:t xml:space="preserve">10.72 </w:t>
            </w:r>
          </w:p>
        </w:tc>
        <w:tc>
          <w:tcPr>
            <w:tcW w:w="498" w:type="pct"/>
            <w:shd w:val="clear" w:color="auto" w:fill="auto"/>
            <w:vAlign w:val="bottom"/>
          </w:tcPr>
          <w:p>
            <w:pPr>
              <w:pStyle w:val="42"/>
              <w:rPr>
                <w:sz w:val="15"/>
                <w:szCs w:val="15"/>
              </w:rPr>
            </w:pPr>
            <w:r>
              <w:rPr>
                <w:rFonts w:hint="eastAsia"/>
                <w:sz w:val="15"/>
                <w:szCs w:val="15"/>
              </w:rPr>
              <w:t xml:space="preserve">2.7757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10.72 </w:t>
            </w:r>
          </w:p>
        </w:tc>
        <w:tc>
          <w:tcPr>
            <w:tcW w:w="549" w:type="pct"/>
            <w:vAlign w:val="bottom"/>
          </w:tcPr>
          <w:p>
            <w:pPr>
              <w:pStyle w:val="42"/>
              <w:rPr>
                <w:sz w:val="15"/>
                <w:szCs w:val="15"/>
              </w:rPr>
            </w:pPr>
            <w:r>
              <w:rPr>
                <w:rFonts w:hint="eastAsia"/>
                <w:sz w:val="15"/>
                <w:szCs w:val="15"/>
              </w:rPr>
              <w:t xml:space="preserve">2.7757 </w:t>
            </w:r>
          </w:p>
        </w:tc>
        <w:tc>
          <w:tcPr>
            <w:tcW w:w="440" w:type="pct"/>
            <w:shd w:val="clear" w:color="auto" w:fill="auto"/>
            <w:vAlign w:val="bottom"/>
          </w:tcPr>
          <w:p>
            <w:pPr>
              <w:pStyle w:val="42"/>
              <w:rPr>
                <w:sz w:val="18"/>
                <w:szCs w:val="18"/>
              </w:rPr>
            </w:pPr>
            <w:r>
              <w:rPr>
                <w:rFonts w:hint="eastAsia"/>
                <w:sz w:val="18"/>
                <w:szCs w:val="18"/>
              </w:rPr>
              <w:t xml:space="preserve">16.00 </w:t>
            </w:r>
          </w:p>
        </w:tc>
        <w:tc>
          <w:tcPr>
            <w:tcW w:w="556" w:type="pct"/>
            <w:shd w:val="clear" w:color="auto" w:fill="auto"/>
            <w:vAlign w:val="bottom"/>
          </w:tcPr>
          <w:p>
            <w:pPr>
              <w:pStyle w:val="42"/>
              <w:rPr>
                <w:sz w:val="18"/>
                <w:szCs w:val="18"/>
              </w:rPr>
            </w:pPr>
            <w:r>
              <w:rPr>
                <w:rFonts w:hint="eastAsia"/>
                <w:sz w:val="18"/>
                <w:szCs w:val="18"/>
              </w:rPr>
              <w:t xml:space="preserve">3.5691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16.00 </w:t>
            </w:r>
          </w:p>
        </w:tc>
        <w:tc>
          <w:tcPr>
            <w:tcW w:w="557" w:type="pct"/>
            <w:vAlign w:val="bottom"/>
          </w:tcPr>
          <w:p>
            <w:pPr>
              <w:pStyle w:val="42"/>
              <w:rPr>
                <w:sz w:val="18"/>
                <w:szCs w:val="18"/>
              </w:rPr>
            </w:pPr>
            <w:r>
              <w:rPr>
                <w:rFonts w:hint="eastAsia"/>
                <w:sz w:val="18"/>
                <w:szCs w:val="18"/>
              </w:rPr>
              <w:t xml:space="preserve">3.5691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860</w:t>
            </w:r>
          </w:p>
        </w:tc>
        <w:tc>
          <w:tcPr>
            <w:tcW w:w="440" w:type="pct"/>
            <w:shd w:val="clear" w:color="auto" w:fill="auto"/>
            <w:vAlign w:val="bottom"/>
          </w:tcPr>
          <w:p>
            <w:pPr>
              <w:pStyle w:val="42"/>
              <w:rPr>
                <w:sz w:val="15"/>
                <w:szCs w:val="15"/>
              </w:rPr>
            </w:pPr>
            <w:r>
              <w:rPr>
                <w:rFonts w:hint="eastAsia"/>
                <w:sz w:val="15"/>
                <w:szCs w:val="15"/>
              </w:rPr>
              <w:t xml:space="preserve">11.07 </w:t>
            </w:r>
          </w:p>
        </w:tc>
        <w:tc>
          <w:tcPr>
            <w:tcW w:w="498" w:type="pct"/>
            <w:shd w:val="clear" w:color="auto" w:fill="auto"/>
            <w:vAlign w:val="bottom"/>
          </w:tcPr>
          <w:p>
            <w:pPr>
              <w:pStyle w:val="42"/>
              <w:rPr>
                <w:sz w:val="15"/>
                <w:szCs w:val="15"/>
              </w:rPr>
            </w:pPr>
            <w:r>
              <w:rPr>
                <w:rFonts w:hint="eastAsia"/>
                <w:sz w:val="15"/>
                <w:szCs w:val="15"/>
              </w:rPr>
              <w:t xml:space="preserve">2.4577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11.07 </w:t>
            </w:r>
          </w:p>
        </w:tc>
        <w:tc>
          <w:tcPr>
            <w:tcW w:w="549" w:type="pct"/>
            <w:vAlign w:val="bottom"/>
          </w:tcPr>
          <w:p>
            <w:pPr>
              <w:pStyle w:val="42"/>
              <w:rPr>
                <w:sz w:val="15"/>
                <w:szCs w:val="15"/>
              </w:rPr>
            </w:pPr>
            <w:r>
              <w:rPr>
                <w:rFonts w:hint="eastAsia"/>
                <w:sz w:val="15"/>
                <w:szCs w:val="15"/>
              </w:rPr>
              <w:t xml:space="preserve">2.4577 </w:t>
            </w:r>
          </w:p>
        </w:tc>
        <w:tc>
          <w:tcPr>
            <w:tcW w:w="440" w:type="pct"/>
            <w:shd w:val="clear" w:color="auto" w:fill="auto"/>
            <w:vAlign w:val="bottom"/>
          </w:tcPr>
          <w:p>
            <w:pPr>
              <w:pStyle w:val="42"/>
              <w:rPr>
                <w:sz w:val="18"/>
                <w:szCs w:val="18"/>
              </w:rPr>
            </w:pPr>
            <w:r>
              <w:rPr>
                <w:rFonts w:hint="eastAsia"/>
                <w:sz w:val="18"/>
                <w:szCs w:val="18"/>
              </w:rPr>
              <w:t xml:space="preserve">16.48 </w:t>
            </w:r>
          </w:p>
        </w:tc>
        <w:tc>
          <w:tcPr>
            <w:tcW w:w="556" w:type="pct"/>
            <w:shd w:val="clear" w:color="auto" w:fill="auto"/>
            <w:vAlign w:val="bottom"/>
          </w:tcPr>
          <w:p>
            <w:pPr>
              <w:pStyle w:val="42"/>
              <w:rPr>
                <w:sz w:val="18"/>
                <w:szCs w:val="18"/>
              </w:rPr>
            </w:pPr>
            <w:r>
              <w:rPr>
                <w:rFonts w:hint="eastAsia"/>
                <w:sz w:val="18"/>
                <w:szCs w:val="18"/>
              </w:rPr>
              <w:t xml:space="preserve">3.1162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16.48 </w:t>
            </w:r>
          </w:p>
        </w:tc>
        <w:tc>
          <w:tcPr>
            <w:tcW w:w="557" w:type="pct"/>
            <w:vAlign w:val="bottom"/>
          </w:tcPr>
          <w:p>
            <w:pPr>
              <w:pStyle w:val="42"/>
              <w:rPr>
                <w:sz w:val="18"/>
                <w:szCs w:val="18"/>
              </w:rPr>
            </w:pPr>
            <w:r>
              <w:rPr>
                <w:rFonts w:hint="eastAsia"/>
                <w:sz w:val="18"/>
                <w:szCs w:val="18"/>
              </w:rPr>
              <w:t xml:space="preserve">3.1162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910</w:t>
            </w:r>
          </w:p>
        </w:tc>
        <w:tc>
          <w:tcPr>
            <w:tcW w:w="440" w:type="pct"/>
            <w:shd w:val="clear" w:color="auto" w:fill="auto"/>
            <w:vAlign w:val="bottom"/>
          </w:tcPr>
          <w:p>
            <w:pPr>
              <w:pStyle w:val="42"/>
              <w:rPr>
                <w:sz w:val="15"/>
                <w:szCs w:val="15"/>
              </w:rPr>
            </w:pPr>
            <w:r>
              <w:rPr>
                <w:rFonts w:hint="eastAsia"/>
                <w:sz w:val="15"/>
                <w:szCs w:val="15"/>
              </w:rPr>
              <w:t xml:space="preserve">12.42 </w:t>
            </w:r>
          </w:p>
        </w:tc>
        <w:tc>
          <w:tcPr>
            <w:tcW w:w="498" w:type="pct"/>
            <w:shd w:val="clear" w:color="auto" w:fill="auto"/>
            <w:vAlign w:val="bottom"/>
          </w:tcPr>
          <w:p>
            <w:pPr>
              <w:pStyle w:val="42"/>
              <w:rPr>
                <w:sz w:val="15"/>
                <w:szCs w:val="15"/>
              </w:rPr>
            </w:pPr>
            <w:r>
              <w:rPr>
                <w:rFonts w:hint="eastAsia"/>
                <w:sz w:val="15"/>
                <w:szCs w:val="15"/>
              </w:rPr>
              <w:t xml:space="preserve">2.1861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11.42 </w:t>
            </w:r>
          </w:p>
        </w:tc>
        <w:tc>
          <w:tcPr>
            <w:tcW w:w="549" w:type="pct"/>
            <w:vAlign w:val="bottom"/>
          </w:tcPr>
          <w:p>
            <w:pPr>
              <w:pStyle w:val="42"/>
              <w:rPr>
                <w:sz w:val="15"/>
                <w:szCs w:val="15"/>
              </w:rPr>
            </w:pPr>
            <w:r>
              <w:rPr>
                <w:rFonts w:hint="eastAsia"/>
                <w:sz w:val="15"/>
                <w:szCs w:val="15"/>
              </w:rPr>
              <w:t xml:space="preserve">2.1861 </w:t>
            </w:r>
          </w:p>
        </w:tc>
        <w:tc>
          <w:tcPr>
            <w:tcW w:w="440" w:type="pct"/>
            <w:shd w:val="clear" w:color="auto" w:fill="auto"/>
            <w:vAlign w:val="bottom"/>
          </w:tcPr>
          <w:p>
            <w:pPr>
              <w:pStyle w:val="42"/>
              <w:rPr>
                <w:sz w:val="18"/>
                <w:szCs w:val="18"/>
              </w:rPr>
            </w:pPr>
            <w:r>
              <w:rPr>
                <w:rFonts w:hint="eastAsia"/>
                <w:sz w:val="18"/>
                <w:szCs w:val="18"/>
              </w:rPr>
              <w:t xml:space="preserve">16.96 </w:t>
            </w:r>
          </w:p>
        </w:tc>
        <w:tc>
          <w:tcPr>
            <w:tcW w:w="556" w:type="pct"/>
            <w:shd w:val="clear" w:color="auto" w:fill="auto"/>
            <w:vAlign w:val="bottom"/>
          </w:tcPr>
          <w:p>
            <w:pPr>
              <w:pStyle w:val="42"/>
              <w:rPr>
                <w:sz w:val="18"/>
                <w:szCs w:val="18"/>
              </w:rPr>
            </w:pPr>
            <w:r>
              <w:rPr>
                <w:rFonts w:hint="eastAsia"/>
                <w:sz w:val="18"/>
                <w:szCs w:val="18"/>
              </w:rPr>
              <w:t xml:space="preserve">2.7505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16.96 </w:t>
            </w:r>
          </w:p>
        </w:tc>
        <w:tc>
          <w:tcPr>
            <w:tcW w:w="557" w:type="pct"/>
            <w:vAlign w:val="bottom"/>
          </w:tcPr>
          <w:p>
            <w:pPr>
              <w:pStyle w:val="42"/>
              <w:rPr>
                <w:sz w:val="18"/>
                <w:szCs w:val="18"/>
              </w:rPr>
            </w:pPr>
            <w:r>
              <w:rPr>
                <w:rFonts w:hint="eastAsia"/>
                <w:sz w:val="18"/>
                <w:szCs w:val="18"/>
              </w:rPr>
              <w:t xml:space="preserve">2.7505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960</w:t>
            </w:r>
          </w:p>
        </w:tc>
        <w:tc>
          <w:tcPr>
            <w:tcW w:w="440" w:type="pct"/>
            <w:shd w:val="clear" w:color="auto" w:fill="auto"/>
            <w:vAlign w:val="bottom"/>
          </w:tcPr>
          <w:p>
            <w:pPr>
              <w:pStyle w:val="42"/>
              <w:rPr>
                <w:sz w:val="15"/>
                <w:szCs w:val="15"/>
              </w:rPr>
            </w:pPr>
            <w:r>
              <w:rPr>
                <w:rFonts w:hint="eastAsia"/>
                <w:sz w:val="15"/>
                <w:szCs w:val="15"/>
              </w:rPr>
              <w:t xml:space="preserve">12.77 </w:t>
            </w:r>
          </w:p>
        </w:tc>
        <w:tc>
          <w:tcPr>
            <w:tcW w:w="498" w:type="pct"/>
            <w:shd w:val="clear" w:color="auto" w:fill="auto"/>
            <w:vAlign w:val="bottom"/>
          </w:tcPr>
          <w:p>
            <w:pPr>
              <w:pStyle w:val="42"/>
              <w:rPr>
                <w:sz w:val="15"/>
                <w:szCs w:val="15"/>
              </w:rPr>
            </w:pPr>
            <w:r>
              <w:rPr>
                <w:rFonts w:hint="eastAsia"/>
                <w:sz w:val="15"/>
                <w:szCs w:val="15"/>
              </w:rPr>
              <w:t xml:space="preserve">1.9613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11.77 </w:t>
            </w:r>
          </w:p>
        </w:tc>
        <w:tc>
          <w:tcPr>
            <w:tcW w:w="549" w:type="pct"/>
            <w:vAlign w:val="bottom"/>
          </w:tcPr>
          <w:p>
            <w:pPr>
              <w:pStyle w:val="42"/>
              <w:rPr>
                <w:sz w:val="15"/>
                <w:szCs w:val="15"/>
              </w:rPr>
            </w:pPr>
            <w:r>
              <w:rPr>
                <w:rFonts w:hint="eastAsia"/>
                <w:sz w:val="15"/>
                <w:szCs w:val="15"/>
              </w:rPr>
              <w:t xml:space="preserve">1.9613 </w:t>
            </w:r>
          </w:p>
        </w:tc>
        <w:tc>
          <w:tcPr>
            <w:tcW w:w="440" w:type="pct"/>
            <w:shd w:val="clear" w:color="auto" w:fill="auto"/>
            <w:vAlign w:val="bottom"/>
          </w:tcPr>
          <w:p>
            <w:pPr>
              <w:pStyle w:val="42"/>
              <w:rPr>
                <w:sz w:val="18"/>
                <w:szCs w:val="18"/>
              </w:rPr>
            </w:pPr>
            <w:r>
              <w:rPr>
                <w:rFonts w:hint="eastAsia"/>
                <w:sz w:val="18"/>
                <w:szCs w:val="18"/>
              </w:rPr>
              <w:t xml:space="preserve">17.44 </w:t>
            </w:r>
          </w:p>
        </w:tc>
        <w:tc>
          <w:tcPr>
            <w:tcW w:w="556" w:type="pct"/>
            <w:shd w:val="clear" w:color="auto" w:fill="auto"/>
            <w:vAlign w:val="bottom"/>
          </w:tcPr>
          <w:p>
            <w:pPr>
              <w:pStyle w:val="42"/>
              <w:rPr>
                <w:sz w:val="18"/>
                <w:szCs w:val="18"/>
              </w:rPr>
            </w:pPr>
            <w:r>
              <w:rPr>
                <w:rFonts w:hint="eastAsia"/>
                <w:sz w:val="18"/>
                <w:szCs w:val="18"/>
              </w:rPr>
              <w:t xml:space="preserve">2.4566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17.44 </w:t>
            </w:r>
          </w:p>
        </w:tc>
        <w:tc>
          <w:tcPr>
            <w:tcW w:w="557" w:type="pct"/>
            <w:vAlign w:val="bottom"/>
          </w:tcPr>
          <w:p>
            <w:pPr>
              <w:pStyle w:val="42"/>
              <w:rPr>
                <w:sz w:val="18"/>
                <w:szCs w:val="18"/>
              </w:rPr>
            </w:pPr>
            <w:r>
              <w:rPr>
                <w:rFonts w:hint="eastAsia"/>
                <w:sz w:val="18"/>
                <w:szCs w:val="18"/>
              </w:rPr>
              <w:t xml:space="preserve">2.4566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1010</w:t>
            </w:r>
          </w:p>
        </w:tc>
        <w:tc>
          <w:tcPr>
            <w:tcW w:w="440" w:type="pct"/>
            <w:shd w:val="clear" w:color="auto" w:fill="auto"/>
            <w:vAlign w:val="bottom"/>
          </w:tcPr>
          <w:p>
            <w:pPr>
              <w:pStyle w:val="42"/>
              <w:rPr>
                <w:sz w:val="15"/>
                <w:szCs w:val="15"/>
              </w:rPr>
            </w:pPr>
            <w:r>
              <w:rPr>
                <w:rFonts w:hint="eastAsia"/>
                <w:sz w:val="15"/>
                <w:szCs w:val="15"/>
              </w:rPr>
              <w:t xml:space="preserve">13.12 </w:t>
            </w:r>
          </w:p>
        </w:tc>
        <w:tc>
          <w:tcPr>
            <w:tcW w:w="498" w:type="pct"/>
            <w:shd w:val="clear" w:color="auto" w:fill="auto"/>
            <w:vAlign w:val="bottom"/>
          </w:tcPr>
          <w:p>
            <w:pPr>
              <w:pStyle w:val="42"/>
              <w:rPr>
                <w:sz w:val="15"/>
                <w:szCs w:val="15"/>
              </w:rPr>
            </w:pPr>
            <w:r>
              <w:rPr>
                <w:rFonts w:hint="eastAsia"/>
                <w:sz w:val="15"/>
                <w:szCs w:val="15"/>
              </w:rPr>
              <w:t xml:space="preserve">1.7755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12.12 </w:t>
            </w:r>
          </w:p>
        </w:tc>
        <w:tc>
          <w:tcPr>
            <w:tcW w:w="549" w:type="pct"/>
            <w:vAlign w:val="bottom"/>
          </w:tcPr>
          <w:p>
            <w:pPr>
              <w:pStyle w:val="42"/>
              <w:rPr>
                <w:sz w:val="15"/>
                <w:szCs w:val="15"/>
              </w:rPr>
            </w:pPr>
            <w:r>
              <w:rPr>
                <w:rFonts w:hint="eastAsia"/>
                <w:sz w:val="15"/>
                <w:szCs w:val="15"/>
              </w:rPr>
              <w:t xml:space="preserve">1.7755 </w:t>
            </w:r>
          </w:p>
        </w:tc>
        <w:tc>
          <w:tcPr>
            <w:tcW w:w="440" w:type="pct"/>
            <w:shd w:val="clear" w:color="auto" w:fill="auto"/>
            <w:vAlign w:val="bottom"/>
          </w:tcPr>
          <w:p>
            <w:pPr>
              <w:pStyle w:val="42"/>
              <w:rPr>
                <w:sz w:val="18"/>
                <w:szCs w:val="18"/>
              </w:rPr>
            </w:pPr>
            <w:r>
              <w:rPr>
                <w:rFonts w:hint="eastAsia"/>
                <w:sz w:val="18"/>
                <w:szCs w:val="18"/>
              </w:rPr>
              <w:t xml:space="preserve">17.92 </w:t>
            </w:r>
          </w:p>
        </w:tc>
        <w:tc>
          <w:tcPr>
            <w:tcW w:w="556" w:type="pct"/>
            <w:shd w:val="clear" w:color="auto" w:fill="auto"/>
            <w:vAlign w:val="bottom"/>
          </w:tcPr>
          <w:p>
            <w:pPr>
              <w:pStyle w:val="42"/>
              <w:rPr>
                <w:sz w:val="18"/>
                <w:szCs w:val="18"/>
              </w:rPr>
            </w:pPr>
            <w:r>
              <w:rPr>
                <w:rFonts w:hint="eastAsia"/>
                <w:sz w:val="18"/>
                <w:szCs w:val="18"/>
              </w:rPr>
              <w:t xml:space="preserve">2.2208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17.92 </w:t>
            </w:r>
          </w:p>
        </w:tc>
        <w:tc>
          <w:tcPr>
            <w:tcW w:w="557" w:type="pct"/>
            <w:vAlign w:val="bottom"/>
          </w:tcPr>
          <w:p>
            <w:pPr>
              <w:pStyle w:val="42"/>
              <w:rPr>
                <w:sz w:val="18"/>
                <w:szCs w:val="18"/>
              </w:rPr>
            </w:pPr>
            <w:r>
              <w:rPr>
                <w:rFonts w:hint="eastAsia"/>
                <w:sz w:val="18"/>
                <w:szCs w:val="18"/>
              </w:rPr>
              <w:t xml:space="preserve">2.2208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1510</w:t>
            </w:r>
          </w:p>
        </w:tc>
        <w:tc>
          <w:tcPr>
            <w:tcW w:w="440" w:type="pct"/>
            <w:shd w:val="clear" w:color="auto" w:fill="auto"/>
            <w:vAlign w:val="bottom"/>
          </w:tcPr>
          <w:p>
            <w:pPr>
              <w:pStyle w:val="42"/>
              <w:rPr>
                <w:sz w:val="15"/>
                <w:szCs w:val="15"/>
              </w:rPr>
            </w:pPr>
            <w:r>
              <w:rPr>
                <w:rFonts w:hint="eastAsia"/>
                <w:sz w:val="15"/>
                <w:szCs w:val="15"/>
              </w:rPr>
              <w:t xml:space="preserve">15.55 </w:t>
            </w:r>
          </w:p>
        </w:tc>
        <w:tc>
          <w:tcPr>
            <w:tcW w:w="498" w:type="pct"/>
            <w:shd w:val="clear" w:color="auto" w:fill="auto"/>
            <w:vAlign w:val="bottom"/>
          </w:tcPr>
          <w:p>
            <w:pPr>
              <w:pStyle w:val="42"/>
              <w:rPr>
                <w:sz w:val="15"/>
                <w:szCs w:val="15"/>
              </w:rPr>
            </w:pPr>
            <w:r>
              <w:rPr>
                <w:rFonts w:hint="eastAsia"/>
                <w:sz w:val="15"/>
                <w:szCs w:val="15"/>
              </w:rPr>
              <w:t xml:space="preserve">0.8055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15.55 </w:t>
            </w:r>
          </w:p>
        </w:tc>
        <w:tc>
          <w:tcPr>
            <w:tcW w:w="549" w:type="pct"/>
            <w:vAlign w:val="bottom"/>
          </w:tcPr>
          <w:p>
            <w:pPr>
              <w:pStyle w:val="42"/>
              <w:rPr>
                <w:sz w:val="15"/>
                <w:szCs w:val="15"/>
              </w:rPr>
            </w:pPr>
            <w:r>
              <w:rPr>
                <w:rFonts w:hint="eastAsia"/>
                <w:sz w:val="15"/>
                <w:szCs w:val="15"/>
              </w:rPr>
              <w:t xml:space="preserve">0.8055 </w:t>
            </w:r>
          </w:p>
        </w:tc>
        <w:tc>
          <w:tcPr>
            <w:tcW w:w="440" w:type="pct"/>
            <w:shd w:val="clear" w:color="auto" w:fill="auto"/>
            <w:vAlign w:val="bottom"/>
          </w:tcPr>
          <w:p>
            <w:pPr>
              <w:pStyle w:val="42"/>
              <w:rPr>
                <w:sz w:val="18"/>
                <w:szCs w:val="18"/>
              </w:rPr>
            </w:pPr>
            <w:r>
              <w:rPr>
                <w:rFonts w:hint="eastAsia"/>
                <w:sz w:val="18"/>
                <w:szCs w:val="18"/>
              </w:rPr>
              <w:t xml:space="preserve">22.63 </w:t>
            </w:r>
          </w:p>
        </w:tc>
        <w:tc>
          <w:tcPr>
            <w:tcW w:w="556" w:type="pct"/>
            <w:shd w:val="clear" w:color="auto" w:fill="auto"/>
            <w:vAlign w:val="bottom"/>
          </w:tcPr>
          <w:p>
            <w:pPr>
              <w:pStyle w:val="42"/>
              <w:rPr>
                <w:sz w:val="18"/>
                <w:szCs w:val="18"/>
              </w:rPr>
            </w:pPr>
            <w:r>
              <w:rPr>
                <w:rFonts w:hint="eastAsia"/>
                <w:sz w:val="18"/>
                <w:szCs w:val="18"/>
              </w:rPr>
              <w:t xml:space="preserve">0.9907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22.63 </w:t>
            </w:r>
          </w:p>
        </w:tc>
        <w:tc>
          <w:tcPr>
            <w:tcW w:w="557" w:type="pct"/>
            <w:vAlign w:val="bottom"/>
          </w:tcPr>
          <w:p>
            <w:pPr>
              <w:pStyle w:val="42"/>
              <w:rPr>
                <w:sz w:val="18"/>
                <w:szCs w:val="18"/>
              </w:rPr>
            </w:pPr>
            <w:r>
              <w:rPr>
                <w:rFonts w:hint="eastAsia"/>
                <w:sz w:val="18"/>
                <w:szCs w:val="18"/>
              </w:rPr>
              <w:t xml:space="preserve">0.9907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2010</w:t>
            </w:r>
          </w:p>
        </w:tc>
        <w:tc>
          <w:tcPr>
            <w:tcW w:w="440" w:type="pct"/>
            <w:shd w:val="clear" w:color="auto" w:fill="auto"/>
            <w:vAlign w:val="bottom"/>
          </w:tcPr>
          <w:p>
            <w:pPr>
              <w:pStyle w:val="42"/>
              <w:rPr>
                <w:sz w:val="15"/>
                <w:szCs w:val="15"/>
              </w:rPr>
            </w:pPr>
            <w:r>
              <w:rPr>
                <w:rFonts w:hint="eastAsia"/>
                <w:sz w:val="15"/>
                <w:szCs w:val="15"/>
              </w:rPr>
              <w:t xml:space="preserve">18.92 </w:t>
            </w:r>
          </w:p>
        </w:tc>
        <w:tc>
          <w:tcPr>
            <w:tcW w:w="498" w:type="pct"/>
            <w:shd w:val="clear" w:color="auto" w:fill="auto"/>
            <w:vAlign w:val="bottom"/>
          </w:tcPr>
          <w:p>
            <w:pPr>
              <w:pStyle w:val="42"/>
              <w:rPr>
                <w:sz w:val="15"/>
                <w:szCs w:val="15"/>
              </w:rPr>
            </w:pPr>
            <w:r>
              <w:rPr>
                <w:rFonts w:hint="eastAsia"/>
                <w:sz w:val="15"/>
                <w:szCs w:val="15"/>
              </w:rPr>
              <w:t xml:space="preserve">0.4627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18.92 </w:t>
            </w:r>
          </w:p>
        </w:tc>
        <w:tc>
          <w:tcPr>
            <w:tcW w:w="549" w:type="pct"/>
            <w:vAlign w:val="bottom"/>
          </w:tcPr>
          <w:p>
            <w:pPr>
              <w:pStyle w:val="42"/>
              <w:rPr>
                <w:sz w:val="15"/>
                <w:szCs w:val="15"/>
              </w:rPr>
            </w:pPr>
            <w:r>
              <w:rPr>
                <w:rFonts w:hint="eastAsia"/>
                <w:sz w:val="15"/>
                <w:szCs w:val="15"/>
              </w:rPr>
              <w:t xml:space="preserve">0.4627 </w:t>
            </w:r>
          </w:p>
        </w:tc>
        <w:tc>
          <w:tcPr>
            <w:tcW w:w="440" w:type="pct"/>
            <w:shd w:val="clear" w:color="auto" w:fill="auto"/>
            <w:vAlign w:val="bottom"/>
          </w:tcPr>
          <w:p>
            <w:pPr>
              <w:pStyle w:val="42"/>
              <w:rPr>
                <w:sz w:val="18"/>
                <w:szCs w:val="18"/>
              </w:rPr>
            </w:pPr>
            <w:r>
              <w:rPr>
                <w:rFonts w:hint="eastAsia"/>
                <w:sz w:val="18"/>
                <w:szCs w:val="18"/>
              </w:rPr>
              <w:t xml:space="preserve">27.24 </w:t>
            </w:r>
          </w:p>
        </w:tc>
        <w:tc>
          <w:tcPr>
            <w:tcW w:w="556" w:type="pct"/>
            <w:shd w:val="clear" w:color="auto" w:fill="auto"/>
            <w:vAlign w:val="bottom"/>
          </w:tcPr>
          <w:p>
            <w:pPr>
              <w:pStyle w:val="42"/>
              <w:rPr>
                <w:sz w:val="18"/>
                <w:szCs w:val="18"/>
              </w:rPr>
            </w:pPr>
            <w:r>
              <w:rPr>
                <w:rFonts w:hint="eastAsia"/>
                <w:sz w:val="18"/>
                <w:szCs w:val="18"/>
              </w:rPr>
              <w:t xml:space="preserve">0.5634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27.24 </w:t>
            </w:r>
          </w:p>
        </w:tc>
        <w:tc>
          <w:tcPr>
            <w:tcW w:w="557" w:type="pct"/>
            <w:vAlign w:val="bottom"/>
          </w:tcPr>
          <w:p>
            <w:pPr>
              <w:pStyle w:val="42"/>
              <w:rPr>
                <w:sz w:val="18"/>
                <w:szCs w:val="18"/>
              </w:rPr>
            </w:pPr>
            <w:r>
              <w:rPr>
                <w:rFonts w:hint="eastAsia"/>
                <w:sz w:val="18"/>
                <w:szCs w:val="18"/>
              </w:rPr>
              <w:t xml:space="preserve">0.5634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2510</w:t>
            </w:r>
          </w:p>
        </w:tc>
        <w:tc>
          <w:tcPr>
            <w:tcW w:w="440" w:type="pct"/>
            <w:shd w:val="clear" w:color="auto" w:fill="auto"/>
            <w:noWrap/>
            <w:vAlign w:val="bottom"/>
          </w:tcPr>
          <w:p>
            <w:pPr>
              <w:pStyle w:val="42"/>
              <w:rPr>
                <w:sz w:val="15"/>
                <w:szCs w:val="15"/>
              </w:rPr>
            </w:pPr>
            <w:r>
              <w:rPr>
                <w:rFonts w:hint="eastAsia"/>
                <w:sz w:val="15"/>
                <w:szCs w:val="15"/>
              </w:rPr>
              <w:t xml:space="preserve">22.24 </w:t>
            </w:r>
          </w:p>
        </w:tc>
        <w:tc>
          <w:tcPr>
            <w:tcW w:w="498" w:type="pct"/>
            <w:shd w:val="clear" w:color="auto" w:fill="auto"/>
            <w:noWrap/>
            <w:vAlign w:val="bottom"/>
          </w:tcPr>
          <w:p>
            <w:pPr>
              <w:pStyle w:val="42"/>
              <w:rPr>
                <w:sz w:val="15"/>
                <w:szCs w:val="15"/>
              </w:rPr>
            </w:pPr>
            <w:r>
              <w:rPr>
                <w:rFonts w:hint="eastAsia"/>
                <w:sz w:val="15"/>
                <w:szCs w:val="15"/>
              </w:rPr>
              <w:t xml:space="preserve">0.3018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22.24 </w:t>
            </w:r>
          </w:p>
        </w:tc>
        <w:tc>
          <w:tcPr>
            <w:tcW w:w="549" w:type="pct"/>
            <w:vAlign w:val="bottom"/>
          </w:tcPr>
          <w:p>
            <w:pPr>
              <w:pStyle w:val="42"/>
              <w:rPr>
                <w:sz w:val="15"/>
                <w:szCs w:val="15"/>
              </w:rPr>
            </w:pPr>
            <w:r>
              <w:rPr>
                <w:rFonts w:hint="eastAsia"/>
                <w:sz w:val="15"/>
                <w:szCs w:val="15"/>
              </w:rPr>
              <w:t xml:space="preserve">0.3018 </w:t>
            </w:r>
          </w:p>
        </w:tc>
        <w:tc>
          <w:tcPr>
            <w:tcW w:w="440" w:type="pct"/>
            <w:shd w:val="clear" w:color="auto" w:fill="auto"/>
            <w:noWrap/>
            <w:vAlign w:val="bottom"/>
          </w:tcPr>
          <w:p>
            <w:pPr>
              <w:pStyle w:val="42"/>
              <w:rPr>
                <w:sz w:val="18"/>
                <w:szCs w:val="18"/>
              </w:rPr>
            </w:pPr>
            <w:r>
              <w:rPr>
                <w:rFonts w:hint="eastAsia"/>
                <w:sz w:val="18"/>
                <w:szCs w:val="18"/>
              </w:rPr>
              <w:t xml:space="preserve">31.78 </w:t>
            </w:r>
          </w:p>
        </w:tc>
        <w:tc>
          <w:tcPr>
            <w:tcW w:w="556" w:type="pct"/>
            <w:shd w:val="clear" w:color="auto" w:fill="auto"/>
            <w:noWrap/>
            <w:vAlign w:val="bottom"/>
          </w:tcPr>
          <w:p>
            <w:pPr>
              <w:pStyle w:val="42"/>
              <w:rPr>
                <w:sz w:val="18"/>
                <w:szCs w:val="18"/>
              </w:rPr>
            </w:pPr>
            <w:r>
              <w:rPr>
                <w:rFonts w:hint="eastAsia"/>
                <w:sz w:val="18"/>
                <w:szCs w:val="18"/>
              </w:rPr>
              <w:t xml:space="preserve">0.3650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31.78 </w:t>
            </w:r>
          </w:p>
        </w:tc>
        <w:tc>
          <w:tcPr>
            <w:tcW w:w="557" w:type="pct"/>
            <w:vAlign w:val="bottom"/>
          </w:tcPr>
          <w:p>
            <w:pPr>
              <w:pStyle w:val="42"/>
              <w:rPr>
                <w:sz w:val="18"/>
                <w:szCs w:val="18"/>
              </w:rPr>
            </w:pPr>
            <w:r>
              <w:rPr>
                <w:rFonts w:hint="eastAsia"/>
                <w:sz w:val="18"/>
                <w:szCs w:val="18"/>
              </w:rPr>
              <w:t xml:space="preserve">0.3650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3010</w:t>
            </w:r>
          </w:p>
        </w:tc>
        <w:tc>
          <w:tcPr>
            <w:tcW w:w="440" w:type="pct"/>
            <w:shd w:val="clear" w:color="auto" w:fill="auto"/>
            <w:noWrap/>
            <w:vAlign w:val="bottom"/>
          </w:tcPr>
          <w:p>
            <w:pPr>
              <w:pStyle w:val="42"/>
              <w:rPr>
                <w:sz w:val="15"/>
                <w:szCs w:val="15"/>
              </w:rPr>
            </w:pPr>
            <w:r>
              <w:rPr>
                <w:rFonts w:hint="eastAsia"/>
                <w:sz w:val="15"/>
                <w:szCs w:val="15"/>
              </w:rPr>
              <w:t xml:space="preserve">25.54 </w:t>
            </w:r>
          </w:p>
        </w:tc>
        <w:tc>
          <w:tcPr>
            <w:tcW w:w="498" w:type="pct"/>
            <w:shd w:val="clear" w:color="auto" w:fill="auto"/>
            <w:noWrap/>
            <w:vAlign w:val="bottom"/>
          </w:tcPr>
          <w:p>
            <w:pPr>
              <w:pStyle w:val="42"/>
              <w:rPr>
                <w:sz w:val="15"/>
                <w:szCs w:val="15"/>
              </w:rPr>
            </w:pPr>
            <w:r>
              <w:rPr>
                <w:rFonts w:hint="eastAsia"/>
                <w:sz w:val="15"/>
                <w:szCs w:val="15"/>
              </w:rPr>
              <w:t xml:space="preserve">0.2135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25.54 </w:t>
            </w:r>
          </w:p>
        </w:tc>
        <w:tc>
          <w:tcPr>
            <w:tcW w:w="549" w:type="pct"/>
            <w:vAlign w:val="bottom"/>
          </w:tcPr>
          <w:p>
            <w:pPr>
              <w:pStyle w:val="42"/>
              <w:rPr>
                <w:sz w:val="15"/>
                <w:szCs w:val="15"/>
              </w:rPr>
            </w:pPr>
            <w:r>
              <w:rPr>
                <w:rFonts w:hint="eastAsia"/>
                <w:sz w:val="15"/>
                <w:szCs w:val="15"/>
              </w:rPr>
              <w:t xml:space="preserve">0.2135 </w:t>
            </w:r>
          </w:p>
        </w:tc>
        <w:tc>
          <w:tcPr>
            <w:tcW w:w="440" w:type="pct"/>
            <w:shd w:val="clear" w:color="auto" w:fill="auto"/>
            <w:noWrap/>
            <w:vAlign w:val="bottom"/>
          </w:tcPr>
          <w:p>
            <w:pPr>
              <w:pStyle w:val="42"/>
              <w:rPr>
                <w:sz w:val="18"/>
                <w:szCs w:val="18"/>
              </w:rPr>
            </w:pPr>
            <w:r>
              <w:rPr>
                <w:rFonts w:hint="eastAsia"/>
                <w:sz w:val="18"/>
                <w:szCs w:val="18"/>
              </w:rPr>
              <w:t xml:space="preserve">36.28 </w:t>
            </w:r>
          </w:p>
        </w:tc>
        <w:tc>
          <w:tcPr>
            <w:tcW w:w="556" w:type="pct"/>
            <w:shd w:val="clear" w:color="auto" w:fill="auto"/>
            <w:noWrap/>
            <w:vAlign w:val="bottom"/>
          </w:tcPr>
          <w:p>
            <w:pPr>
              <w:pStyle w:val="42"/>
              <w:rPr>
                <w:sz w:val="18"/>
                <w:szCs w:val="18"/>
              </w:rPr>
            </w:pPr>
            <w:r>
              <w:rPr>
                <w:rFonts w:hint="eastAsia"/>
                <w:sz w:val="18"/>
                <w:szCs w:val="18"/>
              </w:rPr>
              <w:t xml:space="preserve">0.2570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36.28 </w:t>
            </w:r>
          </w:p>
        </w:tc>
        <w:tc>
          <w:tcPr>
            <w:tcW w:w="557" w:type="pct"/>
            <w:vAlign w:val="bottom"/>
          </w:tcPr>
          <w:p>
            <w:pPr>
              <w:pStyle w:val="42"/>
              <w:rPr>
                <w:sz w:val="18"/>
                <w:szCs w:val="18"/>
              </w:rPr>
            </w:pPr>
            <w:r>
              <w:rPr>
                <w:rFonts w:hint="eastAsia"/>
                <w:sz w:val="18"/>
                <w:szCs w:val="18"/>
              </w:rPr>
              <w:t xml:space="preserve">0.2570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3510</w:t>
            </w:r>
          </w:p>
        </w:tc>
        <w:tc>
          <w:tcPr>
            <w:tcW w:w="440" w:type="pct"/>
            <w:shd w:val="clear" w:color="auto" w:fill="auto"/>
            <w:noWrap/>
            <w:vAlign w:val="bottom"/>
          </w:tcPr>
          <w:p>
            <w:pPr>
              <w:pStyle w:val="42"/>
              <w:rPr>
                <w:sz w:val="15"/>
                <w:szCs w:val="15"/>
              </w:rPr>
            </w:pPr>
            <w:r>
              <w:rPr>
                <w:rFonts w:hint="eastAsia"/>
                <w:sz w:val="15"/>
                <w:szCs w:val="15"/>
              </w:rPr>
              <w:t xml:space="preserve">28.80 </w:t>
            </w:r>
          </w:p>
        </w:tc>
        <w:tc>
          <w:tcPr>
            <w:tcW w:w="498" w:type="pct"/>
            <w:shd w:val="clear" w:color="auto" w:fill="auto"/>
            <w:noWrap/>
            <w:vAlign w:val="bottom"/>
          </w:tcPr>
          <w:p>
            <w:pPr>
              <w:pStyle w:val="42"/>
              <w:rPr>
                <w:sz w:val="15"/>
                <w:szCs w:val="15"/>
              </w:rPr>
            </w:pPr>
            <w:r>
              <w:rPr>
                <w:rFonts w:hint="eastAsia"/>
                <w:sz w:val="15"/>
                <w:szCs w:val="15"/>
              </w:rPr>
              <w:t xml:space="preserve">0.1598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28.80 </w:t>
            </w:r>
          </w:p>
        </w:tc>
        <w:tc>
          <w:tcPr>
            <w:tcW w:w="549" w:type="pct"/>
            <w:vAlign w:val="bottom"/>
          </w:tcPr>
          <w:p>
            <w:pPr>
              <w:pStyle w:val="42"/>
              <w:rPr>
                <w:sz w:val="15"/>
                <w:szCs w:val="15"/>
              </w:rPr>
            </w:pPr>
            <w:r>
              <w:rPr>
                <w:rFonts w:hint="eastAsia"/>
                <w:sz w:val="15"/>
                <w:szCs w:val="15"/>
              </w:rPr>
              <w:t xml:space="preserve">0.1598 </w:t>
            </w:r>
          </w:p>
        </w:tc>
        <w:tc>
          <w:tcPr>
            <w:tcW w:w="440" w:type="pct"/>
            <w:shd w:val="clear" w:color="auto" w:fill="auto"/>
            <w:noWrap/>
            <w:vAlign w:val="bottom"/>
          </w:tcPr>
          <w:p>
            <w:pPr>
              <w:pStyle w:val="42"/>
              <w:rPr>
                <w:sz w:val="18"/>
                <w:szCs w:val="18"/>
              </w:rPr>
            </w:pPr>
            <w:r>
              <w:rPr>
                <w:rFonts w:hint="eastAsia"/>
                <w:sz w:val="18"/>
                <w:szCs w:val="18"/>
              </w:rPr>
              <w:t xml:space="preserve">40.73 </w:t>
            </w:r>
          </w:p>
        </w:tc>
        <w:tc>
          <w:tcPr>
            <w:tcW w:w="556" w:type="pct"/>
            <w:shd w:val="clear" w:color="auto" w:fill="auto"/>
            <w:noWrap/>
            <w:vAlign w:val="bottom"/>
          </w:tcPr>
          <w:p>
            <w:pPr>
              <w:pStyle w:val="42"/>
              <w:rPr>
                <w:sz w:val="18"/>
                <w:szCs w:val="18"/>
              </w:rPr>
            </w:pPr>
            <w:r>
              <w:rPr>
                <w:rFonts w:hint="eastAsia"/>
                <w:sz w:val="18"/>
                <w:szCs w:val="18"/>
              </w:rPr>
              <w:t xml:space="preserve">0.1916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40.73 </w:t>
            </w:r>
          </w:p>
        </w:tc>
        <w:tc>
          <w:tcPr>
            <w:tcW w:w="557" w:type="pct"/>
            <w:vAlign w:val="bottom"/>
          </w:tcPr>
          <w:p>
            <w:pPr>
              <w:pStyle w:val="42"/>
              <w:rPr>
                <w:sz w:val="18"/>
                <w:szCs w:val="18"/>
              </w:rPr>
            </w:pPr>
            <w:r>
              <w:rPr>
                <w:rFonts w:hint="eastAsia"/>
                <w:sz w:val="18"/>
                <w:szCs w:val="18"/>
              </w:rPr>
              <w:t xml:space="preserve">0.1916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4010</w:t>
            </w:r>
          </w:p>
        </w:tc>
        <w:tc>
          <w:tcPr>
            <w:tcW w:w="440" w:type="pct"/>
            <w:shd w:val="clear" w:color="auto" w:fill="auto"/>
            <w:noWrap/>
            <w:vAlign w:val="bottom"/>
          </w:tcPr>
          <w:p>
            <w:pPr>
              <w:pStyle w:val="42"/>
              <w:rPr>
                <w:sz w:val="15"/>
                <w:szCs w:val="15"/>
              </w:rPr>
            </w:pPr>
            <w:r>
              <w:rPr>
                <w:rFonts w:hint="eastAsia"/>
                <w:sz w:val="15"/>
                <w:szCs w:val="15"/>
              </w:rPr>
              <w:t xml:space="preserve">32.05 </w:t>
            </w:r>
          </w:p>
        </w:tc>
        <w:tc>
          <w:tcPr>
            <w:tcW w:w="498" w:type="pct"/>
            <w:shd w:val="clear" w:color="auto" w:fill="auto"/>
            <w:noWrap/>
            <w:vAlign w:val="bottom"/>
          </w:tcPr>
          <w:p>
            <w:pPr>
              <w:pStyle w:val="42"/>
              <w:rPr>
                <w:sz w:val="15"/>
                <w:szCs w:val="15"/>
              </w:rPr>
            </w:pPr>
            <w:r>
              <w:rPr>
                <w:rFonts w:hint="eastAsia"/>
                <w:sz w:val="15"/>
                <w:szCs w:val="15"/>
              </w:rPr>
              <w:t xml:space="preserve">0.1238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32.05 </w:t>
            </w:r>
          </w:p>
        </w:tc>
        <w:tc>
          <w:tcPr>
            <w:tcW w:w="549" w:type="pct"/>
            <w:vAlign w:val="bottom"/>
          </w:tcPr>
          <w:p>
            <w:pPr>
              <w:pStyle w:val="42"/>
              <w:rPr>
                <w:sz w:val="15"/>
                <w:szCs w:val="15"/>
              </w:rPr>
            </w:pPr>
            <w:r>
              <w:rPr>
                <w:rFonts w:hint="eastAsia"/>
                <w:sz w:val="15"/>
                <w:szCs w:val="15"/>
              </w:rPr>
              <w:t xml:space="preserve">0.1238 </w:t>
            </w:r>
          </w:p>
        </w:tc>
        <w:tc>
          <w:tcPr>
            <w:tcW w:w="440" w:type="pct"/>
            <w:shd w:val="clear" w:color="auto" w:fill="auto"/>
            <w:noWrap/>
            <w:vAlign w:val="bottom"/>
          </w:tcPr>
          <w:p>
            <w:pPr>
              <w:pStyle w:val="42"/>
              <w:rPr>
                <w:sz w:val="18"/>
                <w:szCs w:val="18"/>
              </w:rPr>
            </w:pPr>
            <w:r>
              <w:rPr>
                <w:rFonts w:hint="eastAsia"/>
                <w:sz w:val="18"/>
                <w:szCs w:val="18"/>
              </w:rPr>
              <w:t xml:space="preserve">45.15 </w:t>
            </w:r>
          </w:p>
        </w:tc>
        <w:tc>
          <w:tcPr>
            <w:tcW w:w="556" w:type="pct"/>
            <w:shd w:val="clear" w:color="auto" w:fill="auto"/>
            <w:noWrap/>
            <w:vAlign w:val="bottom"/>
          </w:tcPr>
          <w:p>
            <w:pPr>
              <w:pStyle w:val="42"/>
              <w:rPr>
                <w:sz w:val="18"/>
                <w:szCs w:val="18"/>
              </w:rPr>
            </w:pPr>
            <w:r>
              <w:rPr>
                <w:rFonts w:hint="eastAsia"/>
                <w:sz w:val="18"/>
                <w:szCs w:val="18"/>
              </w:rPr>
              <w:t xml:space="preserve">0.1478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45.15 </w:t>
            </w:r>
          </w:p>
        </w:tc>
        <w:tc>
          <w:tcPr>
            <w:tcW w:w="557" w:type="pct"/>
            <w:vAlign w:val="bottom"/>
          </w:tcPr>
          <w:p>
            <w:pPr>
              <w:pStyle w:val="42"/>
              <w:rPr>
                <w:sz w:val="18"/>
                <w:szCs w:val="18"/>
              </w:rPr>
            </w:pPr>
            <w:r>
              <w:rPr>
                <w:rFonts w:hint="eastAsia"/>
                <w:sz w:val="18"/>
                <w:szCs w:val="18"/>
              </w:rPr>
              <w:t xml:space="preserve">0.1478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4510</w:t>
            </w:r>
          </w:p>
        </w:tc>
        <w:tc>
          <w:tcPr>
            <w:tcW w:w="440" w:type="pct"/>
            <w:shd w:val="clear" w:color="auto" w:fill="auto"/>
            <w:noWrap/>
            <w:vAlign w:val="bottom"/>
          </w:tcPr>
          <w:p>
            <w:pPr>
              <w:pStyle w:val="42"/>
              <w:rPr>
                <w:sz w:val="15"/>
                <w:szCs w:val="15"/>
              </w:rPr>
            </w:pPr>
            <w:r>
              <w:rPr>
                <w:rFonts w:hint="eastAsia"/>
                <w:sz w:val="15"/>
                <w:szCs w:val="15"/>
              </w:rPr>
              <w:t xml:space="preserve">35.28 </w:t>
            </w:r>
          </w:p>
        </w:tc>
        <w:tc>
          <w:tcPr>
            <w:tcW w:w="498" w:type="pct"/>
            <w:shd w:val="clear" w:color="auto" w:fill="auto"/>
            <w:noWrap/>
            <w:vAlign w:val="bottom"/>
          </w:tcPr>
          <w:p>
            <w:pPr>
              <w:pStyle w:val="42"/>
              <w:rPr>
                <w:sz w:val="15"/>
                <w:szCs w:val="15"/>
              </w:rPr>
            </w:pPr>
            <w:r>
              <w:rPr>
                <w:rFonts w:hint="eastAsia"/>
                <w:sz w:val="15"/>
                <w:szCs w:val="15"/>
              </w:rPr>
              <w:t xml:space="preserve">0.0991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35.28 </w:t>
            </w:r>
          </w:p>
        </w:tc>
        <w:tc>
          <w:tcPr>
            <w:tcW w:w="549" w:type="pct"/>
            <w:vAlign w:val="bottom"/>
          </w:tcPr>
          <w:p>
            <w:pPr>
              <w:pStyle w:val="42"/>
              <w:rPr>
                <w:sz w:val="15"/>
                <w:szCs w:val="15"/>
              </w:rPr>
            </w:pPr>
            <w:r>
              <w:rPr>
                <w:rFonts w:hint="eastAsia"/>
                <w:sz w:val="15"/>
                <w:szCs w:val="15"/>
              </w:rPr>
              <w:t xml:space="preserve">0.0991 </w:t>
            </w:r>
          </w:p>
        </w:tc>
        <w:tc>
          <w:tcPr>
            <w:tcW w:w="440" w:type="pct"/>
            <w:shd w:val="clear" w:color="auto" w:fill="auto"/>
            <w:noWrap/>
            <w:vAlign w:val="bottom"/>
          </w:tcPr>
          <w:p>
            <w:pPr>
              <w:pStyle w:val="42"/>
              <w:rPr>
                <w:sz w:val="18"/>
                <w:szCs w:val="18"/>
              </w:rPr>
            </w:pPr>
            <w:r>
              <w:rPr>
                <w:rFonts w:hint="eastAsia"/>
                <w:sz w:val="18"/>
                <w:szCs w:val="18"/>
              </w:rPr>
              <w:t xml:space="preserve">49.55 </w:t>
            </w:r>
          </w:p>
        </w:tc>
        <w:tc>
          <w:tcPr>
            <w:tcW w:w="556" w:type="pct"/>
            <w:shd w:val="clear" w:color="auto" w:fill="auto"/>
            <w:noWrap/>
            <w:vAlign w:val="bottom"/>
          </w:tcPr>
          <w:p>
            <w:pPr>
              <w:pStyle w:val="42"/>
              <w:rPr>
                <w:sz w:val="18"/>
                <w:szCs w:val="18"/>
              </w:rPr>
            </w:pPr>
            <w:r>
              <w:rPr>
                <w:rFonts w:hint="eastAsia"/>
                <w:sz w:val="18"/>
                <w:szCs w:val="18"/>
              </w:rPr>
              <w:t xml:space="preserve">0.1181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49.55 </w:t>
            </w:r>
          </w:p>
        </w:tc>
        <w:tc>
          <w:tcPr>
            <w:tcW w:w="557" w:type="pct"/>
            <w:vAlign w:val="bottom"/>
          </w:tcPr>
          <w:p>
            <w:pPr>
              <w:pStyle w:val="42"/>
              <w:rPr>
                <w:sz w:val="18"/>
                <w:szCs w:val="18"/>
              </w:rPr>
            </w:pPr>
            <w:r>
              <w:rPr>
                <w:rFonts w:hint="eastAsia"/>
                <w:sz w:val="18"/>
                <w:szCs w:val="18"/>
              </w:rPr>
              <w:t xml:space="preserve">0.1181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8" w:type="pct"/>
            <w:shd w:val="clear" w:color="auto" w:fill="auto"/>
            <w:vAlign w:val="center"/>
          </w:tcPr>
          <w:p>
            <w:pPr>
              <w:pStyle w:val="42"/>
              <w:rPr>
                <w:sz w:val="18"/>
                <w:szCs w:val="18"/>
              </w:rPr>
            </w:pPr>
            <w:r>
              <w:rPr>
                <w:rFonts w:hint="eastAsia"/>
                <w:sz w:val="18"/>
                <w:szCs w:val="18"/>
              </w:rPr>
              <w:t>5010</w:t>
            </w:r>
          </w:p>
        </w:tc>
        <w:tc>
          <w:tcPr>
            <w:tcW w:w="440" w:type="pct"/>
            <w:shd w:val="clear" w:color="auto" w:fill="auto"/>
            <w:noWrap/>
            <w:vAlign w:val="bottom"/>
          </w:tcPr>
          <w:p>
            <w:pPr>
              <w:pStyle w:val="42"/>
              <w:rPr>
                <w:sz w:val="15"/>
                <w:szCs w:val="15"/>
              </w:rPr>
            </w:pPr>
            <w:r>
              <w:rPr>
                <w:rFonts w:hint="eastAsia"/>
                <w:sz w:val="15"/>
                <w:szCs w:val="15"/>
              </w:rPr>
              <w:t xml:space="preserve">38.49 </w:t>
            </w:r>
          </w:p>
        </w:tc>
        <w:tc>
          <w:tcPr>
            <w:tcW w:w="498" w:type="pct"/>
            <w:shd w:val="clear" w:color="auto" w:fill="auto"/>
            <w:noWrap/>
            <w:vAlign w:val="bottom"/>
          </w:tcPr>
          <w:p>
            <w:pPr>
              <w:pStyle w:val="42"/>
              <w:rPr>
                <w:sz w:val="15"/>
                <w:szCs w:val="15"/>
              </w:rPr>
            </w:pPr>
            <w:r>
              <w:rPr>
                <w:rFonts w:hint="eastAsia"/>
                <w:sz w:val="15"/>
                <w:szCs w:val="15"/>
              </w:rPr>
              <w:t xml:space="preserve">0.0813 </w:t>
            </w:r>
          </w:p>
        </w:tc>
        <w:tc>
          <w:tcPr>
            <w:tcW w:w="371" w:type="pct"/>
            <w:vAlign w:val="bottom"/>
          </w:tcPr>
          <w:p>
            <w:pPr>
              <w:pStyle w:val="42"/>
              <w:rPr>
                <w:sz w:val="15"/>
                <w:szCs w:val="15"/>
              </w:rPr>
            </w:pPr>
            <w:r>
              <w:rPr>
                <w:rFonts w:hint="eastAsia"/>
                <w:sz w:val="15"/>
                <w:szCs w:val="15"/>
              </w:rPr>
              <w:t xml:space="preserve">0.00 </w:t>
            </w:r>
          </w:p>
        </w:tc>
        <w:tc>
          <w:tcPr>
            <w:tcW w:w="440" w:type="pct"/>
            <w:vAlign w:val="bottom"/>
          </w:tcPr>
          <w:p>
            <w:pPr>
              <w:pStyle w:val="42"/>
              <w:rPr>
                <w:sz w:val="15"/>
                <w:szCs w:val="15"/>
              </w:rPr>
            </w:pPr>
            <w:r>
              <w:rPr>
                <w:rFonts w:hint="eastAsia"/>
                <w:sz w:val="15"/>
                <w:szCs w:val="15"/>
              </w:rPr>
              <w:t xml:space="preserve">38.49 </w:t>
            </w:r>
          </w:p>
        </w:tc>
        <w:tc>
          <w:tcPr>
            <w:tcW w:w="549" w:type="pct"/>
            <w:vAlign w:val="bottom"/>
          </w:tcPr>
          <w:p>
            <w:pPr>
              <w:pStyle w:val="42"/>
              <w:rPr>
                <w:sz w:val="15"/>
                <w:szCs w:val="15"/>
              </w:rPr>
            </w:pPr>
            <w:r>
              <w:rPr>
                <w:rFonts w:hint="eastAsia"/>
                <w:sz w:val="15"/>
                <w:szCs w:val="15"/>
              </w:rPr>
              <w:t xml:space="preserve">0.0813 </w:t>
            </w:r>
          </w:p>
        </w:tc>
        <w:tc>
          <w:tcPr>
            <w:tcW w:w="440" w:type="pct"/>
            <w:shd w:val="clear" w:color="auto" w:fill="auto"/>
            <w:noWrap/>
            <w:vAlign w:val="bottom"/>
          </w:tcPr>
          <w:p>
            <w:pPr>
              <w:pStyle w:val="42"/>
              <w:rPr>
                <w:sz w:val="18"/>
                <w:szCs w:val="18"/>
              </w:rPr>
            </w:pPr>
            <w:r>
              <w:rPr>
                <w:rFonts w:hint="eastAsia"/>
                <w:sz w:val="18"/>
                <w:szCs w:val="18"/>
              </w:rPr>
              <w:t xml:space="preserve">53.92 </w:t>
            </w:r>
          </w:p>
        </w:tc>
        <w:tc>
          <w:tcPr>
            <w:tcW w:w="556" w:type="pct"/>
            <w:shd w:val="clear" w:color="auto" w:fill="auto"/>
            <w:noWrap/>
            <w:vAlign w:val="bottom"/>
          </w:tcPr>
          <w:p>
            <w:pPr>
              <w:pStyle w:val="42"/>
              <w:rPr>
                <w:sz w:val="18"/>
                <w:szCs w:val="18"/>
              </w:rPr>
            </w:pPr>
            <w:r>
              <w:rPr>
                <w:rFonts w:hint="eastAsia"/>
                <w:sz w:val="18"/>
                <w:szCs w:val="18"/>
              </w:rPr>
              <w:t xml:space="preserve">0.0965 </w:t>
            </w:r>
          </w:p>
        </w:tc>
        <w:tc>
          <w:tcPr>
            <w:tcW w:w="371" w:type="pct"/>
            <w:vAlign w:val="bottom"/>
          </w:tcPr>
          <w:p>
            <w:pPr>
              <w:pStyle w:val="42"/>
              <w:rPr>
                <w:sz w:val="18"/>
                <w:szCs w:val="18"/>
              </w:rPr>
            </w:pPr>
            <w:r>
              <w:rPr>
                <w:rFonts w:hint="eastAsia"/>
                <w:sz w:val="18"/>
                <w:szCs w:val="18"/>
              </w:rPr>
              <w:t xml:space="preserve">0.00 </w:t>
            </w:r>
          </w:p>
        </w:tc>
        <w:tc>
          <w:tcPr>
            <w:tcW w:w="440" w:type="pct"/>
            <w:vAlign w:val="bottom"/>
          </w:tcPr>
          <w:p>
            <w:pPr>
              <w:pStyle w:val="42"/>
              <w:rPr>
                <w:sz w:val="18"/>
                <w:szCs w:val="18"/>
              </w:rPr>
            </w:pPr>
            <w:r>
              <w:rPr>
                <w:rFonts w:hint="eastAsia"/>
                <w:sz w:val="18"/>
                <w:szCs w:val="18"/>
              </w:rPr>
              <w:t xml:space="preserve">53.92 </w:t>
            </w:r>
          </w:p>
        </w:tc>
        <w:tc>
          <w:tcPr>
            <w:tcW w:w="557" w:type="pct"/>
            <w:vAlign w:val="bottom"/>
          </w:tcPr>
          <w:p>
            <w:pPr>
              <w:pStyle w:val="42"/>
              <w:rPr>
                <w:sz w:val="18"/>
                <w:szCs w:val="18"/>
              </w:rPr>
            </w:pPr>
            <w:r>
              <w:rPr>
                <w:rFonts w:hint="eastAsia"/>
                <w:sz w:val="18"/>
                <w:szCs w:val="18"/>
              </w:rPr>
              <w:t xml:space="preserve">0.0965 </w:t>
            </w:r>
          </w:p>
        </w:tc>
      </w:tr>
    </w:tbl>
    <w:p>
      <w:pPr>
        <w:pStyle w:val="41"/>
      </w:pPr>
      <w:r>
        <w:rPr>
          <w:rFonts w:hint="eastAsia"/>
        </w:rPr>
        <w:t>表6.8-4   最不利和最常见气象状况甲烷燃爆次生CO下风向浓度分布表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558"/>
        <w:gridCol w:w="2250"/>
        <w:gridCol w:w="1701"/>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657" w:type="pct"/>
            <w:vMerge w:val="restart"/>
            <w:shd w:val="clear" w:color="auto" w:fill="auto"/>
            <w:vAlign w:val="center"/>
          </w:tcPr>
          <w:p>
            <w:pPr>
              <w:pStyle w:val="42"/>
            </w:pPr>
            <w:r>
              <w:rPr>
                <w:rFonts w:hint="eastAsia"/>
              </w:rPr>
              <w:t xml:space="preserve">距离 </w:t>
            </w:r>
            <w:r>
              <w:t>(m)</w:t>
            </w:r>
          </w:p>
        </w:tc>
        <w:tc>
          <w:tcPr>
            <w:tcW w:w="2234" w:type="pct"/>
            <w:gridSpan w:val="2"/>
            <w:shd w:val="clear" w:color="auto" w:fill="auto"/>
            <w:noWrap/>
            <w:vAlign w:val="center"/>
          </w:tcPr>
          <w:p>
            <w:pPr>
              <w:pStyle w:val="42"/>
            </w:pPr>
            <w:r>
              <w:rPr>
                <w:rFonts w:hint="eastAsia"/>
              </w:rPr>
              <w:t>最不利气象条件</w:t>
            </w:r>
          </w:p>
        </w:tc>
        <w:tc>
          <w:tcPr>
            <w:tcW w:w="2109" w:type="pct"/>
            <w:gridSpan w:val="2"/>
            <w:shd w:val="clear" w:color="auto" w:fill="auto"/>
            <w:noWrap/>
            <w:vAlign w:val="center"/>
          </w:tcPr>
          <w:p>
            <w:pPr>
              <w:pStyle w:val="42"/>
            </w:pPr>
            <w:r>
              <w:rPr>
                <w:rFonts w:hint="eastAsia"/>
              </w:rPr>
              <w:t>最常见气象条件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657" w:type="pct"/>
            <w:vMerge w:val="continue"/>
            <w:shd w:val="clear" w:color="auto" w:fill="auto"/>
            <w:vAlign w:val="center"/>
          </w:tcPr>
          <w:p>
            <w:pPr>
              <w:pStyle w:val="42"/>
            </w:pPr>
          </w:p>
        </w:tc>
        <w:tc>
          <w:tcPr>
            <w:tcW w:w="914" w:type="pct"/>
            <w:shd w:val="clear" w:color="auto" w:fill="auto"/>
            <w:vAlign w:val="center"/>
          </w:tcPr>
          <w:p>
            <w:pPr>
              <w:pStyle w:val="42"/>
            </w:pPr>
            <w:r>
              <w:rPr>
                <w:rFonts w:hint="eastAsia"/>
              </w:rPr>
              <w:t>浓度出现时间（</w:t>
            </w:r>
            <w:r>
              <w:t>min）</w:t>
            </w:r>
          </w:p>
        </w:tc>
        <w:tc>
          <w:tcPr>
            <w:tcW w:w="1320" w:type="pct"/>
            <w:shd w:val="clear" w:color="auto" w:fill="auto"/>
            <w:vAlign w:val="center"/>
          </w:tcPr>
          <w:p>
            <w:pPr>
              <w:pStyle w:val="42"/>
            </w:pPr>
            <w:r>
              <w:rPr>
                <w:rFonts w:hint="eastAsia"/>
              </w:rPr>
              <w:t>高峰浓度(mg/m</w:t>
            </w:r>
            <w:r>
              <w:rPr>
                <w:vertAlign w:val="superscript"/>
              </w:rPr>
              <w:t>3</w:t>
            </w:r>
            <w:r>
              <w:t>)</w:t>
            </w:r>
          </w:p>
        </w:tc>
        <w:tc>
          <w:tcPr>
            <w:tcW w:w="998" w:type="pct"/>
            <w:shd w:val="clear" w:color="auto" w:fill="auto"/>
            <w:vAlign w:val="center"/>
          </w:tcPr>
          <w:p>
            <w:pPr>
              <w:pStyle w:val="42"/>
            </w:pPr>
            <w:r>
              <w:rPr>
                <w:rFonts w:hint="eastAsia"/>
              </w:rPr>
              <w:t>浓度出现时间（</w:t>
            </w:r>
            <w:r>
              <w:t>min）</w:t>
            </w:r>
          </w:p>
        </w:tc>
        <w:tc>
          <w:tcPr>
            <w:tcW w:w="1111" w:type="pct"/>
            <w:shd w:val="clear" w:color="auto" w:fill="auto"/>
            <w:vAlign w:val="center"/>
          </w:tcPr>
          <w:p>
            <w:pPr>
              <w:pStyle w:val="42"/>
            </w:pPr>
            <w:r>
              <w:rPr>
                <w:rFonts w:hint="eastAsia"/>
              </w:rPr>
              <w:t>高峰浓度(mg/m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10</w:t>
            </w:r>
          </w:p>
        </w:tc>
        <w:tc>
          <w:tcPr>
            <w:tcW w:w="914" w:type="pct"/>
            <w:shd w:val="clear" w:color="auto" w:fill="auto"/>
            <w:vAlign w:val="center"/>
          </w:tcPr>
          <w:p>
            <w:pPr>
              <w:pStyle w:val="42"/>
            </w:pPr>
            <w:r>
              <w:t>0.12</w:t>
            </w:r>
          </w:p>
        </w:tc>
        <w:tc>
          <w:tcPr>
            <w:tcW w:w="1320" w:type="pct"/>
            <w:shd w:val="clear" w:color="auto" w:fill="auto"/>
            <w:vAlign w:val="center"/>
          </w:tcPr>
          <w:p>
            <w:pPr>
              <w:pStyle w:val="42"/>
            </w:pPr>
            <w:r>
              <w:t>2442.5</w:t>
            </w:r>
          </w:p>
        </w:tc>
        <w:tc>
          <w:tcPr>
            <w:tcW w:w="998" w:type="pct"/>
            <w:shd w:val="clear" w:color="auto" w:fill="auto"/>
            <w:vAlign w:val="center"/>
          </w:tcPr>
          <w:p>
            <w:pPr>
              <w:pStyle w:val="42"/>
            </w:pPr>
            <w:r>
              <w:t>0.08</w:t>
            </w:r>
          </w:p>
        </w:tc>
        <w:tc>
          <w:tcPr>
            <w:tcW w:w="1111" w:type="pct"/>
            <w:shd w:val="clear" w:color="auto" w:fill="auto"/>
            <w:vAlign w:val="center"/>
          </w:tcPr>
          <w:p>
            <w:pPr>
              <w:pStyle w:val="42"/>
            </w:pPr>
            <w:r>
              <w:t>1685.3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60</w:t>
            </w:r>
          </w:p>
        </w:tc>
        <w:tc>
          <w:tcPr>
            <w:tcW w:w="914" w:type="pct"/>
            <w:shd w:val="clear" w:color="auto" w:fill="auto"/>
            <w:vAlign w:val="center"/>
          </w:tcPr>
          <w:p>
            <w:pPr>
              <w:pStyle w:val="42"/>
            </w:pPr>
            <w:r>
              <w:t>0.72</w:t>
            </w:r>
          </w:p>
        </w:tc>
        <w:tc>
          <w:tcPr>
            <w:tcW w:w="1320" w:type="pct"/>
            <w:shd w:val="clear" w:color="auto" w:fill="auto"/>
            <w:vAlign w:val="center"/>
          </w:tcPr>
          <w:p>
            <w:pPr>
              <w:pStyle w:val="42"/>
            </w:pPr>
            <w:r>
              <w:t>164.11</w:t>
            </w:r>
          </w:p>
        </w:tc>
        <w:tc>
          <w:tcPr>
            <w:tcW w:w="998" w:type="pct"/>
            <w:shd w:val="clear" w:color="auto" w:fill="auto"/>
            <w:vAlign w:val="center"/>
          </w:tcPr>
          <w:p>
            <w:pPr>
              <w:pStyle w:val="42"/>
            </w:pPr>
            <w:r>
              <w:t>0.5</w:t>
            </w:r>
          </w:p>
        </w:tc>
        <w:tc>
          <w:tcPr>
            <w:tcW w:w="1111" w:type="pct"/>
            <w:shd w:val="clear" w:color="auto" w:fill="auto"/>
            <w:vAlign w:val="center"/>
          </w:tcPr>
          <w:p>
            <w:pPr>
              <w:pStyle w:val="42"/>
            </w:pPr>
            <w:r>
              <w:t>113.24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110</w:t>
            </w:r>
          </w:p>
        </w:tc>
        <w:tc>
          <w:tcPr>
            <w:tcW w:w="914" w:type="pct"/>
            <w:shd w:val="clear" w:color="auto" w:fill="auto"/>
            <w:vAlign w:val="center"/>
          </w:tcPr>
          <w:p>
            <w:pPr>
              <w:pStyle w:val="42"/>
            </w:pPr>
            <w:r>
              <w:t>1.33</w:t>
            </w:r>
          </w:p>
        </w:tc>
        <w:tc>
          <w:tcPr>
            <w:tcW w:w="1320" w:type="pct"/>
            <w:shd w:val="clear" w:color="auto" w:fill="auto"/>
            <w:vAlign w:val="center"/>
          </w:tcPr>
          <w:p>
            <w:pPr>
              <w:pStyle w:val="42"/>
            </w:pPr>
            <w:r>
              <w:t>74.157</w:t>
            </w:r>
          </w:p>
        </w:tc>
        <w:tc>
          <w:tcPr>
            <w:tcW w:w="998" w:type="pct"/>
            <w:shd w:val="clear" w:color="auto" w:fill="auto"/>
            <w:vAlign w:val="center"/>
          </w:tcPr>
          <w:p>
            <w:pPr>
              <w:pStyle w:val="42"/>
            </w:pPr>
            <w:r>
              <w:t>0.92</w:t>
            </w:r>
          </w:p>
        </w:tc>
        <w:tc>
          <w:tcPr>
            <w:tcW w:w="1111" w:type="pct"/>
            <w:shd w:val="clear" w:color="auto" w:fill="auto"/>
            <w:vAlign w:val="center"/>
          </w:tcPr>
          <w:p>
            <w:pPr>
              <w:pStyle w:val="42"/>
            </w:pPr>
            <w:r>
              <w:t>51.168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160</w:t>
            </w:r>
          </w:p>
        </w:tc>
        <w:tc>
          <w:tcPr>
            <w:tcW w:w="914" w:type="pct"/>
            <w:shd w:val="clear" w:color="auto" w:fill="auto"/>
            <w:vAlign w:val="center"/>
          </w:tcPr>
          <w:p>
            <w:pPr>
              <w:pStyle w:val="42"/>
            </w:pPr>
            <w:r>
              <w:t>1.93</w:t>
            </w:r>
          </w:p>
        </w:tc>
        <w:tc>
          <w:tcPr>
            <w:tcW w:w="1320" w:type="pct"/>
            <w:shd w:val="clear" w:color="auto" w:fill="auto"/>
            <w:vAlign w:val="center"/>
          </w:tcPr>
          <w:p>
            <w:pPr>
              <w:pStyle w:val="42"/>
            </w:pPr>
            <w:r>
              <w:t>46.777</w:t>
            </w:r>
          </w:p>
        </w:tc>
        <w:tc>
          <w:tcPr>
            <w:tcW w:w="998" w:type="pct"/>
            <w:shd w:val="clear" w:color="auto" w:fill="auto"/>
            <w:vAlign w:val="center"/>
          </w:tcPr>
          <w:p>
            <w:pPr>
              <w:pStyle w:val="42"/>
            </w:pPr>
            <w:r>
              <w:t>1.33</w:t>
            </w:r>
          </w:p>
        </w:tc>
        <w:tc>
          <w:tcPr>
            <w:tcW w:w="1111" w:type="pct"/>
            <w:shd w:val="clear" w:color="auto" w:fill="auto"/>
            <w:vAlign w:val="center"/>
          </w:tcPr>
          <w:p>
            <w:pPr>
              <w:pStyle w:val="42"/>
            </w:pPr>
            <w:r>
              <w:t>32.276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210</w:t>
            </w:r>
          </w:p>
        </w:tc>
        <w:tc>
          <w:tcPr>
            <w:tcW w:w="914" w:type="pct"/>
            <w:shd w:val="clear" w:color="auto" w:fill="auto"/>
            <w:vAlign w:val="center"/>
          </w:tcPr>
          <w:p>
            <w:pPr>
              <w:pStyle w:val="42"/>
            </w:pPr>
            <w:r>
              <w:t>2.54</w:t>
            </w:r>
          </w:p>
        </w:tc>
        <w:tc>
          <w:tcPr>
            <w:tcW w:w="1320" w:type="pct"/>
            <w:shd w:val="clear" w:color="auto" w:fill="auto"/>
            <w:vAlign w:val="center"/>
          </w:tcPr>
          <w:p>
            <w:pPr>
              <w:pStyle w:val="42"/>
            </w:pPr>
            <w:r>
              <w:t>32.713</w:t>
            </w:r>
          </w:p>
        </w:tc>
        <w:tc>
          <w:tcPr>
            <w:tcW w:w="998" w:type="pct"/>
            <w:shd w:val="clear" w:color="auto" w:fill="auto"/>
            <w:vAlign w:val="center"/>
          </w:tcPr>
          <w:p>
            <w:pPr>
              <w:pStyle w:val="42"/>
            </w:pPr>
            <w:r>
              <w:t>1.75</w:t>
            </w:r>
          </w:p>
        </w:tc>
        <w:tc>
          <w:tcPr>
            <w:tcW w:w="1111" w:type="pct"/>
            <w:shd w:val="clear" w:color="auto" w:fill="auto"/>
            <w:vAlign w:val="center"/>
          </w:tcPr>
          <w:p>
            <w:pPr>
              <w:pStyle w:val="42"/>
            </w:pPr>
            <w:r>
              <w:t>22.572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260</w:t>
            </w:r>
          </w:p>
        </w:tc>
        <w:tc>
          <w:tcPr>
            <w:tcW w:w="914" w:type="pct"/>
            <w:shd w:val="clear" w:color="auto" w:fill="auto"/>
            <w:vAlign w:val="center"/>
          </w:tcPr>
          <w:p>
            <w:pPr>
              <w:pStyle w:val="42"/>
            </w:pPr>
            <w:r>
              <w:t>3.14</w:t>
            </w:r>
          </w:p>
        </w:tc>
        <w:tc>
          <w:tcPr>
            <w:tcW w:w="1320" w:type="pct"/>
            <w:shd w:val="clear" w:color="auto" w:fill="auto"/>
            <w:vAlign w:val="center"/>
          </w:tcPr>
          <w:p>
            <w:pPr>
              <w:pStyle w:val="42"/>
            </w:pPr>
            <w:r>
              <w:t>24.28</w:t>
            </w:r>
          </w:p>
        </w:tc>
        <w:tc>
          <w:tcPr>
            <w:tcW w:w="998" w:type="pct"/>
            <w:shd w:val="clear" w:color="auto" w:fill="auto"/>
            <w:vAlign w:val="center"/>
          </w:tcPr>
          <w:p>
            <w:pPr>
              <w:pStyle w:val="42"/>
            </w:pPr>
            <w:r>
              <w:t>2.17</w:t>
            </w:r>
          </w:p>
        </w:tc>
        <w:tc>
          <w:tcPr>
            <w:tcW w:w="1111" w:type="pct"/>
            <w:shd w:val="clear" w:color="auto" w:fill="auto"/>
            <w:vAlign w:val="center"/>
          </w:tcPr>
          <w:p>
            <w:pPr>
              <w:pStyle w:val="42"/>
            </w:pPr>
            <w:r>
              <w:t>16.753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310</w:t>
            </w:r>
          </w:p>
        </w:tc>
        <w:tc>
          <w:tcPr>
            <w:tcW w:w="914" w:type="pct"/>
            <w:shd w:val="clear" w:color="auto" w:fill="auto"/>
            <w:vAlign w:val="center"/>
          </w:tcPr>
          <w:p>
            <w:pPr>
              <w:pStyle w:val="42"/>
            </w:pPr>
            <w:r>
              <w:t>3.74</w:t>
            </w:r>
          </w:p>
        </w:tc>
        <w:tc>
          <w:tcPr>
            <w:tcW w:w="1320" w:type="pct"/>
            <w:shd w:val="clear" w:color="auto" w:fill="auto"/>
            <w:vAlign w:val="center"/>
          </w:tcPr>
          <w:p>
            <w:pPr>
              <w:pStyle w:val="42"/>
            </w:pPr>
            <w:r>
              <w:t>18.798</w:t>
            </w:r>
          </w:p>
        </w:tc>
        <w:tc>
          <w:tcPr>
            <w:tcW w:w="998" w:type="pct"/>
            <w:shd w:val="clear" w:color="auto" w:fill="auto"/>
            <w:vAlign w:val="center"/>
          </w:tcPr>
          <w:p>
            <w:pPr>
              <w:pStyle w:val="42"/>
            </w:pPr>
            <w:r>
              <w:t>2.58</w:t>
            </w:r>
          </w:p>
        </w:tc>
        <w:tc>
          <w:tcPr>
            <w:tcW w:w="1111" w:type="pct"/>
            <w:shd w:val="clear" w:color="auto" w:fill="auto"/>
            <w:vAlign w:val="center"/>
          </w:tcPr>
          <w:p>
            <w:pPr>
              <w:pStyle w:val="42"/>
            </w:pPr>
            <w: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360</w:t>
            </w:r>
          </w:p>
        </w:tc>
        <w:tc>
          <w:tcPr>
            <w:tcW w:w="914" w:type="pct"/>
            <w:shd w:val="clear" w:color="auto" w:fill="auto"/>
            <w:vAlign w:val="center"/>
          </w:tcPr>
          <w:p>
            <w:pPr>
              <w:pStyle w:val="42"/>
            </w:pPr>
            <w:r>
              <w:t>4.35</w:t>
            </w:r>
          </w:p>
        </w:tc>
        <w:tc>
          <w:tcPr>
            <w:tcW w:w="1320" w:type="pct"/>
            <w:shd w:val="clear" w:color="auto" w:fill="auto"/>
            <w:vAlign w:val="center"/>
          </w:tcPr>
          <w:p>
            <w:pPr>
              <w:pStyle w:val="42"/>
            </w:pPr>
            <w:r>
              <w:t>15.026</w:t>
            </w:r>
          </w:p>
        </w:tc>
        <w:tc>
          <w:tcPr>
            <w:tcW w:w="998" w:type="pct"/>
            <w:shd w:val="clear" w:color="auto" w:fill="auto"/>
            <w:vAlign w:val="center"/>
          </w:tcPr>
          <w:p>
            <w:pPr>
              <w:pStyle w:val="42"/>
            </w:pPr>
            <w:r>
              <w:t>3</w:t>
            </w:r>
          </w:p>
        </w:tc>
        <w:tc>
          <w:tcPr>
            <w:tcW w:w="1111" w:type="pct"/>
            <w:shd w:val="clear" w:color="auto" w:fill="auto"/>
            <w:vAlign w:val="center"/>
          </w:tcPr>
          <w:p>
            <w:pPr>
              <w:pStyle w:val="42"/>
            </w:pPr>
            <w: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410</w:t>
            </w:r>
          </w:p>
        </w:tc>
        <w:tc>
          <w:tcPr>
            <w:tcW w:w="914" w:type="pct"/>
            <w:shd w:val="clear" w:color="auto" w:fill="auto"/>
            <w:vAlign w:val="center"/>
          </w:tcPr>
          <w:p>
            <w:pPr>
              <w:pStyle w:val="42"/>
            </w:pPr>
            <w:r>
              <w:t>4.95</w:t>
            </w:r>
          </w:p>
        </w:tc>
        <w:tc>
          <w:tcPr>
            <w:tcW w:w="1320" w:type="pct"/>
            <w:shd w:val="clear" w:color="auto" w:fill="auto"/>
            <w:vAlign w:val="center"/>
          </w:tcPr>
          <w:p>
            <w:pPr>
              <w:pStyle w:val="42"/>
            </w:pPr>
            <w:r>
              <w:t>12.317</w:t>
            </w:r>
          </w:p>
        </w:tc>
        <w:tc>
          <w:tcPr>
            <w:tcW w:w="998" w:type="pct"/>
            <w:shd w:val="clear" w:color="auto" w:fill="auto"/>
            <w:vAlign w:val="center"/>
          </w:tcPr>
          <w:p>
            <w:pPr>
              <w:pStyle w:val="42"/>
            </w:pPr>
            <w:r>
              <w:t>3.42</w:t>
            </w:r>
          </w:p>
        </w:tc>
        <w:tc>
          <w:tcPr>
            <w:tcW w:w="1111" w:type="pct"/>
            <w:shd w:val="clear" w:color="auto" w:fill="auto"/>
            <w:vAlign w:val="center"/>
          </w:tcPr>
          <w:p>
            <w:pPr>
              <w:pStyle w:val="42"/>
            </w:pPr>
            <w:r>
              <w:t>8.4987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460</w:t>
            </w:r>
          </w:p>
        </w:tc>
        <w:tc>
          <w:tcPr>
            <w:tcW w:w="914" w:type="pct"/>
            <w:shd w:val="clear" w:color="auto" w:fill="auto"/>
            <w:vAlign w:val="center"/>
          </w:tcPr>
          <w:p>
            <w:pPr>
              <w:pStyle w:val="42"/>
            </w:pPr>
            <w:r>
              <w:t>5.56</w:t>
            </w:r>
          </w:p>
        </w:tc>
        <w:tc>
          <w:tcPr>
            <w:tcW w:w="1320" w:type="pct"/>
            <w:shd w:val="clear" w:color="auto" w:fill="auto"/>
            <w:vAlign w:val="center"/>
          </w:tcPr>
          <w:p>
            <w:pPr>
              <w:pStyle w:val="42"/>
            </w:pPr>
            <w:r>
              <w:t>10.302</w:t>
            </w:r>
          </w:p>
        </w:tc>
        <w:tc>
          <w:tcPr>
            <w:tcW w:w="998" w:type="pct"/>
            <w:shd w:val="clear" w:color="auto" w:fill="auto"/>
            <w:vAlign w:val="center"/>
          </w:tcPr>
          <w:p>
            <w:pPr>
              <w:pStyle w:val="42"/>
            </w:pPr>
            <w:r>
              <w:t>3.83</w:t>
            </w:r>
          </w:p>
        </w:tc>
        <w:tc>
          <w:tcPr>
            <w:tcW w:w="1111" w:type="pct"/>
            <w:shd w:val="clear" w:color="auto" w:fill="auto"/>
            <w:vAlign w:val="center"/>
          </w:tcPr>
          <w:p>
            <w:pPr>
              <w:pStyle w:val="42"/>
            </w:pPr>
            <w:r>
              <w:t>7.1085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510</w:t>
            </w:r>
          </w:p>
        </w:tc>
        <w:tc>
          <w:tcPr>
            <w:tcW w:w="914" w:type="pct"/>
            <w:shd w:val="clear" w:color="auto" w:fill="auto"/>
            <w:vAlign w:val="center"/>
          </w:tcPr>
          <w:p>
            <w:pPr>
              <w:pStyle w:val="42"/>
            </w:pPr>
            <w:r>
              <w:t>6.16</w:t>
            </w:r>
          </w:p>
        </w:tc>
        <w:tc>
          <w:tcPr>
            <w:tcW w:w="1320" w:type="pct"/>
            <w:shd w:val="clear" w:color="auto" w:fill="auto"/>
            <w:vAlign w:val="center"/>
          </w:tcPr>
          <w:p>
            <w:pPr>
              <w:pStyle w:val="42"/>
            </w:pPr>
            <w:r>
              <w:t>8.7611</w:t>
            </w:r>
          </w:p>
        </w:tc>
        <w:tc>
          <w:tcPr>
            <w:tcW w:w="998" w:type="pct"/>
            <w:shd w:val="clear" w:color="auto" w:fill="auto"/>
            <w:vAlign w:val="center"/>
          </w:tcPr>
          <w:p>
            <w:pPr>
              <w:pStyle w:val="42"/>
            </w:pPr>
            <w:r>
              <w:t>4.25</w:t>
            </w:r>
          </w:p>
        </w:tc>
        <w:tc>
          <w:tcPr>
            <w:tcW w:w="1111" w:type="pct"/>
            <w:shd w:val="clear" w:color="auto" w:fill="auto"/>
            <w:vAlign w:val="center"/>
          </w:tcPr>
          <w:p>
            <w:pPr>
              <w:pStyle w:val="42"/>
            </w:pPr>
            <w:r>
              <w:t>6.0452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560</w:t>
            </w:r>
          </w:p>
        </w:tc>
        <w:tc>
          <w:tcPr>
            <w:tcW w:w="914" w:type="pct"/>
            <w:shd w:val="clear" w:color="auto" w:fill="auto"/>
            <w:vAlign w:val="center"/>
          </w:tcPr>
          <w:p>
            <w:pPr>
              <w:pStyle w:val="42"/>
            </w:pPr>
            <w:r>
              <w:t>6.76</w:t>
            </w:r>
          </w:p>
        </w:tc>
        <w:tc>
          <w:tcPr>
            <w:tcW w:w="1320" w:type="pct"/>
            <w:shd w:val="clear" w:color="auto" w:fill="auto"/>
            <w:vAlign w:val="center"/>
          </w:tcPr>
          <w:p>
            <w:pPr>
              <w:pStyle w:val="42"/>
            </w:pPr>
            <w:r>
              <w:t>7.5543</w:t>
            </w:r>
          </w:p>
        </w:tc>
        <w:tc>
          <w:tcPr>
            <w:tcW w:w="998" w:type="pct"/>
            <w:shd w:val="clear" w:color="auto" w:fill="auto"/>
            <w:vAlign w:val="center"/>
          </w:tcPr>
          <w:p>
            <w:pPr>
              <w:pStyle w:val="42"/>
            </w:pPr>
            <w:r>
              <w:t>4.67</w:t>
            </w:r>
          </w:p>
        </w:tc>
        <w:tc>
          <w:tcPr>
            <w:tcW w:w="1111" w:type="pct"/>
            <w:shd w:val="clear" w:color="auto" w:fill="auto"/>
            <w:vAlign w:val="center"/>
          </w:tcPr>
          <w:p>
            <w:pPr>
              <w:pStyle w:val="42"/>
            </w:pPr>
            <w:r>
              <w:t>5.2124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610</w:t>
            </w:r>
          </w:p>
        </w:tc>
        <w:tc>
          <w:tcPr>
            <w:tcW w:w="914" w:type="pct"/>
            <w:shd w:val="clear" w:color="auto" w:fill="auto"/>
            <w:vAlign w:val="center"/>
          </w:tcPr>
          <w:p>
            <w:pPr>
              <w:pStyle w:val="42"/>
            </w:pPr>
            <w:r>
              <w:t>7.37</w:t>
            </w:r>
          </w:p>
        </w:tc>
        <w:tc>
          <w:tcPr>
            <w:tcW w:w="1320" w:type="pct"/>
            <w:shd w:val="clear" w:color="auto" w:fill="auto"/>
            <w:vAlign w:val="center"/>
          </w:tcPr>
          <w:p>
            <w:pPr>
              <w:pStyle w:val="42"/>
            </w:pPr>
            <w:r>
              <w:t>6.5904</w:t>
            </w:r>
          </w:p>
        </w:tc>
        <w:tc>
          <w:tcPr>
            <w:tcW w:w="998" w:type="pct"/>
            <w:shd w:val="clear" w:color="auto" w:fill="auto"/>
            <w:vAlign w:val="center"/>
          </w:tcPr>
          <w:p>
            <w:pPr>
              <w:pStyle w:val="42"/>
            </w:pPr>
            <w:r>
              <w:t>5.08</w:t>
            </w:r>
          </w:p>
        </w:tc>
        <w:tc>
          <w:tcPr>
            <w:tcW w:w="1111" w:type="pct"/>
            <w:shd w:val="clear" w:color="auto" w:fill="auto"/>
            <w:vAlign w:val="center"/>
          </w:tcPr>
          <w:p>
            <w:pPr>
              <w:pStyle w:val="42"/>
            </w:pPr>
            <w:r>
              <w:t>4.5473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660</w:t>
            </w:r>
          </w:p>
        </w:tc>
        <w:tc>
          <w:tcPr>
            <w:tcW w:w="914" w:type="pct"/>
            <w:shd w:val="clear" w:color="auto" w:fill="auto"/>
            <w:vAlign w:val="center"/>
          </w:tcPr>
          <w:p>
            <w:pPr>
              <w:pStyle w:val="42"/>
            </w:pPr>
            <w:r>
              <w:t>7.97</w:t>
            </w:r>
          </w:p>
        </w:tc>
        <w:tc>
          <w:tcPr>
            <w:tcW w:w="1320" w:type="pct"/>
            <w:shd w:val="clear" w:color="auto" w:fill="auto"/>
            <w:vAlign w:val="center"/>
          </w:tcPr>
          <w:p>
            <w:pPr>
              <w:pStyle w:val="42"/>
            </w:pPr>
            <w:r>
              <w:t>5.8073</w:t>
            </w:r>
          </w:p>
        </w:tc>
        <w:tc>
          <w:tcPr>
            <w:tcW w:w="998" w:type="pct"/>
            <w:shd w:val="clear" w:color="auto" w:fill="auto"/>
            <w:vAlign w:val="center"/>
          </w:tcPr>
          <w:p>
            <w:pPr>
              <w:pStyle w:val="42"/>
            </w:pPr>
            <w:r>
              <w:t>5.5</w:t>
            </w:r>
          </w:p>
        </w:tc>
        <w:tc>
          <w:tcPr>
            <w:tcW w:w="1111" w:type="pct"/>
            <w:shd w:val="clear" w:color="auto" w:fill="auto"/>
            <w:vAlign w:val="center"/>
          </w:tcPr>
          <w:p>
            <w:pPr>
              <w:pStyle w:val="42"/>
            </w:pPr>
            <w:r>
              <w:t>4.0071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710</w:t>
            </w:r>
          </w:p>
        </w:tc>
        <w:tc>
          <w:tcPr>
            <w:tcW w:w="914" w:type="pct"/>
            <w:shd w:val="clear" w:color="auto" w:fill="auto"/>
            <w:vAlign w:val="center"/>
          </w:tcPr>
          <w:p>
            <w:pPr>
              <w:pStyle w:val="42"/>
            </w:pPr>
            <w:r>
              <w:t>8.57</w:t>
            </w:r>
          </w:p>
        </w:tc>
        <w:tc>
          <w:tcPr>
            <w:tcW w:w="1320" w:type="pct"/>
            <w:shd w:val="clear" w:color="auto" w:fill="auto"/>
            <w:vAlign w:val="center"/>
          </w:tcPr>
          <w:p>
            <w:pPr>
              <w:pStyle w:val="42"/>
            </w:pPr>
            <w:r>
              <w:t>5.1619</w:t>
            </w:r>
          </w:p>
        </w:tc>
        <w:tc>
          <w:tcPr>
            <w:tcW w:w="998" w:type="pct"/>
            <w:shd w:val="clear" w:color="auto" w:fill="auto"/>
            <w:vAlign w:val="center"/>
          </w:tcPr>
          <w:p>
            <w:pPr>
              <w:pStyle w:val="42"/>
            </w:pPr>
            <w:r>
              <w:t>5.92</w:t>
            </w:r>
          </w:p>
        </w:tc>
        <w:tc>
          <w:tcPr>
            <w:tcW w:w="1111" w:type="pct"/>
            <w:shd w:val="clear" w:color="auto" w:fill="auto"/>
            <w:vAlign w:val="center"/>
          </w:tcPr>
          <w:p>
            <w:pPr>
              <w:pStyle w:val="42"/>
            </w:pPr>
            <w:r>
              <w:t>3.5617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760</w:t>
            </w:r>
          </w:p>
        </w:tc>
        <w:tc>
          <w:tcPr>
            <w:tcW w:w="914" w:type="pct"/>
            <w:shd w:val="clear" w:color="auto" w:fill="auto"/>
            <w:vAlign w:val="center"/>
          </w:tcPr>
          <w:p>
            <w:pPr>
              <w:pStyle w:val="42"/>
            </w:pPr>
            <w:r>
              <w:t>9.18</w:t>
            </w:r>
          </w:p>
        </w:tc>
        <w:tc>
          <w:tcPr>
            <w:tcW w:w="1320" w:type="pct"/>
            <w:shd w:val="clear" w:color="auto" w:fill="auto"/>
            <w:vAlign w:val="center"/>
          </w:tcPr>
          <w:p>
            <w:pPr>
              <w:pStyle w:val="42"/>
            </w:pPr>
            <w:r>
              <w:t>4.6232</w:t>
            </w:r>
          </w:p>
        </w:tc>
        <w:tc>
          <w:tcPr>
            <w:tcW w:w="998" w:type="pct"/>
            <w:shd w:val="clear" w:color="auto" w:fill="auto"/>
            <w:vAlign w:val="center"/>
          </w:tcPr>
          <w:p>
            <w:pPr>
              <w:pStyle w:val="42"/>
            </w:pPr>
            <w:r>
              <w:t>6.33</w:t>
            </w:r>
          </w:p>
        </w:tc>
        <w:tc>
          <w:tcPr>
            <w:tcW w:w="1111" w:type="pct"/>
            <w:shd w:val="clear" w:color="auto" w:fill="auto"/>
            <w:vAlign w:val="center"/>
          </w:tcPr>
          <w:p>
            <w:pPr>
              <w:pStyle w:val="42"/>
            </w:pPr>
            <w: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810</w:t>
            </w:r>
          </w:p>
        </w:tc>
        <w:tc>
          <w:tcPr>
            <w:tcW w:w="914" w:type="pct"/>
            <w:shd w:val="clear" w:color="auto" w:fill="auto"/>
            <w:vAlign w:val="center"/>
          </w:tcPr>
          <w:p>
            <w:pPr>
              <w:pStyle w:val="42"/>
            </w:pPr>
            <w:r>
              <w:t>9.78</w:t>
            </w:r>
          </w:p>
        </w:tc>
        <w:tc>
          <w:tcPr>
            <w:tcW w:w="1320" w:type="pct"/>
            <w:shd w:val="clear" w:color="auto" w:fill="auto"/>
            <w:vAlign w:val="center"/>
          </w:tcPr>
          <w:p>
            <w:pPr>
              <w:pStyle w:val="42"/>
            </w:pPr>
            <w:r>
              <w:t>4.1684</w:t>
            </w:r>
          </w:p>
        </w:tc>
        <w:tc>
          <w:tcPr>
            <w:tcW w:w="998" w:type="pct"/>
            <w:shd w:val="clear" w:color="auto" w:fill="auto"/>
            <w:vAlign w:val="center"/>
          </w:tcPr>
          <w:p>
            <w:pPr>
              <w:pStyle w:val="42"/>
            </w:pPr>
            <w:r>
              <w:t>6.75</w:t>
            </w:r>
          </w:p>
        </w:tc>
        <w:tc>
          <w:tcPr>
            <w:tcW w:w="1111" w:type="pct"/>
            <w:shd w:val="clear" w:color="auto" w:fill="auto"/>
            <w:vAlign w:val="center"/>
          </w:tcPr>
          <w:p>
            <w:pPr>
              <w:pStyle w:val="42"/>
            </w:pPr>
            <w:r>
              <w:t>2.8762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860</w:t>
            </w:r>
          </w:p>
        </w:tc>
        <w:tc>
          <w:tcPr>
            <w:tcW w:w="914" w:type="pct"/>
            <w:shd w:val="clear" w:color="auto" w:fill="auto"/>
            <w:vAlign w:val="center"/>
          </w:tcPr>
          <w:p>
            <w:pPr>
              <w:pStyle w:val="42"/>
            </w:pPr>
            <w:r>
              <w:t>10.39</w:t>
            </w:r>
          </w:p>
        </w:tc>
        <w:tc>
          <w:tcPr>
            <w:tcW w:w="1320" w:type="pct"/>
            <w:shd w:val="clear" w:color="auto" w:fill="auto"/>
            <w:vAlign w:val="center"/>
          </w:tcPr>
          <w:p>
            <w:pPr>
              <w:pStyle w:val="42"/>
            </w:pPr>
            <w:r>
              <w:t>3.7806</w:t>
            </w:r>
          </w:p>
        </w:tc>
        <w:tc>
          <w:tcPr>
            <w:tcW w:w="998" w:type="pct"/>
            <w:shd w:val="clear" w:color="auto" w:fill="auto"/>
            <w:vAlign w:val="center"/>
          </w:tcPr>
          <w:p>
            <w:pPr>
              <w:pStyle w:val="42"/>
            </w:pPr>
            <w:r>
              <w:t>7.17</w:t>
            </w:r>
          </w:p>
        </w:tc>
        <w:tc>
          <w:tcPr>
            <w:tcW w:w="1111" w:type="pct"/>
            <w:shd w:val="clear" w:color="auto" w:fill="auto"/>
            <w:vAlign w:val="center"/>
          </w:tcPr>
          <w:p>
            <w:pPr>
              <w:pStyle w:val="42"/>
            </w:pPr>
            <w:r>
              <w:t>2.6086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910</w:t>
            </w:r>
          </w:p>
        </w:tc>
        <w:tc>
          <w:tcPr>
            <w:tcW w:w="914" w:type="pct"/>
            <w:shd w:val="clear" w:color="auto" w:fill="auto"/>
            <w:vAlign w:val="center"/>
          </w:tcPr>
          <w:p>
            <w:pPr>
              <w:pStyle w:val="42"/>
            </w:pPr>
            <w:r>
              <w:t>10.99</w:t>
            </w:r>
          </w:p>
        </w:tc>
        <w:tc>
          <w:tcPr>
            <w:tcW w:w="1320" w:type="pct"/>
            <w:shd w:val="clear" w:color="auto" w:fill="auto"/>
            <w:vAlign w:val="center"/>
          </w:tcPr>
          <w:p>
            <w:pPr>
              <w:pStyle w:val="42"/>
            </w:pPr>
            <w:r>
              <w:t>3.4471</w:t>
            </w:r>
          </w:p>
        </w:tc>
        <w:tc>
          <w:tcPr>
            <w:tcW w:w="998" w:type="pct"/>
            <w:shd w:val="clear" w:color="auto" w:fill="auto"/>
            <w:vAlign w:val="center"/>
          </w:tcPr>
          <w:p>
            <w:pPr>
              <w:pStyle w:val="42"/>
            </w:pPr>
            <w:r>
              <w:t>7.58</w:t>
            </w:r>
          </w:p>
        </w:tc>
        <w:tc>
          <w:tcPr>
            <w:tcW w:w="1111" w:type="pct"/>
            <w:shd w:val="clear" w:color="auto" w:fill="auto"/>
            <w:vAlign w:val="center"/>
          </w:tcPr>
          <w:p>
            <w:pPr>
              <w:pStyle w:val="42"/>
            </w:pPr>
            <w:r>
              <w:t>2.3785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960</w:t>
            </w:r>
          </w:p>
        </w:tc>
        <w:tc>
          <w:tcPr>
            <w:tcW w:w="914" w:type="pct"/>
            <w:shd w:val="clear" w:color="auto" w:fill="auto"/>
            <w:vAlign w:val="center"/>
          </w:tcPr>
          <w:p>
            <w:pPr>
              <w:pStyle w:val="42"/>
            </w:pPr>
            <w:r>
              <w:t>11.59</w:t>
            </w:r>
          </w:p>
        </w:tc>
        <w:tc>
          <w:tcPr>
            <w:tcW w:w="1320" w:type="pct"/>
            <w:shd w:val="clear" w:color="auto" w:fill="auto"/>
            <w:vAlign w:val="center"/>
          </w:tcPr>
          <w:p>
            <w:pPr>
              <w:pStyle w:val="42"/>
            </w:pPr>
            <w:r>
              <w:t>3.158</w:t>
            </w:r>
          </w:p>
        </w:tc>
        <w:tc>
          <w:tcPr>
            <w:tcW w:w="998" w:type="pct"/>
            <w:shd w:val="clear" w:color="auto" w:fill="auto"/>
            <w:vAlign w:val="center"/>
          </w:tcPr>
          <w:p>
            <w:pPr>
              <w:pStyle w:val="42"/>
            </w:pPr>
            <w:r>
              <w:t>8</w:t>
            </w:r>
          </w:p>
        </w:tc>
        <w:tc>
          <w:tcPr>
            <w:tcW w:w="1111" w:type="pct"/>
            <w:shd w:val="clear" w:color="auto" w:fill="auto"/>
            <w:vAlign w:val="center"/>
          </w:tcPr>
          <w:p>
            <w:pPr>
              <w:pStyle w:val="42"/>
            </w:pPr>
            <w:r>
              <w:t>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1010</w:t>
            </w:r>
          </w:p>
        </w:tc>
        <w:tc>
          <w:tcPr>
            <w:tcW w:w="914" w:type="pct"/>
            <w:shd w:val="clear" w:color="auto" w:fill="auto"/>
            <w:vAlign w:val="center"/>
          </w:tcPr>
          <w:p>
            <w:pPr>
              <w:pStyle w:val="42"/>
            </w:pPr>
            <w:r>
              <w:t>12.2</w:t>
            </w:r>
          </w:p>
        </w:tc>
        <w:tc>
          <w:tcPr>
            <w:tcW w:w="1320" w:type="pct"/>
            <w:shd w:val="clear" w:color="auto" w:fill="auto"/>
            <w:vAlign w:val="center"/>
          </w:tcPr>
          <w:p>
            <w:pPr>
              <w:pStyle w:val="42"/>
            </w:pPr>
            <w:r>
              <w:t>2.9056</w:t>
            </w:r>
          </w:p>
        </w:tc>
        <w:tc>
          <w:tcPr>
            <w:tcW w:w="998" w:type="pct"/>
            <w:shd w:val="clear" w:color="auto" w:fill="auto"/>
            <w:vAlign w:val="center"/>
          </w:tcPr>
          <w:p>
            <w:pPr>
              <w:pStyle w:val="42"/>
            </w:pPr>
            <w:r>
              <w:t>8.42</w:t>
            </w:r>
          </w:p>
        </w:tc>
        <w:tc>
          <w:tcPr>
            <w:tcW w:w="1111" w:type="pct"/>
            <w:shd w:val="clear" w:color="auto" w:fill="auto"/>
            <w:vAlign w:val="center"/>
          </w:tcPr>
          <w:p>
            <w:pPr>
              <w:pStyle w:val="42"/>
            </w:pPr>
            <w:r>
              <w:t>2.0048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1510</w:t>
            </w:r>
          </w:p>
        </w:tc>
        <w:tc>
          <w:tcPr>
            <w:tcW w:w="914" w:type="pct"/>
            <w:shd w:val="clear" w:color="auto" w:fill="auto"/>
            <w:vAlign w:val="center"/>
          </w:tcPr>
          <w:p>
            <w:pPr>
              <w:pStyle w:val="42"/>
            </w:pPr>
            <w:r>
              <w:t>20.24</w:t>
            </w:r>
          </w:p>
        </w:tc>
        <w:tc>
          <w:tcPr>
            <w:tcW w:w="1320" w:type="pct"/>
            <w:shd w:val="clear" w:color="auto" w:fill="auto"/>
            <w:vAlign w:val="center"/>
          </w:tcPr>
          <w:p>
            <w:pPr>
              <w:pStyle w:val="42"/>
            </w:pPr>
            <w:r>
              <w:t>1.5212</w:t>
            </w:r>
          </w:p>
        </w:tc>
        <w:tc>
          <w:tcPr>
            <w:tcW w:w="998" w:type="pct"/>
            <w:shd w:val="clear" w:color="auto" w:fill="auto"/>
            <w:vAlign w:val="center"/>
          </w:tcPr>
          <w:p>
            <w:pPr>
              <w:pStyle w:val="42"/>
            </w:pPr>
            <w:r>
              <w:t>12.58</w:t>
            </w:r>
          </w:p>
        </w:tc>
        <w:tc>
          <w:tcPr>
            <w:tcW w:w="1111" w:type="pct"/>
            <w:shd w:val="clear" w:color="auto" w:fill="auto"/>
            <w:vAlign w:val="center"/>
          </w:tcPr>
          <w:p>
            <w:pPr>
              <w:pStyle w:val="42"/>
            </w:pPr>
            <w:r>
              <w:t>1.0497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2010</w:t>
            </w:r>
          </w:p>
        </w:tc>
        <w:tc>
          <w:tcPr>
            <w:tcW w:w="914" w:type="pct"/>
            <w:shd w:val="clear" w:color="auto" w:fill="auto"/>
            <w:vAlign w:val="center"/>
          </w:tcPr>
          <w:p>
            <w:pPr>
              <w:pStyle w:val="42"/>
            </w:pPr>
            <w:r>
              <w:t>27.28</w:t>
            </w:r>
          </w:p>
        </w:tc>
        <w:tc>
          <w:tcPr>
            <w:tcW w:w="1320" w:type="pct"/>
            <w:shd w:val="clear" w:color="auto" w:fill="auto"/>
            <w:vAlign w:val="center"/>
          </w:tcPr>
          <w:p>
            <w:pPr>
              <w:pStyle w:val="42"/>
            </w:pPr>
            <w:r>
              <w:t>1.0416</w:t>
            </w:r>
          </w:p>
        </w:tc>
        <w:tc>
          <w:tcPr>
            <w:tcW w:w="998" w:type="pct"/>
            <w:shd w:val="clear" w:color="auto" w:fill="auto"/>
            <w:vAlign w:val="center"/>
          </w:tcPr>
          <w:p>
            <w:pPr>
              <w:pStyle w:val="42"/>
            </w:pPr>
            <w:r>
              <w:t>18.75</w:t>
            </w:r>
          </w:p>
        </w:tc>
        <w:tc>
          <w:tcPr>
            <w:tcW w:w="1111" w:type="pct"/>
            <w:shd w:val="clear" w:color="auto" w:fill="auto"/>
            <w:vAlign w:val="center"/>
          </w:tcPr>
          <w:p>
            <w:pPr>
              <w:pStyle w:val="42"/>
            </w:pPr>
            <w:r>
              <w:t>0.7187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2510</w:t>
            </w:r>
          </w:p>
        </w:tc>
        <w:tc>
          <w:tcPr>
            <w:tcW w:w="914" w:type="pct"/>
            <w:shd w:val="clear" w:color="auto" w:fill="auto"/>
            <w:noWrap/>
            <w:vAlign w:val="center"/>
          </w:tcPr>
          <w:p>
            <w:pPr>
              <w:pStyle w:val="42"/>
            </w:pPr>
            <w:r>
              <w:t>34.31</w:t>
            </w:r>
          </w:p>
        </w:tc>
        <w:tc>
          <w:tcPr>
            <w:tcW w:w="1320" w:type="pct"/>
            <w:shd w:val="clear" w:color="auto" w:fill="auto"/>
            <w:noWrap/>
            <w:vAlign w:val="center"/>
          </w:tcPr>
          <w:p>
            <w:pPr>
              <w:pStyle w:val="42"/>
            </w:pPr>
            <w:r>
              <w:t>0.7756</w:t>
            </w:r>
          </w:p>
        </w:tc>
        <w:tc>
          <w:tcPr>
            <w:tcW w:w="998" w:type="pct"/>
            <w:shd w:val="clear" w:color="auto" w:fill="auto"/>
            <w:noWrap/>
            <w:vAlign w:val="center"/>
          </w:tcPr>
          <w:p>
            <w:pPr>
              <w:pStyle w:val="42"/>
            </w:pPr>
            <w:r>
              <w:t>23.92</w:t>
            </w:r>
          </w:p>
        </w:tc>
        <w:tc>
          <w:tcPr>
            <w:tcW w:w="1111" w:type="pct"/>
            <w:shd w:val="clear" w:color="auto" w:fill="auto"/>
            <w:noWrap/>
            <w:vAlign w:val="center"/>
          </w:tcPr>
          <w:p>
            <w:pPr>
              <w:pStyle w:val="42"/>
            </w:pPr>
            <w:r>
              <w:t>0.5352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3010</w:t>
            </w:r>
          </w:p>
        </w:tc>
        <w:tc>
          <w:tcPr>
            <w:tcW w:w="914" w:type="pct"/>
            <w:shd w:val="clear" w:color="auto" w:fill="auto"/>
            <w:noWrap/>
            <w:vAlign w:val="center"/>
          </w:tcPr>
          <w:p>
            <w:pPr>
              <w:pStyle w:val="42"/>
            </w:pPr>
            <w:r>
              <w:t>40.35</w:t>
            </w:r>
          </w:p>
        </w:tc>
        <w:tc>
          <w:tcPr>
            <w:tcW w:w="1320" w:type="pct"/>
            <w:shd w:val="clear" w:color="auto" w:fill="auto"/>
            <w:noWrap/>
            <w:vAlign w:val="center"/>
          </w:tcPr>
          <w:p>
            <w:pPr>
              <w:pStyle w:val="42"/>
            </w:pPr>
            <w:r>
              <w:t>0.6093</w:t>
            </w:r>
          </w:p>
        </w:tc>
        <w:tc>
          <w:tcPr>
            <w:tcW w:w="998" w:type="pct"/>
            <w:shd w:val="clear" w:color="auto" w:fill="auto"/>
            <w:noWrap/>
            <w:vAlign w:val="center"/>
          </w:tcPr>
          <w:p>
            <w:pPr>
              <w:pStyle w:val="42"/>
            </w:pPr>
            <w:r>
              <w:t>28.08</w:t>
            </w:r>
          </w:p>
        </w:tc>
        <w:tc>
          <w:tcPr>
            <w:tcW w:w="1111" w:type="pct"/>
            <w:shd w:val="clear" w:color="auto" w:fill="auto"/>
            <w:noWrap/>
            <w:vAlign w:val="center"/>
          </w:tcPr>
          <w:p>
            <w:pPr>
              <w:pStyle w:val="42"/>
            </w:pPr>
            <w:r>
              <w:t>0.4204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3510</w:t>
            </w:r>
          </w:p>
        </w:tc>
        <w:tc>
          <w:tcPr>
            <w:tcW w:w="914" w:type="pct"/>
            <w:shd w:val="clear" w:color="auto" w:fill="auto"/>
            <w:noWrap/>
            <w:vAlign w:val="center"/>
          </w:tcPr>
          <w:p>
            <w:pPr>
              <w:pStyle w:val="42"/>
            </w:pPr>
            <w:r>
              <w:t>47.39</w:t>
            </w:r>
          </w:p>
        </w:tc>
        <w:tc>
          <w:tcPr>
            <w:tcW w:w="1320" w:type="pct"/>
            <w:shd w:val="clear" w:color="auto" w:fill="auto"/>
            <w:noWrap/>
            <w:vAlign w:val="center"/>
          </w:tcPr>
          <w:p>
            <w:pPr>
              <w:pStyle w:val="42"/>
            </w:pPr>
            <w:r>
              <w:t>0.4967</w:t>
            </w:r>
          </w:p>
        </w:tc>
        <w:tc>
          <w:tcPr>
            <w:tcW w:w="998" w:type="pct"/>
            <w:shd w:val="clear" w:color="auto" w:fill="auto"/>
            <w:noWrap/>
            <w:vAlign w:val="center"/>
          </w:tcPr>
          <w:p>
            <w:pPr>
              <w:pStyle w:val="42"/>
            </w:pPr>
            <w:r>
              <w:t>32.25</w:t>
            </w:r>
          </w:p>
        </w:tc>
        <w:tc>
          <w:tcPr>
            <w:tcW w:w="1111" w:type="pct"/>
            <w:shd w:val="clear" w:color="auto" w:fill="auto"/>
            <w:noWrap/>
            <w:vAlign w:val="center"/>
          </w:tcPr>
          <w:p>
            <w:pPr>
              <w:pStyle w:val="42"/>
            </w:pPr>
            <w:r>
              <w:t>0.3427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4010</w:t>
            </w:r>
          </w:p>
        </w:tc>
        <w:tc>
          <w:tcPr>
            <w:tcW w:w="914" w:type="pct"/>
            <w:shd w:val="clear" w:color="auto" w:fill="auto"/>
            <w:noWrap/>
            <w:vAlign w:val="center"/>
          </w:tcPr>
          <w:p>
            <w:pPr>
              <w:pStyle w:val="42"/>
            </w:pPr>
            <w:r>
              <w:t>53.43</w:t>
            </w:r>
          </w:p>
        </w:tc>
        <w:tc>
          <w:tcPr>
            <w:tcW w:w="1320" w:type="pct"/>
            <w:shd w:val="clear" w:color="auto" w:fill="auto"/>
            <w:noWrap/>
            <w:vAlign w:val="center"/>
          </w:tcPr>
          <w:p>
            <w:pPr>
              <w:pStyle w:val="42"/>
            </w:pPr>
            <w:r>
              <w:t>0.416</w:t>
            </w:r>
          </w:p>
        </w:tc>
        <w:tc>
          <w:tcPr>
            <w:tcW w:w="998" w:type="pct"/>
            <w:shd w:val="clear" w:color="auto" w:fill="auto"/>
            <w:noWrap/>
            <w:vAlign w:val="center"/>
          </w:tcPr>
          <w:p>
            <w:pPr>
              <w:pStyle w:val="42"/>
            </w:pPr>
            <w:r>
              <w:t>37.42</w:t>
            </w:r>
          </w:p>
        </w:tc>
        <w:tc>
          <w:tcPr>
            <w:tcW w:w="1111" w:type="pct"/>
            <w:shd w:val="clear" w:color="auto" w:fill="auto"/>
            <w:noWrap/>
            <w:vAlign w:val="center"/>
          </w:tcPr>
          <w:p>
            <w:pPr>
              <w:pStyle w:val="42"/>
            </w:pPr>
            <w: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4510</w:t>
            </w:r>
          </w:p>
        </w:tc>
        <w:tc>
          <w:tcPr>
            <w:tcW w:w="914" w:type="pct"/>
            <w:shd w:val="clear" w:color="auto" w:fill="auto"/>
            <w:noWrap/>
            <w:vAlign w:val="center"/>
          </w:tcPr>
          <w:p>
            <w:pPr>
              <w:pStyle w:val="42"/>
            </w:pPr>
            <w:r>
              <w:t>60.47</w:t>
            </w:r>
          </w:p>
        </w:tc>
        <w:tc>
          <w:tcPr>
            <w:tcW w:w="1320" w:type="pct"/>
            <w:shd w:val="clear" w:color="auto" w:fill="auto"/>
            <w:noWrap/>
            <w:vAlign w:val="center"/>
          </w:tcPr>
          <w:p>
            <w:pPr>
              <w:pStyle w:val="42"/>
            </w:pPr>
            <w:r>
              <w:t>0.3557</w:t>
            </w:r>
          </w:p>
        </w:tc>
        <w:tc>
          <w:tcPr>
            <w:tcW w:w="998" w:type="pct"/>
            <w:shd w:val="clear" w:color="auto" w:fill="auto"/>
            <w:noWrap/>
            <w:vAlign w:val="center"/>
          </w:tcPr>
          <w:p>
            <w:pPr>
              <w:pStyle w:val="42"/>
            </w:pPr>
            <w:r>
              <w:t>41.58</w:t>
            </w:r>
          </w:p>
        </w:tc>
        <w:tc>
          <w:tcPr>
            <w:tcW w:w="1111" w:type="pct"/>
            <w:shd w:val="clear" w:color="auto" w:fill="auto"/>
            <w:noWrap/>
            <w:vAlign w:val="center"/>
          </w:tcPr>
          <w:p>
            <w:pPr>
              <w:pStyle w:val="42"/>
            </w:pPr>
            <w:r>
              <w:t>0.2454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7" w:type="pct"/>
            <w:shd w:val="clear" w:color="auto" w:fill="auto"/>
            <w:vAlign w:val="center"/>
          </w:tcPr>
          <w:p>
            <w:pPr>
              <w:pStyle w:val="42"/>
            </w:pPr>
            <w:r>
              <w:rPr>
                <w:rFonts w:hint="eastAsia"/>
              </w:rPr>
              <w:t>5010</w:t>
            </w:r>
          </w:p>
        </w:tc>
        <w:tc>
          <w:tcPr>
            <w:tcW w:w="914" w:type="pct"/>
            <w:shd w:val="clear" w:color="auto" w:fill="auto"/>
            <w:noWrap/>
            <w:vAlign w:val="center"/>
          </w:tcPr>
          <w:p>
            <w:pPr>
              <w:pStyle w:val="42"/>
            </w:pPr>
            <w:r>
              <w:t>65.9</w:t>
            </w:r>
          </w:p>
        </w:tc>
        <w:tc>
          <w:tcPr>
            <w:tcW w:w="1320" w:type="pct"/>
            <w:shd w:val="clear" w:color="auto" w:fill="auto"/>
            <w:noWrap/>
            <w:vAlign w:val="center"/>
          </w:tcPr>
          <w:p>
            <w:pPr>
              <w:pStyle w:val="42"/>
            </w:pPr>
            <w:r>
              <w:t>0.3134</w:t>
            </w:r>
          </w:p>
        </w:tc>
        <w:tc>
          <w:tcPr>
            <w:tcW w:w="998" w:type="pct"/>
            <w:shd w:val="clear" w:color="auto" w:fill="auto"/>
            <w:noWrap/>
            <w:vAlign w:val="center"/>
          </w:tcPr>
          <w:p>
            <w:pPr>
              <w:pStyle w:val="42"/>
            </w:pPr>
            <w:r>
              <w:t>45.33</w:t>
            </w:r>
          </w:p>
        </w:tc>
        <w:tc>
          <w:tcPr>
            <w:tcW w:w="1111" w:type="pct"/>
            <w:shd w:val="clear" w:color="auto" w:fill="auto"/>
            <w:noWrap/>
            <w:vAlign w:val="center"/>
          </w:tcPr>
          <w:p>
            <w:pPr>
              <w:pStyle w:val="42"/>
            </w:pPr>
            <w:r>
              <w:t>0.2162</w:t>
            </w:r>
          </w:p>
        </w:tc>
      </w:tr>
    </w:tbl>
    <w:p>
      <w:pPr>
        <w:ind w:firstLine="480"/>
      </w:pPr>
      <w:r>
        <w:rPr>
          <w:rFonts w:hint="eastAsia"/>
        </w:rPr>
        <w:t>②后果分析：</w:t>
      </w:r>
    </w:p>
    <w:p>
      <w:pPr>
        <w:ind w:firstLine="480"/>
      </w:pPr>
      <w:r>
        <w:rPr>
          <w:rFonts w:hint="eastAsia"/>
        </w:rPr>
        <w:t>液氨管道泄漏及天然气（甲烷）发生火灾燃爆事故次生的CO扩散后果分析见6.8-5。</w:t>
      </w:r>
    </w:p>
    <w:p>
      <w:pPr>
        <w:pStyle w:val="41"/>
      </w:pPr>
      <w:r>
        <w:rPr>
          <w:rFonts w:hint="eastAsia"/>
        </w:rPr>
        <w:t>表6.8-5 液氨泄漏及甲烷燃爆事故次生的CO扩散事故后果分析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757"/>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5" w:type="pct"/>
            <w:vAlign w:val="center"/>
          </w:tcPr>
          <w:p>
            <w:pPr>
              <w:pStyle w:val="42"/>
            </w:pPr>
            <w:r>
              <w:t>泄漏物质</w:t>
            </w:r>
          </w:p>
        </w:tc>
        <w:tc>
          <w:tcPr>
            <w:tcW w:w="1031" w:type="pct"/>
            <w:vAlign w:val="center"/>
          </w:tcPr>
          <w:p>
            <w:pPr>
              <w:pStyle w:val="42"/>
            </w:pPr>
            <w:r>
              <w:t>浓度</w:t>
            </w:r>
          </w:p>
        </w:tc>
        <w:tc>
          <w:tcPr>
            <w:tcW w:w="1667" w:type="pct"/>
            <w:vAlign w:val="center"/>
          </w:tcPr>
          <w:p>
            <w:pPr>
              <w:pStyle w:val="42"/>
            </w:pPr>
            <w:r>
              <w:t>最不利气象</w:t>
            </w:r>
            <w:r>
              <w:rPr>
                <w:rFonts w:hint="eastAsia"/>
              </w:rPr>
              <w:t>条件</w:t>
            </w:r>
          </w:p>
        </w:tc>
        <w:tc>
          <w:tcPr>
            <w:tcW w:w="1667" w:type="pct"/>
            <w:vAlign w:val="center"/>
          </w:tcPr>
          <w:p>
            <w:pPr>
              <w:pStyle w:val="42"/>
            </w:pPr>
            <w:r>
              <w:rPr>
                <w:rFonts w:hint="eastAsia"/>
              </w:rPr>
              <w:t>最常见气相条件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5" w:type="pct"/>
            <w:vMerge w:val="restart"/>
            <w:vAlign w:val="center"/>
          </w:tcPr>
          <w:p>
            <w:pPr>
              <w:pStyle w:val="42"/>
            </w:pPr>
            <w:r>
              <w:rPr>
                <w:rFonts w:hint="eastAsia"/>
              </w:rPr>
              <w:t>氨</w:t>
            </w:r>
          </w:p>
        </w:tc>
        <w:tc>
          <w:tcPr>
            <w:tcW w:w="1031" w:type="pct"/>
            <w:vAlign w:val="center"/>
          </w:tcPr>
          <w:p>
            <w:pPr>
              <w:pStyle w:val="42"/>
            </w:pPr>
            <w:r>
              <w:t>毒性终点浓度-1（</w:t>
            </w:r>
            <w:r>
              <w:rPr>
                <w:rFonts w:hint="eastAsia"/>
              </w:rPr>
              <w:t>770</w:t>
            </w:r>
            <w:r>
              <w:t>mg/m</w:t>
            </w:r>
            <w:r>
              <w:rPr>
                <w:vertAlign w:val="superscript"/>
              </w:rPr>
              <w:t>3</w:t>
            </w:r>
            <w:r>
              <w:t>）</w:t>
            </w:r>
          </w:p>
        </w:tc>
        <w:tc>
          <w:tcPr>
            <w:tcW w:w="1667" w:type="pct"/>
            <w:vAlign w:val="center"/>
          </w:tcPr>
          <w:p>
            <w:pPr>
              <w:pStyle w:val="42"/>
            </w:pPr>
            <w:r>
              <w:t>~</w:t>
            </w:r>
            <w:r>
              <w:rPr>
                <w:rFonts w:hint="eastAsia"/>
              </w:rPr>
              <w:t>0</w:t>
            </w:r>
            <w:r>
              <w:t>m</w:t>
            </w:r>
          </w:p>
        </w:tc>
        <w:tc>
          <w:tcPr>
            <w:tcW w:w="1667" w:type="pct"/>
            <w:vAlign w:val="center"/>
          </w:tcPr>
          <w:p>
            <w:pPr>
              <w:pStyle w:val="42"/>
            </w:pPr>
            <w:r>
              <w:t>~</w:t>
            </w:r>
            <w:r>
              <w:rPr>
                <w:rFonts w:hint="eastAsia"/>
              </w:rPr>
              <w:t>0</w:t>
            </w:r>
            <w: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5" w:type="pct"/>
            <w:vMerge w:val="continue"/>
            <w:vAlign w:val="center"/>
          </w:tcPr>
          <w:p>
            <w:pPr>
              <w:pStyle w:val="42"/>
            </w:pPr>
          </w:p>
        </w:tc>
        <w:tc>
          <w:tcPr>
            <w:tcW w:w="1031" w:type="pct"/>
            <w:vAlign w:val="center"/>
          </w:tcPr>
          <w:p>
            <w:pPr>
              <w:pStyle w:val="42"/>
            </w:pPr>
            <w:r>
              <w:t>毒性终点浓度-2（</w:t>
            </w:r>
            <w:r>
              <w:rPr>
                <w:rFonts w:hint="eastAsia"/>
              </w:rPr>
              <w:t>110</w:t>
            </w:r>
            <w:r>
              <w:t>mg/m</w:t>
            </w:r>
            <w:r>
              <w:rPr>
                <w:vertAlign w:val="superscript"/>
              </w:rPr>
              <w:t>3</w:t>
            </w:r>
            <w:r>
              <w:t>）</w:t>
            </w:r>
          </w:p>
        </w:tc>
        <w:tc>
          <w:tcPr>
            <w:tcW w:w="1667" w:type="pct"/>
            <w:vAlign w:val="center"/>
          </w:tcPr>
          <w:p>
            <w:pPr>
              <w:pStyle w:val="42"/>
            </w:pPr>
            <w:r>
              <w:t>~</w:t>
            </w:r>
            <w:r>
              <w:rPr>
                <w:rFonts w:hint="eastAsia"/>
              </w:rPr>
              <w:t>150</w:t>
            </w:r>
            <w:r>
              <w:t>m</w:t>
            </w:r>
          </w:p>
        </w:tc>
        <w:tc>
          <w:tcPr>
            <w:tcW w:w="1667" w:type="pct"/>
            <w:vAlign w:val="center"/>
          </w:tcPr>
          <w:p>
            <w:pPr>
              <w:pStyle w:val="42"/>
            </w:pPr>
            <w:r>
              <w:t>~</w:t>
            </w:r>
            <w:r>
              <w:rPr>
                <w:rFonts w:hint="eastAsia"/>
              </w:rPr>
              <w:t>155</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5" w:type="pct"/>
            <w:vMerge w:val="restart"/>
            <w:vAlign w:val="center"/>
          </w:tcPr>
          <w:p>
            <w:pPr>
              <w:pStyle w:val="42"/>
            </w:pPr>
            <w:r>
              <w:t>一氧化碳</w:t>
            </w:r>
          </w:p>
        </w:tc>
        <w:tc>
          <w:tcPr>
            <w:tcW w:w="1031" w:type="pct"/>
            <w:vAlign w:val="center"/>
          </w:tcPr>
          <w:p>
            <w:pPr>
              <w:pStyle w:val="42"/>
            </w:pPr>
            <w:r>
              <w:t>毒性终点浓度-1（380mg/m</w:t>
            </w:r>
            <w:r>
              <w:rPr>
                <w:vertAlign w:val="superscript"/>
              </w:rPr>
              <w:t>3</w:t>
            </w:r>
            <w:r>
              <w:t>）</w:t>
            </w:r>
          </w:p>
        </w:tc>
        <w:tc>
          <w:tcPr>
            <w:tcW w:w="1667" w:type="pct"/>
            <w:vAlign w:val="center"/>
          </w:tcPr>
          <w:p>
            <w:pPr>
              <w:pStyle w:val="42"/>
            </w:pPr>
            <w:r>
              <w:t>~0m</w:t>
            </w:r>
          </w:p>
        </w:tc>
        <w:tc>
          <w:tcPr>
            <w:tcW w:w="1667" w:type="pct"/>
            <w:vAlign w:val="center"/>
          </w:tcPr>
          <w:p>
            <w:pPr>
              <w:pStyle w:val="42"/>
            </w:pPr>
            <w: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5" w:type="pct"/>
            <w:vMerge w:val="continue"/>
            <w:vAlign w:val="center"/>
          </w:tcPr>
          <w:p>
            <w:pPr>
              <w:pStyle w:val="42"/>
            </w:pPr>
          </w:p>
        </w:tc>
        <w:tc>
          <w:tcPr>
            <w:tcW w:w="1031" w:type="pct"/>
            <w:vAlign w:val="center"/>
          </w:tcPr>
          <w:p>
            <w:pPr>
              <w:pStyle w:val="42"/>
            </w:pPr>
            <w:r>
              <w:t>毒性终点浓度-2（95mg/m</w:t>
            </w:r>
            <w:r>
              <w:rPr>
                <w:vertAlign w:val="superscript"/>
              </w:rPr>
              <w:t>3</w:t>
            </w:r>
            <w:r>
              <w:t>）</w:t>
            </w:r>
          </w:p>
        </w:tc>
        <w:tc>
          <w:tcPr>
            <w:tcW w:w="1667" w:type="pct"/>
            <w:vAlign w:val="center"/>
          </w:tcPr>
          <w:p>
            <w:pPr>
              <w:pStyle w:val="42"/>
            </w:pPr>
            <w:r>
              <w:t>~</w:t>
            </w:r>
            <w:r>
              <w:rPr>
                <w:rFonts w:hint="eastAsia"/>
              </w:rPr>
              <w:t>100</w:t>
            </w:r>
            <w:r>
              <w:t>m</w:t>
            </w:r>
          </w:p>
        </w:tc>
        <w:tc>
          <w:tcPr>
            <w:tcW w:w="1667" w:type="pct"/>
            <w:vAlign w:val="center"/>
          </w:tcPr>
          <w:p>
            <w:pPr>
              <w:pStyle w:val="42"/>
            </w:pPr>
            <w:r>
              <w:t>~</w:t>
            </w:r>
            <w:r>
              <w:rPr>
                <w:rFonts w:hint="eastAsia"/>
              </w:rPr>
              <w:t>90</w:t>
            </w:r>
            <w:r>
              <w:t>m</w:t>
            </w:r>
          </w:p>
        </w:tc>
      </w:tr>
    </w:tbl>
    <w:p>
      <w:pPr>
        <w:ind w:firstLine="480"/>
        <w:rPr>
          <w:rFonts w:eastAsiaTheme="minorEastAsia"/>
        </w:rPr>
      </w:pPr>
      <w:r>
        <w:rPr>
          <w:rFonts w:hint="eastAsia"/>
        </w:rPr>
        <w:t>由上表可知，液氨管道泄漏后，最不利气象条件下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155</w:t>
      </w:r>
      <w:r>
        <w:t>m；</w:t>
      </w:r>
      <w:r>
        <w:rPr>
          <w:rFonts w:hint="eastAsia"/>
        </w:rPr>
        <w:t>天然气（甲烷）发生火灾燃爆事故次生的CO扩散后最不利气象条件下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100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90</w:t>
      </w:r>
      <w:r>
        <w:rPr>
          <w:rFonts w:eastAsiaTheme="minorEastAsia"/>
        </w:rPr>
        <w:t>m</w:t>
      </w:r>
      <w:r>
        <w:rPr>
          <w:rFonts w:hint="eastAsia" w:eastAsiaTheme="minorEastAsia"/>
        </w:rPr>
        <w:t>。</w:t>
      </w:r>
    </w:p>
    <w:p>
      <w:pPr>
        <w:ind w:firstLine="480"/>
      </w:pPr>
      <w:r>
        <w:rPr>
          <w:rFonts w:hint="eastAsia"/>
        </w:rPr>
        <w:t>结合周边环境现状，拟建项目液氨管道泄漏和天然气（甲烷）燃烧爆炸次生CO扩散，地面浓度超过</w:t>
      </w:r>
      <w:r>
        <w:t>毒性终点浓度-2的</w:t>
      </w:r>
      <w:r>
        <w:rPr>
          <w:rFonts w:hint="eastAsia"/>
        </w:rPr>
        <w:t>最远距离</w:t>
      </w:r>
      <w:r>
        <w:t>范围内</w:t>
      </w:r>
      <w:r>
        <w:rPr>
          <w:rFonts w:hint="eastAsia"/>
        </w:rPr>
        <w:t>均</w:t>
      </w:r>
      <w:r>
        <w:t>不涉及居住、学校、医院等环境敏感目标。</w:t>
      </w:r>
    </w:p>
    <w:p>
      <w:pPr>
        <w:ind w:firstLine="480"/>
      </w:pPr>
      <w:r>
        <w:rPr>
          <w:rFonts w:hint="eastAsia"/>
        </w:rPr>
        <w:t>液氨管道泄漏、天然气（甲烷）后遇明火、高热能引起燃烧爆炸次生CO扩散预测浓度到达不同毒性终点浓度的最大影响范围详见图6.8-1~6.8-4。</w:t>
      </w:r>
    </w:p>
    <w:p>
      <w:pPr>
        <w:pStyle w:val="41"/>
      </w:pPr>
      <w:r>
        <w:drawing>
          <wp:inline distT="0" distB="0" distL="0" distR="0">
            <wp:extent cx="4627245" cy="282638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2"/>
                    <a:stretch>
                      <a:fillRect/>
                    </a:stretch>
                  </pic:blipFill>
                  <pic:spPr>
                    <a:xfrm>
                      <a:off x="0" y="0"/>
                      <a:ext cx="4630089" cy="2828427"/>
                    </a:xfrm>
                    <a:prstGeom prst="rect">
                      <a:avLst/>
                    </a:prstGeom>
                  </pic:spPr>
                </pic:pic>
              </a:graphicData>
            </a:graphic>
          </wp:inline>
        </w:drawing>
      </w:r>
    </w:p>
    <w:p>
      <w:pPr>
        <w:pStyle w:val="41"/>
      </w:pPr>
      <w:bookmarkStart w:id="154" w:name="OLE_LINK7"/>
      <w:bookmarkStart w:id="155" w:name="OLE_LINK6"/>
      <w:r>
        <w:rPr>
          <w:rFonts w:hint="eastAsia"/>
        </w:rPr>
        <w:t>图6.8-1 最不利气象条件下液氨泄漏最大影响区域图</w:t>
      </w:r>
    </w:p>
    <w:bookmarkEnd w:id="154"/>
    <w:bookmarkEnd w:id="155"/>
    <w:p>
      <w:pPr>
        <w:pStyle w:val="41"/>
      </w:pPr>
      <w:r>
        <w:drawing>
          <wp:inline distT="0" distB="0" distL="0" distR="0">
            <wp:extent cx="4563745" cy="278765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3"/>
                    <a:stretch>
                      <a:fillRect/>
                    </a:stretch>
                  </pic:blipFill>
                  <pic:spPr>
                    <a:xfrm>
                      <a:off x="0" y="0"/>
                      <a:ext cx="4566446" cy="2789549"/>
                    </a:xfrm>
                    <a:prstGeom prst="rect">
                      <a:avLst/>
                    </a:prstGeom>
                  </pic:spPr>
                </pic:pic>
              </a:graphicData>
            </a:graphic>
          </wp:inline>
        </w:drawing>
      </w:r>
    </w:p>
    <w:p>
      <w:pPr>
        <w:pStyle w:val="41"/>
      </w:pPr>
      <w:r>
        <w:rPr>
          <w:rFonts w:hint="eastAsia"/>
        </w:rPr>
        <w:t>图6.8-2 最常见气象条件下液氨泄漏最大影响区域图</w:t>
      </w:r>
    </w:p>
    <w:p>
      <w:pPr>
        <w:pStyle w:val="41"/>
      </w:pPr>
      <w:r>
        <w:drawing>
          <wp:inline distT="0" distB="0" distL="0" distR="0">
            <wp:extent cx="4533900" cy="2768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4"/>
                    <a:stretch>
                      <a:fillRect/>
                    </a:stretch>
                  </pic:blipFill>
                  <pic:spPr>
                    <a:xfrm>
                      <a:off x="0" y="0"/>
                      <a:ext cx="4536583" cy="2770779"/>
                    </a:xfrm>
                    <a:prstGeom prst="rect">
                      <a:avLst/>
                    </a:prstGeom>
                  </pic:spPr>
                </pic:pic>
              </a:graphicData>
            </a:graphic>
          </wp:inline>
        </w:drawing>
      </w:r>
    </w:p>
    <w:p>
      <w:pPr>
        <w:pStyle w:val="41"/>
      </w:pPr>
      <w:r>
        <w:rPr>
          <w:rFonts w:hint="eastAsia"/>
        </w:rPr>
        <w:t>图6.8-3 最不利气象条件下天然气燃爆次生CO最大影响区域图</w:t>
      </w:r>
    </w:p>
    <w:p>
      <w:pPr>
        <w:pStyle w:val="41"/>
      </w:pPr>
      <w:r>
        <w:drawing>
          <wp:inline distT="0" distB="0" distL="0" distR="0">
            <wp:extent cx="4286250" cy="26174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5"/>
                    <a:stretch>
                      <a:fillRect/>
                    </a:stretch>
                  </pic:blipFill>
                  <pic:spPr>
                    <a:xfrm>
                      <a:off x="0" y="0"/>
                      <a:ext cx="4288786" cy="2619433"/>
                    </a:xfrm>
                    <a:prstGeom prst="rect">
                      <a:avLst/>
                    </a:prstGeom>
                  </pic:spPr>
                </pic:pic>
              </a:graphicData>
            </a:graphic>
          </wp:inline>
        </w:drawing>
      </w:r>
    </w:p>
    <w:p>
      <w:pPr>
        <w:pStyle w:val="41"/>
      </w:pPr>
      <w:r>
        <w:rPr>
          <w:rFonts w:hint="eastAsia"/>
        </w:rPr>
        <w:t>图6.8-4 最常见气象条件下天然气燃爆次生CO最大影响区域图</w:t>
      </w:r>
    </w:p>
    <w:p>
      <w:pPr>
        <w:ind w:firstLine="480"/>
      </w:pPr>
      <w:r>
        <w:rPr>
          <w:rFonts w:hint="eastAsia" w:ascii="宋体" w:hAnsi="宋体" w:cs="宋体"/>
        </w:rPr>
        <w:t>③</w:t>
      </w:r>
      <w:r>
        <w:t>对环境保护目标的影响</w:t>
      </w:r>
    </w:p>
    <w:p>
      <w:pPr>
        <w:ind w:firstLine="480"/>
      </w:pPr>
      <w:r>
        <w:rPr>
          <w:rFonts w:hint="eastAsia"/>
        </w:rPr>
        <w:t>液氨泄漏事故和天然气（甲烷）燃爆事故</w:t>
      </w:r>
      <w:r>
        <w:t>次生的CO扩散后，对环境保护目标的影响详见下表</w:t>
      </w:r>
      <w:r>
        <w:rPr>
          <w:rFonts w:hint="eastAsia"/>
        </w:rPr>
        <w:t>6</w:t>
      </w:r>
      <w:r>
        <w:t>.8-</w:t>
      </w:r>
      <w:r>
        <w:rPr>
          <w:rFonts w:hint="eastAsia"/>
        </w:rPr>
        <w:t>6</w:t>
      </w:r>
      <w:r>
        <w:t>~</w:t>
      </w:r>
      <w:r>
        <w:rPr>
          <w:rFonts w:hint="eastAsia"/>
        </w:rPr>
        <w:t>6</w:t>
      </w:r>
      <w:r>
        <w:t>.8-</w:t>
      </w:r>
      <w:r>
        <w:rPr>
          <w:rFonts w:hint="eastAsia"/>
        </w:rPr>
        <w:t>7</w:t>
      </w:r>
      <w:r>
        <w:t>。</w:t>
      </w:r>
    </w:p>
    <w:p>
      <w:pPr>
        <w:pStyle w:val="41"/>
        <w:spacing w:before="120"/>
        <w:ind w:firstLine="480"/>
        <w:rPr>
          <w:rFonts w:eastAsiaTheme="minorEastAsia"/>
        </w:rPr>
      </w:pPr>
      <w:bookmarkStart w:id="156" w:name="_Ref10637888"/>
      <w:r>
        <w:rPr>
          <w:rFonts w:eastAsiaTheme="minorEastAsia"/>
        </w:rPr>
        <w:t>表</w:t>
      </w:r>
      <w:bookmarkEnd w:id="156"/>
      <w:r>
        <w:rPr>
          <w:rFonts w:hint="eastAsia" w:eastAsiaTheme="minorEastAsia"/>
        </w:rPr>
        <w:t>6.8-6</w:t>
      </w:r>
      <w:r>
        <w:rPr>
          <w:rFonts w:eastAsiaTheme="minorEastAsia"/>
        </w:rPr>
        <w:t xml:space="preserve"> </w:t>
      </w:r>
      <w:r>
        <w:rPr>
          <w:rFonts w:hint="eastAsia" w:eastAsiaTheme="minorEastAsia"/>
        </w:rPr>
        <w:t>液氨</w:t>
      </w:r>
      <w:r>
        <w:rPr>
          <w:rFonts w:eastAsiaTheme="minorEastAsia"/>
        </w:rPr>
        <w:t>泄漏对</w:t>
      </w:r>
      <w:r>
        <w:rPr>
          <w:rFonts w:hint="eastAsia" w:eastAsiaTheme="minorEastAsia"/>
        </w:rPr>
        <w:t>环境保护目标</w:t>
      </w:r>
      <w:r>
        <w:rPr>
          <w:rFonts w:eastAsiaTheme="minorEastAsia"/>
        </w:rPr>
        <w:t>的影响预测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5"/>
        <w:gridCol w:w="1627"/>
        <w:gridCol w:w="1020"/>
        <w:gridCol w:w="1253"/>
        <w:gridCol w:w="1247"/>
        <w:gridCol w:w="125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vMerge w:val="restart"/>
            <w:shd w:val="clear" w:color="auto" w:fill="auto"/>
            <w:vAlign w:val="center"/>
          </w:tcPr>
          <w:p>
            <w:pPr>
              <w:pStyle w:val="42"/>
            </w:pPr>
            <w:r>
              <w:t>序号</w:t>
            </w:r>
          </w:p>
        </w:tc>
        <w:tc>
          <w:tcPr>
            <w:tcW w:w="1627" w:type="dxa"/>
            <w:vMerge w:val="restart"/>
            <w:shd w:val="clear" w:color="auto" w:fill="auto"/>
            <w:vAlign w:val="center"/>
          </w:tcPr>
          <w:p>
            <w:pPr>
              <w:pStyle w:val="42"/>
            </w:pPr>
            <w:r>
              <w:t>名称</w:t>
            </w:r>
          </w:p>
        </w:tc>
        <w:tc>
          <w:tcPr>
            <w:tcW w:w="1020" w:type="dxa"/>
            <w:vMerge w:val="restart"/>
            <w:shd w:val="clear" w:color="auto" w:fill="auto"/>
            <w:vAlign w:val="center"/>
          </w:tcPr>
          <w:p>
            <w:pPr>
              <w:pStyle w:val="42"/>
            </w:pPr>
            <w:r>
              <w:t>与风险源最近距离（m）</w:t>
            </w:r>
          </w:p>
        </w:tc>
        <w:tc>
          <w:tcPr>
            <w:tcW w:w="2500" w:type="dxa"/>
            <w:gridSpan w:val="2"/>
            <w:shd w:val="clear" w:color="auto" w:fill="auto"/>
            <w:vAlign w:val="center"/>
          </w:tcPr>
          <w:p>
            <w:pPr>
              <w:pStyle w:val="42"/>
            </w:pPr>
            <w:r>
              <w:t>不利气象条件</w:t>
            </w:r>
          </w:p>
        </w:tc>
        <w:tc>
          <w:tcPr>
            <w:tcW w:w="2500" w:type="dxa"/>
            <w:gridSpan w:val="2"/>
            <w:shd w:val="clear" w:color="auto" w:fill="auto"/>
            <w:vAlign w:val="center"/>
          </w:tcPr>
          <w:p>
            <w:pPr>
              <w:pStyle w:val="42"/>
            </w:pPr>
            <w:r>
              <w:t>常见气象条件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vMerge w:val="continue"/>
            <w:vAlign w:val="center"/>
          </w:tcPr>
          <w:p>
            <w:pPr>
              <w:pStyle w:val="42"/>
            </w:pPr>
          </w:p>
        </w:tc>
        <w:tc>
          <w:tcPr>
            <w:tcW w:w="1627" w:type="dxa"/>
            <w:vMerge w:val="continue"/>
            <w:vAlign w:val="center"/>
          </w:tcPr>
          <w:p>
            <w:pPr>
              <w:pStyle w:val="42"/>
            </w:pPr>
          </w:p>
        </w:tc>
        <w:tc>
          <w:tcPr>
            <w:tcW w:w="1020" w:type="dxa"/>
            <w:vMerge w:val="continue"/>
            <w:vAlign w:val="center"/>
          </w:tcPr>
          <w:p>
            <w:pPr>
              <w:pStyle w:val="42"/>
            </w:pPr>
          </w:p>
        </w:tc>
        <w:tc>
          <w:tcPr>
            <w:tcW w:w="1253" w:type="dxa"/>
            <w:shd w:val="clear" w:color="auto" w:fill="auto"/>
            <w:vAlign w:val="center"/>
          </w:tcPr>
          <w:p>
            <w:pPr>
              <w:pStyle w:val="42"/>
            </w:pPr>
            <w:r>
              <w:t>浓度出现时间（min）</w:t>
            </w:r>
          </w:p>
        </w:tc>
        <w:tc>
          <w:tcPr>
            <w:tcW w:w="1247" w:type="dxa"/>
            <w:shd w:val="clear" w:color="auto" w:fill="auto"/>
            <w:vAlign w:val="center"/>
          </w:tcPr>
          <w:p>
            <w:pPr>
              <w:pStyle w:val="42"/>
            </w:pPr>
            <w:r>
              <w:t>高峰浓度(mg/m</w:t>
            </w:r>
            <w:r>
              <w:rPr>
                <w:vertAlign w:val="superscript"/>
              </w:rPr>
              <w:t>3</w:t>
            </w:r>
            <w:r>
              <w:t>)</w:t>
            </w:r>
          </w:p>
        </w:tc>
        <w:tc>
          <w:tcPr>
            <w:tcW w:w="1253" w:type="dxa"/>
            <w:shd w:val="clear" w:color="auto" w:fill="auto"/>
            <w:vAlign w:val="center"/>
          </w:tcPr>
          <w:p>
            <w:pPr>
              <w:pStyle w:val="42"/>
            </w:pPr>
            <w:r>
              <w:t>浓度出现时间（min）</w:t>
            </w:r>
          </w:p>
        </w:tc>
        <w:tc>
          <w:tcPr>
            <w:tcW w:w="1247" w:type="dxa"/>
            <w:shd w:val="clear" w:color="auto" w:fill="auto"/>
            <w:vAlign w:val="center"/>
          </w:tcPr>
          <w:p>
            <w:pPr>
              <w:pStyle w:val="42"/>
            </w:pPr>
            <w:r>
              <w:t>高峰浓度(mg/m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w:t>
            </w:r>
          </w:p>
        </w:tc>
        <w:tc>
          <w:tcPr>
            <w:tcW w:w="1627" w:type="dxa"/>
            <w:shd w:val="clear" w:color="auto" w:fill="auto"/>
            <w:vAlign w:val="center"/>
          </w:tcPr>
          <w:p>
            <w:pPr>
              <w:pStyle w:val="42"/>
              <w:rPr>
                <w:sz w:val="18"/>
                <w:szCs w:val="18"/>
              </w:rPr>
            </w:pPr>
            <w:r>
              <w:rPr>
                <w:sz w:val="18"/>
                <w:szCs w:val="18"/>
              </w:rPr>
              <w:t>晏家街道</w:t>
            </w:r>
          </w:p>
        </w:tc>
        <w:tc>
          <w:tcPr>
            <w:tcW w:w="1020" w:type="dxa"/>
            <w:shd w:val="clear" w:color="auto" w:fill="auto"/>
            <w:vAlign w:val="center"/>
          </w:tcPr>
          <w:p>
            <w:pPr>
              <w:pStyle w:val="42"/>
              <w:rPr>
                <w:sz w:val="18"/>
                <w:szCs w:val="18"/>
              </w:rPr>
            </w:pPr>
            <w:r>
              <w:rPr>
                <w:rFonts w:hint="eastAsia"/>
                <w:sz w:val="18"/>
                <w:szCs w:val="18"/>
              </w:rPr>
              <w:t>2000</w:t>
            </w:r>
          </w:p>
        </w:tc>
        <w:tc>
          <w:tcPr>
            <w:tcW w:w="1253" w:type="dxa"/>
            <w:shd w:val="clear" w:color="auto" w:fill="auto"/>
            <w:vAlign w:val="bottom"/>
          </w:tcPr>
          <w:p>
            <w:pPr>
              <w:pStyle w:val="42"/>
              <w:rPr>
                <w:sz w:val="18"/>
                <w:szCs w:val="18"/>
              </w:rPr>
            </w:pPr>
            <w:r>
              <w:rPr>
                <w:rFonts w:hint="eastAsia"/>
                <w:sz w:val="18"/>
                <w:szCs w:val="18"/>
              </w:rPr>
              <w:t xml:space="preserve">18.92 </w:t>
            </w:r>
          </w:p>
        </w:tc>
        <w:tc>
          <w:tcPr>
            <w:tcW w:w="1247" w:type="dxa"/>
            <w:shd w:val="clear" w:color="auto" w:fill="auto"/>
            <w:vAlign w:val="bottom"/>
          </w:tcPr>
          <w:p>
            <w:pPr>
              <w:pStyle w:val="42"/>
              <w:rPr>
                <w:sz w:val="18"/>
                <w:szCs w:val="18"/>
              </w:rPr>
            </w:pPr>
            <w:r>
              <w:rPr>
                <w:rFonts w:hint="eastAsia"/>
                <w:sz w:val="18"/>
                <w:szCs w:val="18"/>
              </w:rPr>
              <w:t xml:space="preserve">0.4627 </w:t>
            </w:r>
          </w:p>
        </w:tc>
        <w:tc>
          <w:tcPr>
            <w:tcW w:w="1253" w:type="dxa"/>
            <w:shd w:val="clear" w:color="auto" w:fill="auto"/>
            <w:vAlign w:val="bottom"/>
          </w:tcPr>
          <w:p>
            <w:pPr>
              <w:pStyle w:val="42"/>
              <w:rPr>
                <w:sz w:val="18"/>
                <w:szCs w:val="18"/>
              </w:rPr>
            </w:pPr>
            <w:r>
              <w:rPr>
                <w:rFonts w:hint="eastAsia"/>
                <w:sz w:val="18"/>
                <w:szCs w:val="18"/>
              </w:rPr>
              <w:t xml:space="preserve">27.24 </w:t>
            </w:r>
          </w:p>
        </w:tc>
        <w:tc>
          <w:tcPr>
            <w:tcW w:w="1247" w:type="dxa"/>
            <w:shd w:val="clear" w:color="auto" w:fill="auto"/>
            <w:vAlign w:val="bottom"/>
          </w:tcPr>
          <w:p>
            <w:pPr>
              <w:pStyle w:val="42"/>
              <w:rPr>
                <w:sz w:val="18"/>
                <w:szCs w:val="18"/>
              </w:rPr>
            </w:pPr>
            <w:r>
              <w:rPr>
                <w:rFonts w:hint="eastAsia"/>
                <w:sz w:val="18"/>
                <w:szCs w:val="18"/>
              </w:rPr>
              <w:t xml:space="preserve">0.5634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2</w:t>
            </w:r>
          </w:p>
        </w:tc>
        <w:tc>
          <w:tcPr>
            <w:tcW w:w="1627" w:type="dxa"/>
            <w:shd w:val="clear" w:color="auto" w:fill="auto"/>
            <w:vAlign w:val="center"/>
          </w:tcPr>
          <w:p>
            <w:pPr>
              <w:pStyle w:val="42"/>
              <w:rPr>
                <w:sz w:val="18"/>
                <w:szCs w:val="18"/>
              </w:rPr>
            </w:pPr>
            <w:r>
              <w:rPr>
                <w:sz w:val="18"/>
                <w:szCs w:val="18"/>
              </w:rPr>
              <w:t>长寿经开区管委会</w:t>
            </w:r>
          </w:p>
        </w:tc>
        <w:tc>
          <w:tcPr>
            <w:tcW w:w="1020" w:type="dxa"/>
            <w:shd w:val="clear" w:color="auto" w:fill="auto"/>
            <w:vAlign w:val="center"/>
          </w:tcPr>
          <w:p>
            <w:pPr>
              <w:pStyle w:val="42"/>
              <w:rPr>
                <w:sz w:val="18"/>
                <w:szCs w:val="18"/>
              </w:rPr>
            </w:pPr>
            <w:r>
              <w:rPr>
                <w:rFonts w:hint="eastAsia"/>
                <w:sz w:val="18"/>
                <w:szCs w:val="18"/>
              </w:rPr>
              <w:t>1900</w:t>
            </w:r>
          </w:p>
        </w:tc>
        <w:tc>
          <w:tcPr>
            <w:tcW w:w="1253" w:type="dxa"/>
            <w:shd w:val="clear" w:color="auto" w:fill="auto"/>
            <w:vAlign w:val="bottom"/>
          </w:tcPr>
          <w:p>
            <w:pPr>
              <w:pStyle w:val="42"/>
              <w:rPr>
                <w:sz w:val="18"/>
                <w:szCs w:val="18"/>
              </w:rPr>
            </w:pPr>
            <w:r>
              <w:rPr>
                <w:rFonts w:hint="eastAsia"/>
                <w:sz w:val="18"/>
                <w:szCs w:val="18"/>
              </w:rPr>
              <w:t xml:space="preserve">18.25 </w:t>
            </w:r>
          </w:p>
        </w:tc>
        <w:tc>
          <w:tcPr>
            <w:tcW w:w="1247" w:type="dxa"/>
            <w:shd w:val="clear" w:color="auto" w:fill="auto"/>
            <w:vAlign w:val="bottom"/>
          </w:tcPr>
          <w:p>
            <w:pPr>
              <w:pStyle w:val="42"/>
              <w:rPr>
                <w:sz w:val="18"/>
                <w:szCs w:val="18"/>
              </w:rPr>
            </w:pPr>
            <w:r>
              <w:rPr>
                <w:rFonts w:hint="eastAsia"/>
                <w:sz w:val="18"/>
                <w:szCs w:val="18"/>
              </w:rPr>
              <w:t xml:space="preserve">0.5120 </w:t>
            </w:r>
          </w:p>
        </w:tc>
        <w:tc>
          <w:tcPr>
            <w:tcW w:w="1253" w:type="dxa"/>
            <w:shd w:val="clear" w:color="auto" w:fill="auto"/>
            <w:vAlign w:val="bottom"/>
          </w:tcPr>
          <w:p>
            <w:pPr>
              <w:pStyle w:val="42"/>
              <w:rPr>
                <w:sz w:val="18"/>
                <w:szCs w:val="18"/>
              </w:rPr>
            </w:pPr>
            <w:r>
              <w:rPr>
                <w:rFonts w:hint="eastAsia"/>
                <w:sz w:val="18"/>
                <w:szCs w:val="18"/>
              </w:rPr>
              <w:t xml:space="preserve">26.32 </w:t>
            </w:r>
          </w:p>
        </w:tc>
        <w:tc>
          <w:tcPr>
            <w:tcW w:w="1247" w:type="dxa"/>
            <w:shd w:val="clear" w:color="auto" w:fill="auto"/>
            <w:vAlign w:val="bottom"/>
          </w:tcPr>
          <w:p>
            <w:pPr>
              <w:pStyle w:val="42"/>
              <w:rPr>
                <w:sz w:val="18"/>
                <w:szCs w:val="18"/>
              </w:rPr>
            </w:pPr>
            <w:r>
              <w:rPr>
                <w:rFonts w:hint="eastAsia"/>
                <w:sz w:val="18"/>
                <w:szCs w:val="18"/>
              </w:rPr>
              <w:t xml:space="preserve">0.6245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3</w:t>
            </w:r>
          </w:p>
        </w:tc>
        <w:tc>
          <w:tcPr>
            <w:tcW w:w="1627" w:type="dxa"/>
            <w:shd w:val="clear" w:color="auto" w:fill="auto"/>
            <w:vAlign w:val="center"/>
          </w:tcPr>
          <w:p>
            <w:pPr>
              <w:pStyle w:val="42"/>
              <w:rPr>
                <w:sz w:val="18"/>
                <w:szCs w:val="18"/>
              </w:rPr>
            </w:pPr>
            <w:r>
              <w:rPr>
                <w:sz w:val="18"/>
                <w:szCs w:val="18"/>
              </w:rPr>
              <w:t>晏家中学</w:t>
            </w:r>
          </w:p>
        </w:tc>
        <w:tc>
          <w:tcPr>
            <w:tcW w:w="1020" w:type="dxa"/>
            <w:shd w:val="clear" w:color="auto" w:fill="auto"/>
            <w:vAlign w:val="center"/>
          </w:tcPr>
          <w:p>
            <w:pPr>
              <w:pStyle w:val="42"/>
              <w:rPr>
                <w:sz w:val="18"/>
                <w:szCs w:val="18"/>
              </w:rPr>
            </w:pPr>
            <w:r>
              <w:rPr>
                <w:rFonts w:hint="eastAsia"/>
                <w:sz w:val="18"/>
                <w:szCs w:val="18"/>
              </w:rPr>
              <w:t>2700</w:t>
            </w:r>
          </w:p>
        </w:tc>
        <w:tc>
          <w:tcPr>
            <w:tcW w:w="1253" w:type="dxa"/>
            <w:shd w:val="clear" w:color="auto" w:fill="auto"/>
            <w:vAlign w:val="bottom"/>
          </w:tcPr>
          <w:p>
            <w:pPr>
              <w:pStyle w:val="42"/>
              <w:rPr>
                <w:sz w:val="18"/>
                <w:szCs w:val="18"/>
              </w:rPr>
            </w:pPr>
            <w:r>
              <w:rPr>
                <w:rFonts w:hint="eastAsia"/>
                <w:sz w:val="18"/>
                <w:szCs w:val="18"/>
              </w:rPr>
              <w:t xml:space="preserve">23.56 </w:t>
            </w:r>
          </w:p>
        </w:tc>
        <w:tc>
          <w:tcPr>
            <w:tcW w:w="1247" w:type="dxa"/>
            <w:shd w:val="clear" w:color="auto" w:fill="auto"/>
            <w:vAlign w:val="bottom"/>
          </w:tcPr>
          <w:p>
            <w:pPr>
              <w:pStyle w:val="42"/>
              <w:rPr>
                <w:sz w:val="18"/>
                <w:szCs w:val="18"/>
              </w:rPr>
            </w:pPr>
            <w:r>
              <w:rPr>
                <w:rFonts w:hint="eastAsia"/>
                <w:sz w:val="18"/>
                <w:szCs w:val="18"/>
              </w:rPr>
              <w:t xml:space="preserve">0.2609 </w:t>
            </w:r>
          </w:p>
        </w:tc>
        <w:tc>
          <w:tcPr>
            <w:tcW w:w="1253" w:type="dxa"/>
            <w:shd w:val="clear" w:color="auto" w:fill="auto"/>
            <w:vAlign w:val="bottom"/>
          </w:tcPr>
          <w:p>
            <w:pPr>
              <w:pStyle w:val="42"/>
              <w:rPr>
                <w:sz w:val="18"/>
                <w:szCs w:val="18"/>
              </w:rPr>
            </w:pPr>
            <w:r>
              <w:rPr>
                <w:rFonts w:hint="eastAsia"/>
                <w:sz w:val="18"/>
                <w:szCs w:val="18"/>
              </w:rPr>
              <w:t xml:space="preserve">33.59 </w:t>
            </w:r>
          </w:p>
        </w:tc>
        <w:tc>
          <w:tcPr>
            <w:tcW w:w="1247" w:type="dxa"/>
            <w:shd w:val="clear" w:color="auto" w:fill="auto"/>
            <w:vAlign w:val="bottom"/>
          </w:tcPr>
          <w:p>
            <w:pPr>
              <w:pStyle w:val="42"/>
              <w:rPr>
                <w:sz w:val="18"/>
                <w:szCs w:val="18"/>
              </w:rPr>
            </w:pPr>
            <w:r>
              <w:rPr>
                <w:rFonts w:hint="eastAsia"/>
                <w:sz w:val="18"/>
                <w:szCs w:val="18"/>
              </w:rPr>
              <w:t xml:space="preserve">0.3147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4</w:t>
            </w:r>
          </w:p>
        </w:tc>
        <w:tc>
          <w:tcPr>
            <w:tcW w:w="1627" w:type="dxa"/>
            <w:shd w:val="clear" w:color="auto" w:fill="auto"/>
            <w:vAlign w:val="center"/>
          </w:tcPr>
          <w:p>
            <w:pPr>
              <w:pStyle w:val="42"/>
              <w:rPr>
                <w:sz w:val="18"/>
                <w:szCs w:val="18"/>
              </w:rPr>
            </w:pPr>
            <w:r>
              <w:rPr>
                <w:sz w:val="18"/>
                <w:szCs w:val="18"/>
              </w:rPr>
              <w:t>晏家实验小学</w:t>
            </w:r>
          </w:p>
        </w:tc>
        <w:tc>
          <w:tcPr>
            <w:tcW w:w="1020" w:type="dxa"/>
            <w:shd w:val="clear" w:color="auto" w:fill="auto"/>
            <w:vAlign w:val="center"/>
          </w:tcPr>
          <w:p>
            <w:pPr>
              <w:pStyle w:val="42"/>
              <w:rPr>
                <w:sz w:val="18"/>
                <w:szCs w:val="18"/>
              </w:rPr>
            </w:pPr>
            <w:r>
              <w:rPr>
                <w:rFonts w:hint="eastAsia"/>
                <w:sz w:val="18"/>
                <w:szCs w:val="18"/>
              </w:rPr>
              <w:t>2420</w:t>
            </w:r>
          </w:p>
        </w:tc>
        <w:tc>
          <w:tcPr>
            <w:tcW w:w="1253" w:type="dxa"/>
            <w:shd w:val="clear" w:color="auto" w:fill="auto"/>
            <w:vAlign w:val="bottom"/>
          </w:tcPr>
          <w:p>
            <w:pPr>
              <w:pStyle w:val="42"/>
              <w:rPr>
                <w:sz w:val="18"/>
                <w:szCs w:val="18"/>
              </w:rPr>
            </w:pPr>
            <w:r>
              <w:rPr>
                <w:rFonts w:hint="eastAsia"/>
                <w:sz w:val="18"/>
                <w:szCs w:val="18"/>
              </w:rPr>
              <w:t xml:space="preserve">21.58 </w:t>
            </w:r>
          </w:p>
        </w:tc>
        <w:tc>
          <w:tcPr>
            <w:tcW w:w="1247" w:type="dxa"/>
            <w:shd w:val="clear" w:color="auto" w:fill="auto"/>
            <w:vAlign w:val="bottom"/>
          </w:tcPr>
          <w:p>
            <w:pPr>
              <w:pStyle w:val="42"/>
              <w:rPr>
                <w:sz w:val="18"/>
                <w:szCs w:val="18"/>
              </w:rPr>
            </w:pPr>
            <w:r>
              <w:rPr>
                <w:rFonts w:hint="eastAsia"/>
                <w:sz w:val="18"/>
                <w:szCs w:val="18"/>
              </w:rPr>
              <w:t xml:space="preserve">0.3268 </w:t>
            </w:r>
          </w:p>
        </w:tc>
        <w:tc>
          <w:tcPr>
            <w:tcW w:w="1253" w:type="dxa"/>
            <w:shd w:val="clear" w:color="auto" w:fill="auto"/>
            <w:vAlign w:val="bottom"/>
          </w:tcPr>
          <w:p>
            <w:pPr>
              <w:pStyle w:val="42"/>
              <w:rPr>
                <w:sz w:val="18"/>
                <w:szCs w:val="18"/>
              </w:rPr>
            </w:pPr>
            <w:r>
              <w:rPr>
                <w:rFonts w:hint="eastAsia"/>
                <w:sz w:val="18"/>
                <w:szCs w:val="18"/>
              </w:rPr>
              <w:t xml:space="preserve">30.88 </w:t>
            </w:r>
          </w:p>
        </w:tc>
        <w:tc>
          <w:tcPr>
            <w:tcW w:w="1247" w:type="dxa"/>
            <w:shd w:val="clear" w:color="auto" w:fill="auto"/>
            <w:vAlign w:val="bottom"/>
          </w:tcPr>
          <w:p>
            <w:pPr>
              <w:pStyle w:val="42"/>
              <w:rPr>
                <w:sz w:val="18"/>
                <w:szCs w:val="18"/>
              </w:rPr>
            </w:pPr>
            <w:r>
              <w:rPr>
                <w:rFonts w:hint="eastAsia"/>
                <w:sz w:val="18"/>
                <w:szCs w:val="18"/>
              </w:rPr>
              <w:t xml:space="preserve">0.3958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5</w:t>
            </w:r>
          </w:p>
        </w:tc>
        <w:tc>
          <w:tcPr>
            <w:tcW w:w="1627" w:type="dxa"/>
            <w:shd w:val="clear" w:color="auto" w:fill="auto"/>
            <w:vAlign w:val="center"/>
          </w:tcPr>
          <w:p>
            <w:pPr>
              <w:pStyle w:val="42"/>
              <w:rPr>
                <w:sz w:val="18"/>
                <w:szCs w:val="18"/>
              </w:rPr>
            </w:pPr>
            <w:r>
              <w:rPr>
                <w:rFonts w:hint="eastAsia"/>
                <w:sz w:val="18"/>
                <w:szCs w:val="18"/>
              </w:rPr>
              <w:t>泓原</w:t>
            </w:r>
            <w:r>
              <w:rPr>
                <w:sz w:val="18"/>
                <w:szCs w:val="18"/>
              </w:rPr>
              <w:t>医院</w:t>
            </w:r>
          </w:p>
        </w:tc>
        <w:tc>
          <w:tcPr>
            <w:tcW w:w="1020" w:type="dxa"/>
            <w:shd w:val="clear" w:color="auto" w:fill="auto"/>
            <w:vAlign w:val="center"/>
          </w:tcPr>
          <w:p>
            <w:pPr>
              <w:pStyle w:val="42"/>
              <w:rPr>
                <w:sz w:val="18"/>
                <w:szCs w:val="18"/>
              </w:rPr>
            </w:pPr>
            <w:r>
              <w:rPr>
                <w:rFonts w:hint="eastAsia"/>
                <w:sz w:val="18"/>
                <w:szCs w:val="18"/>
              </w:rPr>
              <w:t>2000</w:t>
            </w:r>
          </w:p>
        </w:tc>
        <w:tc>
          <w:tcPr>
            <w:tcW w:w="1253" w:type="dxa"/>
            <w:shd w:val="clear" w:color="auto" w:fill="auto"/>
            <w:vAlign w:val="bottom"/>
          </w:tcPr>
          <w:p>
            <w:pPr>
              <w:pStyle w:val="42"/>
              <w:rPr>
                <w:sz w:val="18"/>
                <w:szCs w:val="18"/>
              </w:rPr>
            </w:pPr>
            <w:r>
              <w:rPr>
                <w:rFonts w:hint="eastAsia"/>
                <w:sz w:val="18"/>
                <w:szCs w:val="18"/>
              </w:rPr>
              <w:t xml:space="preserve">18.92 </w:t>
            </w:r>
          </w:p>
        </w:tc>
        <w:tc>
          <w:tcPr>
            <w:tcW w:w="1247" w:type="dxa"/>
            <w:shd w:val="clear" w:color="auto" w:fill="auto"/>
            <w:vAlign w:val="bottom"/>
          </w:tcPr>
          <w:p>
            <w:pPr>
              <w:pStyle w:val="42"/>
              <w:rPr>
                <w:sz w:val="18"/>
                <w:szCs w:val="18"/>
              </w:rPr>
            </w:pPr>
            <w:r>
              <w:rPr>
                <w:rFonts w:hint="eastAsia"/>
                <w:sz w:val="18"/>
                <w:szCs w:val="18"/>
              </w:rPr>
              <w:t xml:space="preserve">0.4627 </w:t>
            </w:r>
          </w:p>
        </w:tc>
        <w:tc>
          <w:tcPr>
            <w:tcW w:w="1253" w:type="dxa"/>
            <w:shd w:val="clear" w:color="auto" w:fill="auto"/>
            <w:vAlign w:val="bottom"/>
          </w:tcPr>
          <w:p>
            <w:pPr>
              <w:pStyle w:val="42"/>
              <w:rPr>
                <w:sz w:val="18"/>
                <w:szCs w:val="18"/>
              </w:rPr>
            </w:pPr>
            <w:r>
              <w:rPr>
                <w:rFonts w:hint="eastAsia"/>
                <w:sz w:val="18"/>
                <w:szCs w:val="18"/>
              </w:rPr>
              <w:t xml:space="preserve">27.24 </w:t>
            </w:r>
          </w:p>
        </w:tc>
        <w:tc>
          <w:tcPr>
            <w:tcW w:w="1247" w:type="dxa"/>
            <w:shd w:val="clear" w:color="auto" w:fill="auto"/>
            <w:vAlign w:val="bottom"/>
          </w:tcPr>
          <w:p>
            <w:pPr>
              <w:pStyle w:val="42"/>
              <w:rPr>
                <w:sz w:val="18"/>
                <w:szCs w:val="18"/>
              </w:rPr>
            </w:pPr>
            <w:r>
              <w:rPr>
                <w:rFonts w:hint="eastAsia"/>
                <w:sz w:val="18"/>
                <w:szCs w:val="18"/>
              </w:rPr>
              <w:t xml:space="preserve">0.5634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6</w:t>
            </w:r>
          </w:p>
        </w:tc>
        <w:tc>
          <w:tcPr>
            <w:tcW w:w="1627" w:type="dxa"/>
            <w:shd w:val="clear" w:color="auto" w:fill="auto"/>
            <w:vAlign w:val="center"/>
          </w:tcPr>
          <w:p>
            <w:pPr>
              <w:pStyle w:val="42"/>
              <w:rPr>
                <w:sz w:val="18"/>
                <w:szCs w:val="18"/>
              </w:rPr>
            </w:pPr>
            <w:r>
              <w:rPr>
                <w:rFonts w:hint="eastAsia"/>
                <w:sz w:val="18"/>
                <w:szCs w:val="18"/>
              </w:rPr>
              <w:t>龙口村居民点</w:t>
            </w:r>
          </w:p>
        </w:tc>
        <w:tc>
          <w:tcPr>
            <w:tcW w:w="1020" w:type="dxa"/>
            <w:shd w:val="clear" w:color="auto" w:fill="auto"/>
            <w:vAlign w:val="center"/>
          </w:tcPr>
          <w:p>
            <w:pPr>
              <w:pStyle w:val="42"/>
              <w:rPr>
                <w:sz w:val="18"/>
                <w:szCs w:val="18"/>
              </w:rPr>
            </w:pPr>
            <w:r>
              <w:rPr>
                <w:rFonts w:hint="eastAsia"/>
                <w:sz w:val="18"/>
                <w:szCs w:val="18"/>
              </w:rPr>
              <w:t>2300</w:t>
            </w:r>
          </w:p>
        </w:tc>
        <w:tc>
          <w:tcPr>
            <w:tcW w:w="1253" w:type="dxa"/>
            <w:shd w:val="clear" w:color="auto" w:fill="auto"/>
            <w:vAlign w:val="bottom"/>
          </w:tcPr>
          <w:p>
            <w:pPr>
              <w:pStyle w:val="42"/>
              <w:rPr>
                <w:sz w:val="18"/>
                <w:szCs w:val="18"/>
              </w:rPr>
            </w:pPr>
            <w:r>
              <w:rPr>
                <w:rFonts w:hint="eastAsia"/>
                <w:sz w:val="18"/>
                <w:szCs w:val="18"/>
              </w:rPr>
              <w:t xml:space="preserve">14.19 </w:t>
            </w:r>
          </w:p>
        </w:tc>
        <w:tc>
          <w:tcPr>
            <w:tcW w:w="1247" w:type="dxa"/>
            <w:shd w:val="clear" w:color="auto" w:fill="auto"/>
            <w:vAlign w:val="bottom"/>
          </w:tcPr>
          <w:p>
            <w:pPr>
              <w:pStyle w:val="42"/>
              <w:rPr>
                <w:sz w:val="18"/>
                <w:szCs w:val="18"/>
              </w:rPr>
            </w:pPr>
            <w:r>
              <w:rPr>
                <w:rFonts w:hint="eastAsia"/>
                <w:sz w:val="18"/>
                <w:szCs w:val="18"/>
              </w:rPr>
              <w:t xml:space="preserve">1.0640 </w:t>
            </w:r>
          </w:p>
        </w:tc>
        <w:tc>
          <w:tcPr>
            <w:tcW w:w="1253" w:type="dxa"/>
            <w:shd w:val="clear" w:color="auto" w:fill="auto"/>
            <w:vAlign w:val="bottom"/>
          </w:tcPr>
          <w:p>
            <w:pPr>
              <w:pStyle w:val="42"/>
              <w:rPr>
                <w:sz w:val="18"/>
                <w:szCs w:val="18"/>
              </w:rPr>
            </w:pPr>
            <w:r>
              <w:rPr>
                <w:rFonts w:hint="eastAsia"/>
                <w:sz w:val="18"/>
                <w:szCs w:val="18"/>
              </w:rPr>
              <w:t xml:space="preserve">29.97 </w:t>
            </w:r>
          </w:p>
        </w:tc>
        <w:tc>
          <w:tcPr>
            <w:tcW w:w="1247" w:type="dxa"/>
            <w:shd w:val="clear" w:color="auto" w:fill="auto"/>
            <w:vAlign w:val="bottom"/>
          </w:tcPr>
          <w:p>
            <w:pPr>
              <w:pStyle w:val="42"/>
              <w:rPr>
                <w:sz w:val="18"/>
                <w:szCs w:val="18"/>
              </w:rPr>
            </w:pPr>
            <w:r>
              <w:rPr>
                <w:rFonts w:hint="eastAsia"/>
                <w:sz w:val="18"/>
                <w:szCs w:val="18"/>
              </w:rPr>
              <w:t xml:space="preserve">0.4305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7</w:t>
            </w:r>
          </w:p>
        </w:tc>
        <w:tc>
          <w:tcPr>
            <w:tcW w:w="1627" w:type="dxa"/>
            <w:shd w:val="clear" w:color="auto" w:fill="auto"/>
            <w:vAlign w:val="center"/>
          </w:tcPr>
          <w:p>
            <w:pPr>
              <w:pStyle w:val="42"/>
              <w:rPr>
                <w:sz w:val="18"/>
                <w:szCs w:val="18"/>
              </w:rPr>
            </w:pPr>
            <w:r>
              <w:rPr>
                <w:rFonts w:hint="eastAsia"/>
                <w:sz w:val="18"/>
                <w:szCs w:val="18"/>
              </w:rPr>
              <w:t>观双村居民点</w:t>
            </w:r>
          </w:p>
        </w:tc>
        <w:tc>
          <w:tcPr>
            <w:tcW w:w="1020" w:type="dxa"/>
            <w:shd w:val="clear" w:color="auto" w:fill="auto"/>
            <w:vAlign w:val="center"/>
          </w:tcPr>
          <w:p>
            <w:pPr>
              <w:pStyle w:val="42"/>
              <w:rPr>
                <w:sz w:val="18"/>
                <w:szCs w:val="18"/>
              </w:rPr>
            </w:pPr>
            <w:r>
              <w:rPr>
                <w:rFonts w:hint="eastAsia"/>
                <w:sz w:val="18"/>
                <w:szCs w:val="18"/>
              </w:rPr>
              <w:t>2450</w:t>
            </w:r>
          </w:p>
        </w:tc>
        <w:tc>
          <w:tcPr>
            <w:tcW w:w="1253" w:type="dxa"/>
            <w:shd w:val="clear" w:color="auto" w:fill="auto"/>
            <w:vAlign w:val="bottom"/>
          </w:tcPr>
          <w:p>
            <w:pPr>
              <w:pStyle w:val="42"/>
              <w:rPr>
                <w:sz w:val="18"/>
                <w:szCs w:val="18"/>
              </w:rPr>
            </w:pPr>
            <w:r>
              <w:rPr>
                <w:rFonts w:hint="eastAsia"/>
                <w:sz w:val="18"/>
                <w:szCs w:val="18"/>
              </w:rPr>
              <w:t xml:space="preserve">15.21 </w:t>
            </w:r>
          </w:p>
        </w:tc>
        <w:tc>
          <w:tcPr>
            <w:tcW w:w="1247" w:type="dxa"/>
            <w:shd w:val="clear" w:color="auto" w:fill="auto"/>
            <w:vAlign w:val="bottom"/>
          </w:tcPr>
          <w:p>
            <w:pPr>
              <w:pStyle w:val="42"/>
              <w:rPr>
                <w:sz w:val="18"/>
                <w:szCs w:val="18"/>
              </w:rPr>
            </w:pPr>
            <w:r>
              <w:rPr>
                <w:rFonts w:hint="eastAsia"/>
                <w:sz w:val="18"/>
                <w:szCs w:val="18"/>
              </w:rPr>
              <w:t xml:space="preserve">0.8586 </w:t>
            </w:r>
          </w:p>
        </w:tc>
        <w:tc>
          <w:tcPr>
            <w:tcW w:w="1253" w:type="dxa"/>
            <w:shd w:val="clear" w:color="auto" w:fill="auto"/>
            <w:vAlign w:val="bottom"/>
          </w:tcPr>
          <w:p>
            <w:pPr>
              <w:pStyle w:val="42"/>
              <w:rPr>
                <w:sz w:val="18"/>
                <w:szCs w:val="18"/>
              </w:rPr>
            </w:pPr>
            <w:r>
              <w:rPr>
                <w:rFonts w:hint="eastAsia"/>
                <w:sz w:val="18"/>
                <w:szCs w:val="18"/>
              </w:rPr>
              <w:t xml:space="preserve">31.33 </w:t>
            </w:r>
          </w:p>
        </w:tc>
        <w:tc>
          <w:tcPr>
            <w:tcW w:w="1247" w:type="dxa"/>
            <w:shd w:val="clear" w:color="auto" w:fill="auto"/>
            <w:vAlign w:val="bottom"/>
          </w:tcPr>
          <w:p>
            <w:pPr>
              <w:pStyle w:val="42"/>
              <w:rPr>
                <w:sz w:val="18"/>
                <w:szCs w:val="18"/>
              </w:rPr>
            </w:pPr>
            <w:r>
              <w:rPr>
                <w:rFonts w:hint="eastAsia"/>
                <w:sz w:val="18"/>
                <w:szCs w:val="18"/>
              </w:rPr>
              <w:t xml:space="preserve">0.3799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8</w:t>
            </w:r>
          </w:p>
        </w:tc>
        <w:tc>
          <w:tcPr>
            <w:tcW w:w="1627" w:type="dxa"/>
            <w:shd w:val="clear" w:color="auto" w:fill="auto"/>
            <w:vAlign w:val="center"/>
          </w:tcPr>
          <w:p>
            <w:pPr>
              <w:pStyle w:val="42"/>
              <w:rPr>
                <w:sz w:val="18"/>
                <w:szCs w:val="18"/>
              </w:rPr>
            </w:pPr>
            <w:r>
              <w:rPr>
                <w:rFonts w:hint="eastAsia"/>
                <w:sz w:val="18"/>
                <w:szCs w:val="18"/>
              </w:rPr>
              <w:t>黄连寺居民点</w:t>
            </w:r>
          </w:p>
        </w:tc>
        <w:tc>
          <w:tcPr>
            <w:tcW w:w="1020" w:type="dxa"/>
            <w:shd w:val="clear" w:color="auto" w:fill="auto"/>
            <w:vAlign w:val="center"/>
          </w:tcPr>
          <w:p>
            <w:pPr>
              <w:pStyle w:val="42"/>
              <w:rPr>
                <w:sz w:val="18"/>
                <w:szCs w:val="18"/>
              </w:rPr>
            </w:pPr>
            <w:r>
              <w:rPr>
                <w:rFonts w:hint="eastAsia"/>
                <w:sz w:val="18"/>
                <w:szCs w:val="18"/>
              </w:rPr>
              <w:t>2650</w:t>
            </w:r>
          </w:p>
        </w:tc>
        <w:tc>
          <w:tcPr>
            <w:tcW w:w="1253" w:type="dxa"/>
            <w:shd w:val="clear" w:color="auto" w:fill="auto"/>
            <w:vAlign w:val="bottom"/>
          </w:tcPr>
          <w:p>
            <w:pPr>
              <w:pStyle w:val="42"/>
              <w:rPr>
                <w:sz w:val="18"/>
                <w:szCs w:val="18"/>
              </w:rPr>
            </w:pPr>
            <w:r>
              <w:rPr>
                <w:rFonts w:hint="eastAsia"/>
                <w:sz w:val="18"/>
                <w:szCs w:val="18"/>
              </w:rPr>
              <w:t xml:space="preserve">23.23 </w:t>
            </w:r>
          </w:p>
        </w:tc>
        <w:tc>
          <w:tcPr>
            <w:tcW w:w="1247" w:type="dxa"/>
            <w:shd w:val="clear" w:color="auto" w:fill="auto"/>
            <w:vAlign w:val="bottom"/>
          </w:tcPr>
          <w:p>
            <w:pPr>
              <w:pStyle w:val="42"/>
              <w:rPr>
                <w:sz w:val="18"/>
                <w:szCs w:val="18"/>
              </w:rPr>
            </w:pPr>
            <w:r>
              <w:rPr>
                <w:rFonts w:hint="eastAsia"/>
                <w:sz w:val="18"/>
                <w:szCs w:val="18"/>
              </w:rPr>
              <w:t xml:space="preserve">0.2701 </w:t>
            </w:r>
          </w:p>
        </w:tc>
        <w:tc>
          <w:tcPr>
            <w:tcW w:w="1253" w:type="dxa"/>
            <w:shd w:val="clear" w:color="auto" w:fill="auto"/>
            <w:vAlign w:val="bottom"/>
          </w:tcPr>
          <w:p>
            <w:pPr>
              <w:pStyle w:val="42"/>
              <w:rPr>
                <w:sz w:val="18"/>
                <w:szCs w:val="18"/>
              </w:rPr>
            </w:pPr>
            <w:r>
              <w:rPr>
                <w:rFonts w:hint="eastAsia"/>
                <w:sz w:val="18"/>
                <w:szCs w:val="18"/>
              </w:rPr>
              <w:t xml:space="preserve">33.14 </w:t>
            </w:r>
          </w:p>
        </w:tc>
        <w:tc>
          <w:tcPr>
            <w:tcW w:w="1247" w:type="dxa"/>
            <w:shd w:val="clear" w:color="auto" w:fill="auto"/>
            <w:vAlign w:val="bottom"/>
          </w:tcPr>
          <w:p>
            <w:pPr>
              <w:pStyle w:val="42"/>
              <w:rPr>
                <w:sz w:val="18"/>
                <w:szCs w:val="18"/>
              </w:rPr>
            </w:pPr>
            <w:r>
              <w:rPr>
                <w:rFonts w:hint="eastAsia"/>
                <w:sz w:val="18"/>
                <w:szCs w:val="18"/>
              </w:rPr>
              <w:t xml:space="preserve">0.3260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9</w:t>
            </w:r>
          </w:p>
        </w:tc>
        <w:tc>
          <w:tcPr>
            <w:tcW w:w="1627" w:type="dxa"/>
            <w:shd w:val="clear" w:color="auto" w:fill="auto"/>
            <w:vAlign w:val="center"/>
          </w:tcPr>
          <w:p>
            <w:pPr>
              <w:pStyle w:val="42"/>
              <w:rPr>
                <w:sz w:val="18"/>
                <w:szCs w:val="18"/>
              </w:rPr>
            </w:pPr>
            <w:r>
              <w:rPr>
                <w:rFonts w:hint="eastAsia"/>
                <w:sz w:val="18"/>
                <w:szCs w:val="18"/>
              </w:rPr>
              <w:t>雷家湾居民点</w:t>
            </w:r>
          </w:p>
        </w:tc>
        <w:tc>
          <w:tcPr>
            <w:tcW w:w="1020" w:type="dxa"/>
            <w:shd w:val="clear" w:color="auto" w:fill="auto"/>
            <w:vAlign w:val="center"/>
          </w:tcPr>
          <w:p>
            <w:pPr>
              <w:pStyle w:val="42"/>
              <w:rPr>
                <w:sz w:val="18"/>
                <w:szCs w:val="18"/>
              </w:rPr>
            </w:pPr>
            <w:r>
              <w:rPr>
                <w:rFonts w:hint="eastAsia"/>
                <w:sz w:val="18"/>
                <w:szCs w:val="18"/>
              </w:rPr>
              <w:t>3600</w:t>
            </w:r>
          </w:p>
        </w:tc>
        <w:tc>
          <w:tcPr>
            <w:tcW w:w="1253" w:type="dxa"/>
            <w:shd w:val="clear" w:color="auto" w:fill="auto"/>
            <w:vAlign w:val="bottom"/>
          </w:tcPr>
          <w:p>
            <w:pPr>
              <w:pStyle w:val="42"/>
              <w:rPr>
                <w:sz w:val="18"/>
                <w:szCs w:val="18"/>
              </w:rPr>
            </w:pPr>
            <w:r>
              <w:rPr>
                <w:rFonts w:hint="eastAsia"/>
                <w:sz w:val="18"/>
                <w:szCs w:val="18"/>
              </w:rPr>
              <w:t xml:space="preserve">29.45 </w:t>
            </w:r>
          </w:p>
        </w:tc>
        <w:tc>
          <w:tcPr>
            <w:tcW w:w="1247" w:type="dxa"/>
            <w:shd w:val="clear" w:color="auto" w:fill="auto"/>
            <w:vAlign w:val="bottom"/>
          </w:tcPr>
          <w:p>
            <w:pPr>
              <w:pStyle w:val="42"/>
              <w:rPr>
                <w:sz w:val="18"/>
                <w:szCs w:val="18"/>
              </w:rPr>
            </w:pPr>
            <w:r>
              <w:rPr>
                <w:rFonts w:hint="eastAsia"/>
                <w:sz w:val="18"/>
                <w:szCs w:val="18"/>
              </w:rPr>
              <w:t xml:space="preserve">0.1513 </w:t>
            </w:r>
          </w:p>
        </w:tc>
        <w:tc>
          <w:tcPr>
            <w:tcW w:w="1253" w:type="dxa"/>
            <w:shd w:val="clear" w:color="auto" w:fill="auto"/>
            <w:vAlign w:val="bottom"/>
          </w:tcPr>
          <w:p>
            <w:pPr>
              <w:pStyle w:val="42"/>
              <w:rPr>
                <w:sz w:val="18"/>
                <w:szCs w:val="18"/>
              </w:rPr>
            </w:pPr>
            <w:r>
              <w:rPr>
                <w:rFonts w:hint="eastAsia"/>
                <w:sz w:val="18"/>
                <w:szCs w:val="18"/>
              </w:rPr>
              <w:t xml:space="preserve">41.62 </w:t>
            </w:r>
          </w:p>
        </w:tc>
        <w:tc>
          <w:tcPr>
            <w:tcW w:w="1247" w:type="dxa"/>
            <w:shd w:val="clear" w:color="auto" w:fill="auto"/>
            <w:vAlign w:val="bottom"/>
          </w:tcPr>
          <w:p>
            <w:pPr>
              <w:pStyle w:val="42"/>
              <w:rPr>
                <w:sz w:val="18"/>
                <w:szCs w:val="18"/>
              </w:rPr>
            </w:pPr>
            <w:r>
              <w:rPr>
                <w:rFonts w:hint="eastAsia"/>
                <w:sz w:val="18"/>
                <w:szCs w:val="18"/>
              </w:rPr>
              <w:t xml:space="preserve">0.1813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10</w:t>
            </w:r>
          </w:p>
        </w:tc>
        <w:tc>
          <w:tcPr>
            <w:tcW w:w="1627" w:type="dxa"/>
            <w:shd w:val="clear" w:color="auto" w:fill="auto"/>
            <w:vAlign w:val="center"/>
          </w:tcPr>
          <w:p>
            <w:pPr>
              <w:pStyle w:val="42"/>
              <w:rPr>
                <w:sz w:val="18"/>
                <w:szCs w:val="18"/>
              </w:rPr>
            </w:pPr>
            <w:r>
              <w:rPr>
                <w:rFonts w:hint="eastAsia"/>
                <w:sz w:val="18"/>
                <w:szCs w:val="18"/>
              </w:rPr>
              <w:t>朱家沟居民点</w:t>
            </w:r>
          </w:p>
        </w:tc>
        <w:tc>
          <w:tcPr>
            <w:tcW w:w="1020" w:type="dxa"/>
            <w:shd w:val="clear" w:color="auto" w:fill="auto"/>
            <w:vAlign w:val="center"/>
          </w:tcPr>
          <w:p>
            <w:pPr>
              <w:pStyle w:val="42"/>
              <w:rPr>
                <w:sz w:val="18"/>
                <w:szCs w:val="18"/>
              </w:rPr>
            </w:pPr>
            <w:r>
              <w:rPr>
                <w:rFonts w:hint="eastAsia"/>
                <w:sz w:val="18"/>
                <w:szCs w:val="18"/>
              </w:rPr>
              <w:t>4000</w:t>
            </w:r>
          </w:p>
        </w:tc>
        <w:tc>
          <w:tcPr>
            <w:tcW w:w="1253" w:type="dxa"/>
            <w:shd w:val="clear" w:color="auto" w:fill="auto"/>
            <w:vAlign w:val="bottom"/>
          </w:tcPr>
          <w:p>
            <w:pPr>
              <w:pStyle w:val="42"/>
              <w:rPr>
                <w:sz w:val="18"/>
                <w:szCs w:val="18"/>
              </w:rPr>
            </w:pPr>
            <w:r>
              <w:rPr>
                <w:rFonts w:hint="eastAsia"/>
                <w:sz w:val="18"/>
                <w:szCs w:val="18"/>
              </w:rPr>
              <w:t xml:space="preserve">32.05 </w:t>
            </w:r>
          </w:p>
        </w:tc>
        <w:tc>
          <w:tcPr>
            <w:tcW w:w="1247" w:type="dxa"/>
            <w:shd w:val="clear" w:color="auto" w:fill="auto"/>
            <w:vAlign w:val="bottom"/>
          </w:tcPr>
          <w:p>
            <w:pPr>
              <w:pStyle w:val="42"/>
              <w:rPr>
                <w:sz w:val="18"/>
                <w:szCs w:val="18"/>
              </w:rPr>
            </w:pPr>
            <w:r>
              <w:rPr>
                <w:rFonts w:hint="eastAsia"/>
                <w:sz w:val="18"/>
                <w:szCs w:val="18"/>
              </w:rPr>
              <w:t xml:space="preserve">0.1238 </w:t>
            </w:r>
          </w:p>
        </w:tc>
        <w:tc>
          <w:tcPr>
            <w:tcW w:w="1253" w:type="dxa"/>
            <w:shd w:val="clear" w:color="auto" w:fill="auto"/>
            <w:vAlign w:val="bottom"/>
          </w:tcPr>
          <w:p>
            <w:pPr>
              <w:pStyle w:val="42"/>
              <w:rPr>
                <w:sz w:val="18"/>
                <w:szCs w:val="18"/>
              </w:rPr>
            </w:pPr>
            <w:r>
              <w:rPr>
                <w:rFonts w:hint="eastAsia"/>
                <w:sz w:val="18"/>
                <w:szCs w:val="18"/>
              </w:rPr>
              <w:t xml:space="preserve">45.15 </w:t>
            </w:r>
          </w:p>
        </w:tc>
        <w:tc>
          <w:tcPr>
            <w:tcW w:w="1247" w:type="dxa"/>
            <w:shd w:val="clear" w:color="auto" w:fill="auto"/>
            <w:vAlign w:val="bottom"/>
          </w:tcPr>
          <w:p>
            <w:pPr>
              <w:pStyle w:val="42"/>
              <w:rPr>
                <w:sz w:val="18"/>
                <w:szCs w:val="18"/>
              </w:rPr>
            </w:pPr>
            <w:r>
              <w:rPr>
                <w:rFonts w:hint="eastAsia"/>
                <w:sz w:val="18"/>
                <w:szCs w:val="18"/>
              </w:rPr>
              <w:t xml:space="preserve">0.1478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11</w:t>
            </w:r>
          </w:p>
        </w:tc>
        <w:tc>
          <w:tcPr>
            <w:tcW w:w="1627" w:type="dxa"/>
            <w:shd w:val="clear" w:color="auto" w:fill="auto"/>
            <w:vAlign w:val="center"/>
          </w:tcPr>
          <w:p>
            <w:pPr>
              <w:pStyle w:val="42"/>
              <w:rPr>
                <w:sz w:val="18"/>
                <w:szCs w:val="18"/>
              </w:rPr>
            </w:pPr>
            <w:r>
              <w:rPr>
                <w:rFonts w:hint="eastAsia"/>
                <w:sz w:val="18"/>
                <w:szCs w:val="18"/>
              </w:rPr>
              <w:t>龙潭村居民点</w:t>
            </w:r>
          </w:p>
        </w:tc>
        <w:tc>
          <w:tcPr>
            <w:tcW w:w="1020" w:type="dxa"/>
            <w:shd w:val="clear" w:color="auto" w:fill="auto"/>
            <w:vAlign w:val="center"/>
          </w:tcPr>
          <w:p>
            <w:pPr>
              <w:pStyle w:val="42"/>
              <w:rPr>
                <w:sz w:val="18"/>
                <w:szCs w:val="18"/>
              </w:rPr>
            </w:pPr>
            <w:r>
              <w:rPr>
                <w:rFonts w:hint="eastAsia"/>
                <w:sz w:val="18"/>
                <w:szCs w:val="18"/>
              </w:rPr>
              <w:t>3650</w:t>
            </w:r>
          </w:p>
        </w:tc>
        <w:tc>
          <w:tcPr>
            <w:tcW w:w="1253" w:type="dxa"/>
            <w:shd w:val="clear" w:color="auto" w:fill="auto"/>
            <w:vAlign w:val="bottom"/>
          </w:tcPr>
          <w:p>
            <w:pPr>
              <w:pStyle w:val="42"/>
              <w:rPr>
                <w:sz w:val="18"/>
                <w:szCs w:val="18"/>
              </w:rPr>
            </w:pPr>
            <w:r>
              <w:rPr>
                <w:rFonts w:hint="eastAsia"/>
                <w:sz w:val="18"/>
                <w:szCs w:val="18"/>
              </w:rPr>
              <w:t xml:space="preserve">29.78 </w:t>
            </w:r>
          </w:p>
        </w:tc>
        <w:tc>
          <w:tcPr>
            <w:tcW w:w="1247" w:type="dxa"/>
            <w:shd w:val="clear" w:color="auto" w:fill="auto"/>
            <w:vAlign w:val="bottom"/>
          </w:tcPr>
          <w:p>
            <w:pPr>
              <w:pStyle w:val="42"/>
              <w:rPr>
                <w:sz w:val="18"/>
                <w:szCs w:val="18"/>
              </w:rPr>
            </w:pPr>
            <w:r>
              <w:rPr>
                <w:rFonts w:hint="eastAsia"/>
                <w:sz w:val="18"/>
                <w:szCs w:val="18"/>
              </w:rPr>
              <w:t xml:space="preserve">0.1473 </w:t>
            </w:r>
          </w:p>
        </w:tc>
        <w:tc>
          <w:tcPr>
            <w:tcW w:w="1253" w:type="dxa"/>
            <w:shd w:val="clear" w:color="auto" w:fill="auto"/>
            <w:vAlign w:val="bottom"/>
          </w:tcPr>
          <w:p>
            <w:pPr>
              <w:pStyle w:val="42"/>
              <w:rPr>
                <w:sz w:val="18"/>
                <w:szCs w:val="18"/>
              </w:rPr>
            </w:pPr>
            <w:r>
              <w:rPr>
                <w:rFonts w:hint="eastAsia"/>
                <w:sz w:val="18"/>
                <w:szCs w:val="18"/>
              </w:rPr>
              <w:t xml:space="preserve">42.06 </w:t>
            </w:r>
          </w:p>
        </w:tc>
        <w:tc>
          <w:tcPr>
            <w:tcW w:w="1247" w:type="dxa"/>
            <w:shd w:val="clear" w:color="auto" w:fill="auto"/>
            <w:vAlign w:val="bottom"/>
          </w:tcPr>
          <w:p>
            <w:pPr>
              <w:pStyle w:val="42"/>
              <w:rPr>
                <w:sz w:val="18"/>
                <w:szCs w:val="18"/>
              </w:rPr>
            </w:pPr>
            <w:r>
              <w:rPr>
                <w:rFonts w:hint="eastAsia"/>
                <w:sz w:val="18"/>
                <w:szCs w:val="18"/>
              </w:rPr>
              <w:t xml:space="preserve">0.1764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12</w:t>
            </w:r>
          </w:p>
        </w:tc>
        <w:tc>
          <w:tcPr>
            <w:tcW w:w="1627" w:type="dxa"/>
            <w:shd w:val="clear" w:color="auto" w:fill="auto"/>
            <w:vAlign w:val="center"/>
          </w:tcPr>
          <w:p>
            <w:pPr>
              <w:pStyle w:val="42"/>
              <w:rPr>
                <w:sz w:val="18"/>
                <w:szCs w:val="18"/>
              </w:rPr>
            </w:pPr>
            <w:r>
              <w:rPr>
                <w:rFonts w:hint="eastAsia"/>
                <w:sz w:val="18"/>
                <w:szCs w:val="18"/>
              </w:rPr>
              <w:t>迎风场居民区</w:t>
            </w:r>
          </w:p>
        </w:tc>
        <w:tc>
          <w:tcPr>
            <w:tcW w:w="1020" w:type="dxa"/>
            <w:shd w:val="clear" w:color="auto" w:fill="auto"/>
            <w:vAlign w:val="center"/>
          </w:tcPr>
          <w:p>
            <w:pPr>
              <w:pStyle w:val="42"/>
              <w:rPr>
                <w:sz w:val="18"/>
                <w:szCs w:val="18"/>
              </w:rPr>
            </w:pPr>
            <w:r>
              <w:rPr>
                <w:rFonts w:hint="eastAsia"/>
                <w:sz w:val="18"/>
                <w:szCs w:val="18"/>
              </w:rPr>
              <w:t>3970</w:t>
            </w:r>
          </w:p>
        </w:tc>
        <w:tc>
          <w:tcPr>
            <w:tcW w:w="1253" w:type="dxa"/>
            <w:shd w:val="clear" w:color="auto" w:fill="auto"/>
            <w:vAlign w:val="bottom"/>
          </w:tcPr>
          <w:p>
            <w:pPr>
              <w:pStyle w:val="42"/>
              <w:rPr>
                <w:sz w:val="18"/>
                <w:szCs w:val="18"/>
              </w:rPr>
            </w:pPr>
            <w:r>
              <w:rPr>
                <w:rFonts w:hint="eastAsia"/>
                <w:sz w:val="18"/>
                <w:szCs w:val="18"/>
              </w:rPr>
              <w:t xml:space="preserve">31.73 </w:t>
            </w:r>
          </w:p>
        </w:tc>
        <w:tc>
          <w:tcPr>
            <w:tcW w:w="1247" w:type="dxa"/>
            <w:shd w:val="clear" w:color="auto" w:fill="auto"/>
            <w:vAlign w:val="bottom"/>
          </w:tcPr>
          <w:p>
            <w:pPr>
              <w:pStyle w:val="42"/>
              <w:rPr>
                <w:sz w:val="18"/>
                <w:szCs w:val="18"/>
              </w:rPr>
            </w:pPr>
            <w:r>
              <w:rPr>
                <w:rFonts w:hint="eastAsia"/>
                <w:sz w:val="18"/>
                <w:szCs w:val="18"/>
              </w:rPr>
              <w:t xml:space="preserve">0.1267 </w:t>
            </w:r>
          </w:p>
        </w:tc>
        <w:tc>
          <w:tcPr>
            <w:tcW w:w="1253" w:type="dxa"/>
            <w:shd w:val="clear" w:color="auto" w:fill="auto"/>
            <w:vAlign w:val="bottom"/>
          </w:tcPr>
          <w:p>
            <w:pPr>
              <w:pStyle w:val="42"/>
              <w:rPr>
                <w:sz w:val="18"/>
                <w:szCs w:val="18"/>
              </w:rPr>
            </w:pPr>
            <w:r>
              <w:rPr>
                <w:rFonts w:hint="eastAsia"/>
                <w:sz w:val="18"/>
                <w:szCs w:val="18"/>
              </w:rPr>
              <w:t xml:space="preserve">44.71 </w:t>
            </w:r>
          </w:p>
        </w:tc>
        <w:tc>
          <w:tcPr>
            <w:tcW w:w="1247" w:type="dxa"/>
            <w:shd w:val="clear" w:color="auto" w:fill="auto"/>
            <w:vAlign w:val="bottom"/>
          </w:tcPr>
          <w:p>
            <w:pPr>
              <w:pStyle w:val="42"/>
              <w:rPr>
                <w:sz w:val="18"/>
                <w:szCs w:val="18"/>
              </w:rPr>
            </w:pPr>
            <w:r>
              <w:rPr>
                <w:rFonts w:hint="eastAsia"/>
                <w:sz w:val="18"/>
                <w:szCs w:val="18"/>
              </w:rPr>
              <w:t xml:space="preserve">0.1514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13</w:t>
            </w:r>
          </w:p>
        </w:tc>
        <w:tc>
          <w:tcPr>
            <w:tcW w:w="1627" w:type="dxa"/>
            <w:shd w:val="clear" w:color="auto" w:fill="auto"/>
            <w:vAlign w:val="center"/>
          </w:tcPr>
          <w:p>
            <w:pPr>
              <w:pStyle w:val="42"/>
              <w:rPr>
                <w:sz w:val="18"/>
                <w:szCs w:val="18"/>
              </w:rPr>
            </w:pPr>
            <w:r>
              <w:rPr>
                <w:sz w:val="18"/>
                <w:szCs w:val="18"/>
              </w:rPr>
              <w:t>川维厂家属区</w:t>
            </w:r>
          </w:p>
        </w:tc>
        <w:tc>
          <w:tcPr>
            <w:tcW w:w="1020" w:type="dxa"/>
            <w:shd w:val="clear" w:color="auto" w:fill="auto"/>
            <w:vAlign w:val="center"/>
          </w:tcPr>
          <w:p>
            <w:pPr>
              <w:pStyle w:val="42"/>
              <w:rPr>
                <w:sz w:val="18"/>
                <w:szCs w:val="18"/>
              </w:rPr>
            </w:pPr>
            <w:r>
              <w:rPr>
                <w:rFonts w:hint="eastAsia"/>
                <w:sz w:val="18"/>
                <w:szCs w:val="18"/>
              </w:rPr>
              <w:t>4900</w:t>
            </w:r>
          </w:p>
        </w:tc>
        <w:tc>
          <w:tcPr>
            <w:tcW w:w="1253" w:type="dxa"/>
            <w:shd w:val="clear" w:color="auto" w:fill="auto"/>
            <w:vAlign w:val="bottom"/>
          </w:tcPr>
          <w:p>
            <w:pPr>
              <w:pStyle w:val="42"/>
              <w:rPr>
                <w:sz w:val="18"/>
                <w:szCs w:val="18"/>
              </w:rPr>
            </w:pPr>
            <w:r>
              <w:rPr>
                <w:rFonts w:hint="eastAsia"/>
                <w:sz w:val="18"/>
                <w:szCs w:val="18"/>
              </w:rPr>
              <w:t xml:space="preserve">37.85 </w:t>
            </w:r>
          </w:p>
        </w:tc>
        <w:tc>
          <w:tcPr>
            <w:tcW w:w="1247" w:type="dxa"/>
            <w:shd w:val="clear" w:color="auto" w:fill="auto"/>
            <w:vAlign w:val="bottom"/>
          </w:tcPr>
          <w:p>
            <w:pPr>
              <w:pStyle w:val="42"/>
              <w:rPr>
                <w:sz w:val="18"/>
                <w:szCs w:val="18"/>
              </w:rPr>
            </w:pPr>
            <w:r>
              <w:rPr>
                <w:rFonts w:hint="eastAsia"/>
                <w:sz w:val="18"/>
                <w:szCs w:val="18"/>
              </w:rPr>
              <w:t xml:space="preserve">0.0844 </w:t>
            </w:r>
          </w:p>
        </w:tc>
        <w:tc>
          <w:tcPr>
            <w:tcW w:w="1253" w:type="dxa"/>
            <w:shd w:val="clear" w:color="auto" w:fill="auto"/>
            <w:vAlign w:val="bottom"/>
          </w:tcPr>
          <w:p>
            <w:pPr>
              <w:pStyle w:val="42"/>
              <w:rPr>
                <w:sz w:val="18"/>
                <w:szCs w:val="18"/>
              </w:rPr>
            </w:pPr>
            <w:r>
              <w:rPr>
                <w:rFonts w:hint="eastAsia"/>
                <w:sz w:val="18"/>
                <w:szCs w:val="18"/>
              </w:rPr>
              <w:t xml:space="preserve">53.05 </w:t>
            </w:r>
          </w:p>
        </w:tc>
        <w:tc>
          <w:tcPr>
            <w:tcW w:w="1247" w:type="dxa"/>
            <w:shd w:val="clear" w:color="auto" w:fill="auto"/>
            <w:vAlign w:val="bottom"/>
          </w:tcPr>
          <w:p>
            <w:pPr>
              <w:pStyle w:val="42"/>
              <w:rPr>
                <w:sz w:val="18"/>
                <w:szCs w:val="18"/>
              </w:rPr>
            </w:pPr>
            <w:r>
              <w:rPr>
                <w:rFonts w:hint="eastAsia"/>
                <w:sz w:val="18"/>
                <w:szCs w:val="18"/>
              </w:rPr>
              <w:t xml:space="preserve">0.1002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14</w:t>
            </w:r>
          </w:p>
        </w:tc>
        <w:tc>
          <w:tcPr>
            <w:tcW w:w="1627" w:type="dxa"/>
            <w:shd w:val="clear" w:color="auto" w:fill="auto"/>
            <w:vAlign w:val="center"/>
          </w:tcPr>
          <w:p>
            <w:pPr>
              <w:pStyle w:val="42"/>
              <w:rPr>
                <w:sz w:val="18"/>
                <w:szCs w:val="18"/>
              </w:rPr>
            </w:pPr>
            <w:r>
              <w:rPr>
                <w:sz w:val="18"/>
                <w:szCs w:val="18"/>
              </w:rPr>
              <w:t>长寿</w:t>
            </w:r>
            <w:r>
              <w:rPr>
                <w:rFonts w:hint="eastAsia"/>
                <w:sz w:val="18"/>
                <w:szCs w:val="18"/>
              </w:rPr>
              <w:t>化工</w:t>
            </w:r>
            <w:r>
              <w:rPr>
                <w:sz w:val="18"/>
                <w:szCs w:val="18"/>
              </w:rPr>
              <w:t>园区医院</w:t>
            </w:r>
          </w:p>
        </w:tc>
        <w:tc>
          <w:tcPr>
            <w:tcW w:w="1020" w:type="dxa"/>
            <w:shd w:val="clear" w:color="auto" w:fill="auto"/>
            <w:vAlign w:val="center"/>
          </w:tcPr>
          <w:p>
            <w:pPr>
              <w:pStyle w:val="42"/>
              <w:rPr>
                <w:sz w:val="18"/>
                <w:szCs w:val="18"/>
              </w:rPr>
            </w:pPr>
            <w:r>
              <w:rPr>
                <w:rFonts w:hint="eastAsia"/>
                <w:sz w:val="18"/>
                <w:szCs w:val="18"/>
              </w:rPr>
              <w:t>4900</w:t>
            </w:r>
          </w:p>
        </w:tc>
        <w:tc>
          <w:tcPr>
            <w:tcW w:w="1253" w:type="dxa"/>
            <w:shd w:val="clear" w:color="auto" w:fill="auto"/>
            <w:vAlign w:val="bottom"/>
          </w:tcPr>
          <w:p>
            <w:pPr>
              <w:pStyle w:val="42"/>
              <w:rPr>
                <w:sz w:val="18"/>
                <w:szCs w:val="18"/>
              </w:rPr>
            </w:pPr>
            <w:r>
              <w:rPr>
                <w:rFonts w:hint="eastAsia"/>
                <w:sz w:val="18"/>
                <w:szCs w:val="18"/>
              </w:rPr>
              <w:t xml:space="preserve">37.85 </w:t>
            </w:r>
          </w:p>
        </w:tc>
        <w:tc>
          <w:tcPr>
            <w:tcW w:w="1247" w:type="dxa"/>
            <w:shd w:val="clear" w:color="auto" w:fill="auto"/>
            <w:vAlign w:val="bottom"/>
          </w:tcPr>
          <w:p>
            <w:pPr>
              <w:pStyle w:val="42"/>
              <w:rPr>
                <w:sz w:val="18"/>
                <w:szCs w:val="18"/>
              </w:rPr>
            </w:pPr>
            <w:r>
              <w:rPr>
                <w:rFonts w:hint="eastAsia"/>
                <w:sz w:val="18"/>
                <w:szCs w:val="18"/>
              </w:rPr>
              <w:t xml:space="preserve">0.0844 </w:t>
            </w:r>
          </w:p>
        </w:tc>
        <w:tc>
          <w:tcPr>
            <w:tcW w:w="1253" w:type="dxa"/>
            <w:shd w:val="clear" w:color="auto" w:fill="auto"/>
            <w:vAlign w:val="bottom"/>
          </w:tcPr>
          <w:p>
            <w:pPr>
              <w:pStyle w:val="42"/>
              <w:rPr>
                <w:sz w:val="18"/>
                <w:szCs w:val="18"/>
              </w:rPr>
            </w:pPr>
            <w:r>
              <w:rPr>
                <w:rFonts w:hint="eastAsia"/>
                <w:sz w:val="18"/>
                <w:szCs w:val="18"/>
              </w:rPr>
              <w:t xml:space="preserve">53.05 </w:t>
            </w:r>
          </w:p>
        </w:tc>
        <w:tc>
          <w:tcPr>
            <w:tcW w:w="1247" w:type="dxa"/>
            <w:shd w:val="clear" w:color="auto" w:fill="auto"/>
            <w:vAlign w:val="bottom"/>
          </w:tcPr>
          <w:p>
            <w:pPr>
              <w:pStyle w:val="42"/>
              <w:rPr>
                <w:sz w:val="18"/>
                <w:szCs w:val="18"/>
              </w:rPr>
            </w:pPr>
            <w:r>
              <w:rPr>
                <w:rFonts w:hint="eastAsia"/>
                <w:sz w:val="18"/>
                <w:szCs w:val="18"/>
              </w:rPr>
              <w:t xml:space="preserve">0.1002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15</w:t>
            </w:r>
          </w:p>
        </w:tc>
        <w:tc>
          <w:tcPr>
            <w:tcW w:w="1627" w:type="dxa"/>
            <w:shd w:val="clear" w:color="auto" w:fill="auto"/>
            <w:vAlign w:val="center"/>
          </w:tcPr>
          <w:p>
            <w:pPr>
              <w:pStyle w:val="42"/>
              <w:rPr>
                <w:sz w:val="18"/>
                <w:szCs w:val="18"/>
              </w:rPr>
            </w:pPr>
            <w:r>
              <w:rPr>
                <w:sz w:val="18"/>
                <w:szCs w:val="18"/>
              </w:rPr>
              <w:t>王家湾</w:t>
            </w:r>
            <w:r>
              <w:rPr>
                <w:rFonts w:hint="eastAsia"/>
                <w:sz w:val="18"/>
                <w:szCs w:val="18"/>
              </w:rPr>
              <w:t>居民点</w:t>
            </w:r>
          </w:p>
        </w:tc>
        <w:tc>
          <w:tcPr>
            <w:tcW w:w="1020" w:type="dxa"/>
            <w:shd w:val="clear" w:color="auto" w:fill="auto"/>
            <w:vAlign w:val="center"/>
          </w:tcPr>
          <w:p>
            <w:pPr>
              <w:pStyle w:val="42"/>
              <w:rPr>
                <w:sz w:val="18"/>
                <w:szCs w:val="18"/>
              </w:rPr>
            </w:pPr>
            <w:r>
              <w:rPr>
                <w:rFonts w:hint="eastAsia"/>
                <w:sz w:val="18"/>
                <w:szCs w:val="18"/>
              </w:rPr>
              <w:t>4750</w:t>
            </w:r>
          </w:p>
        </w:tc>
        <w:tc>
          <w:tcPr>
            <w:tcW w:w="1253" w:type="dxa"/>
            <w:shd w:val="clear" w:color="auto" w:fill="auto"/>
            <w:vAlign w:val="bottom"/>
          </w:tcPr>
          <w:p>
            <w:pPr>
              <w:pStyle w:val="42"/>
              <w:rPr>
                <w:sz w:val="18"/>
                <w:szCs w:val="18"/>
              </w:rPr>
            </w:pPr>
            <w:r>
              <w:rPr>
                <w:rFonts w:hint="eastAsia"/>
                <w:sz w:val="18"/>
                <w:szCs w:val="18"/>
              </w:rPr>
              <w:t xml:space="preserve">36.89 </w:t>
            </w:r>
          </w:p>
        </w:tc>
        <w:tc>
          <w:tcPr>
            <w:tcW w:w="1247" w:type="dxa"/>
            <w:shd w:val="clear" w:color="auto" w:fill="auto"/>
            <w:vAlign w:val="bottom"/>
          </w:tcPr>
          <w:p>
            <w:pPr>
              <w:pStyle w:val="42"/>
              <w:rPr>
                <w:sz w:val="18"/>
                <w:szCs w:val="18"/>
              </w:rPr>
            </w:pPr>
            <w:r>
              <w:rPr>
                <w:rFonts w:hint="eastAsia"/>
                <w:sz w:val="18"/>
                <w:szCs w:val="18"/>
              </w:rPr>
              <w:t xml:space="preserve">0.0894 </w:t>
            </w:r>
          </w:p>
        </w:tc>
        <w:tc>
          <w:tcPr>
            <w:tcW w:w="1253" w:type="dxa"/>
            <w:shd w:val="clear" w:color="auto" w:fill="auto"/>
            <w:vAlign w:val="bottom"/>
          </w:tcPr>
          <w:p>
            <w:pPr>
              <w:pStyle w:val="42"/>
              <w:rPr>
                <w:sz w:val="18"/>
                <w:szCs w:val="18"/>
              </w:rPr>
            </w:pPr>
            <w:r>
              <w:rPr>
                <w:rFonts w:hint="eastAsia"/>
                <w:sz w:val="18"/>
                <w:szCs w:val="18"/>
              </w:rPr>
              <w:t xml:space="preserve">51.74 </w:t>
            </w:r>
          </w:p>
        </w:tc>
        <w:tc>
          <w:tcPr>
            <w:tcW w:w="1247" w:type="dxa"/>
            <w:shd w:val="clear" w:color="auto" w:fill="auto"/>
            <w:vAlign w:val="bottom"/>
          </w:tcPr>
          <w:p>
            <w:pPr>
              <w:pStyle w:val="42"/>
              <w:rPr>
                <w:sz w:val="18"/>
                <w:szCs w:val="18"/>
              </w:rPr>
            </w:pPr>
            <w:r>
              <w:rPr>
                <w:rFonts w:hint="eastAsia"/>
                <w:sz w:val="18"/>
                <w:szCs w:val="18"/>
              </w:rPr>
              <w:t xml:space="preserve">0.1063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16</w:t>
            </w:r>
          </w:p>
        </w:tc>
        <w:tc>
          <w:tcPr>
            <w:tcW w:w="1627" w:type="dxa"/>
            <w:shd w:val="clear" w:color="auto" w:fill="auto"/>
            <w:vAlign w:val="center"/>
          </w:tcPr>
          <w:p>
            <w:pPr>
              <w:pStyle w:val="42"/>
              <w:rPr>
                <w:sz w:val="18"/>
                <w:szCs w:val="18"/>
              </w:rPr>
            </w:pPr>
            <w:r>
              <w:rPr>
                <w:rFonts w:hint="eastAsia"/>
                <w:sz w:val="18"/>
                <w:szCs w:val="18"/>
              </w:rPr>
              <w:t>傅</w:t>
            </w:r>
            <w:r>
              <w:rPr>
                <w:sz w:val="18"/>
                <w:szCs w:val="18"/>
              </w:rPr>
              <w:t>家湾</w:t>
            </w:r>
            <w:r>
              <w:rPr>
                <w:rFonts w:hint="eastAsia"/>
                <w:sz w:val="18"/>
                <w:szCs w:val="18"/>
              </w:rPr>
              <w:t>居民点</w:t>
            </w:r>
          </w:p>
        </w:tc>
        <w:tc>
          <w:tcPr>
            <w:tcW w:w="1020" w:type="dxa"/>
            <w:shd w:val="clear" w:color="auto" w:fill="auto"/>
            <w:vAlign w:val="center"/>
          </w:tcPr>
          <w:p>
            <w:pPr>
              <w:pStyle w:val="42"/>
              <w:rPr>
                <w:sz w:val="18"/>
                <w:szCs w:val="18"/>
              </w:rPr>
            </w:pPr>
            <w:r>
              <w:rPr>
                <w:rFonts w:hint="eastAsia"/>
                <w:sz w:val="18"/>
                <w:szCs w:val="18"/>
              </w:rPr>
              <w:t>4970</w:t>
            </w:r>
          </w:p>
        </w:tc>
        <w:tc>
          <w:tcPr>
            <w:tcW w:w="1253" w:type="dxa"/>
            <w:shd w:val="clear" w:color="auto" w:fill="auto"/>
            <w:vAlign w:val="bottom"/>
          </w:tcPr>
          <w:p>
            <w:pPr>
              <w:pStyle w:val="42"/>
              <w:rPr>
                <w:sz w:val="18"/>
                <w:szCs w:val="18"/>
              </w:rPr>
            </w:pPr>
            <w:r>
              <w:rPr>
                <w:rFonts w:hint="eastAsia"/>
                <w:sz w:val="18"/>
                <w:szCs w:val="18"/>
              </w:rPr>
              <w:t xml:space="preserve">38.17 </w:t>
            </w:r>
          </w:p>
        </w:tc>
        <w:tc>
          <w:tcPr>
            <w:tcW w:w="1247" w:type="dxa"/>
            <w:shd w:val="clear" w:color="auto" w:fill="auto"/>
            <w:vAlign w:val="bottom"/>
          </w:tcPr>
          <w:p>
            <w:pPr>
              <w:pStyle w:val="42"/>
              <w:rPr>
                <w:sz w:val="18"/>
                <w:szCs w:val="18"/>
              </w:rPr>
            </w:pPr>
            <w:r>
              <w:rPr>
                <w:rFonts w:hint="eastAsia"/>
                <w:sz w:val="18"/>
                <w:szCs w:val="18"/>
              </w:rPr>
              <w:t xml:space="preserve">0.0828 </w:t>
            </w:r>
          </w:p>
        </w:tc>
        <w:tc>
          <w:tcPr>
            <w:tcW w:w="1253" w:type="dxa"/>
            <w:shd w:val="clear" w:color="auto" w:fill="auto"/>
            <w:vAlign w:val="bottom"/>
          </w:tcPr>
          <w:p>
            <w:pPr>
              <w:pStyle w:val="42"/>
              <w:rPr>
                <w:sz w:val="18"/>
                <w:szCs w:val="18"/>
              </w:rPr>
            </w:pPr>
            <w:r>
              <w:rPr>
                <w:rFonts w:hint="eastAsia"/>
                <w:sz w:val="18"/>
                <w:szCs w:val="18"/>
              </w:rPr>
              <w:t xml:space="preserve">53.48 </w:t>
            </w:r>
          </w:p>
        </w:tc>
        <w:tc>
          <w:tcPr>
            <w:tcW w:w="1247" w:type="dxa"/>
            <w:shd w:val="clear" w:color="auto" w:fill="auto"/>
            <w:vAlign w:val="bottom"/>
          </w:tcPr>
          <w:p>
            <w:pPr>
              <w:pStyle w:val="42"/>
              <w:rPr>
                <w:sz w:val="18"/>
                <w:szCs w:val="18"/>
              </w:rPr>
            </w:pPr>
            <w:r>
              <w:rPr>
                <w:rFonts w:hint="eastAsia"/>
                <w:sz w:val="18"/>
                <w:szCs w:val="18"/>
              </w:rPr>
              <w:t xml:space="preserve">0.0983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17</w:t>
            </w:r>
          </w:p>
        </w:tc>
        <w:tc>
          <w:tcPr>
            <w:tcW w:w="1627" w:type="dxa"/>
            <w:shd w:val="clear" w:color="auto" w:fill="auto"/>
            <w:vAlign w:val="center"/>
          </w:tcPr>
          <w:p>
            <w:pPr>
              <w:pStyle w:val="42"/>
              <w:rPr>
                <w:sz w:val="18"/>
                <w:szCs w:val="18"/>
              </w:rPr>
            </w:pPr>
            <w:r>
              <w:rPr>
                <w:rFonts w:hint="eastAsia"/>
                <w:sz w:val="18"/>
                <w:szCs w:val="18"/>
              </w:rPr>
              <w:t>罗家沟居民点</w:t>
            </w:r>
          </w:p>
        </w:tc>
        <w:tc>
          <w:tcPr>
            <w:tcW w:w="1020" w:type="dxa"/>
            <w:shd w:val="clear" w:color="auto" w:fill="auto"/>
            <w:vAlign w:val="center"/>
          </w:tcPr>
          <w:p>
            <w:pPr>
              <w:pStyle w:val="42"/>
              <w:rPr>
                <w:sz w:val="18"/>
                <w:szCs w:val="18"/>
              </w:rPr>
            </w:pPr>
            <w:r>
              <w:rPr>
                <w:rFonts w:hint="eastAsia"/>
                <w:sz w:val="18"/>
                <w:szCs w:val="18"/>
              </w:rPr>
              <w:t>5000</w:t>
            </w:r>
          </w:p>
        </w:tc>
        <w:tc>
          <w:tcPr>
            <w:tcW w:w="1253" w:type="dxa"/>
            <w:shd w:val="clear" w:color="auto" w:fill="auto"/>
            <w:vAlign w:val="bottom"/>
          </w:tcPr>
          <w:p>
            <w:pPr>
              <w:pStyle w:val="42"/>
              <w:rPr>
                <w:sz w:val="18"/>
                <w:szCs w:val="18"/>
              </w:rPr>
            </w:pPr>
            <w:r>
              <w:rPr>
                <w:rFonts w:hint="eastAsia"/>
                <w:sz w:val="18"/>
                <w:szCs w:val="18"/>
              </w:rPr>
              <w:t xml:space="preserve">38.49 </w:t>
            </w:r>
          </w:p>
        </w:tc>
        <w:tc>
          <w:tcPr>
            <w:tcW w:w="1247" w:type="dxa"/>
            <w:shd w:val="clear" w:color="auto" w:fill="auto"/>
            <w:vAlign w:val="bottom"/>
          </w:tcPr>
          <w:p>
            <w:pPr>
              <w:pStyle w:val="42"/>
              <w:rPr>
                <w:sz w:val="18"/>
                <w:szCs w:val="18"/>
              </w:rPr>
            </w:pPr>
            <w:r>
              <w:rPr>
                <w:rFonts w:hint="eastAsia"/>
                <w:sz w:val="18"/>
                <w:szCs w:val="18"/>
              </w:rPr>
              <w:t xml:space="preserve">0.0813 </w:t>
            </w:r>
          </w:p>
        </w:tc>
        <w:tc>
          <w:tcPr>
            <w:tcW w:w="1253" w:type="dxa"/>
            <w:shd w:val="clear" w:color="auto" w:fill="auto"/>
            <w:vAlign w:val="bottom"/>
          </w:tcPr>
          <w:p>
            <w:pPr>
              <w:pStyle w:val="42"/>
              <w:rPr>
                <w:sz w:val="18"/>
                <w:szCs w:val="18"/>
              </w:rPr>
            </w:pPr>
            <w:r>
              <w:rPr>
                <w:rFonts w:hint="eastAsia"/>
                <w:sz w:val="18"/>
                <w:szCs w:val="18"/>
              </w:rPr>
              <w:t xml:space="preserve">53.92 </w:t>
            </w:r>
          </w:p>
        </w:tc>
        <w:tc>
          <w:tcPr>
            <w:tcW w:w="1247" w:type="dxa"/>
            <w:shd w:val="clear" w:color="auto" w:fill="auto"/>
            <w:vAlign w:val="bottom"/>
          </w:tcPr>
          <w:p>
            <w:pPr>
              <w:pStyle w:val="42"/>
              <w:rPr>
                <w:sz w:val="18"/>
                <w:szCs w:val="18"/>
              </w:rPr>
            </w:pPr>
            <w:r>
              <w:rPr>
                <w:rFonts w:hint="eastAsia"/>
                <w:sz w:val="18"/>
                <w:szCs w:val="18"/>
              </w:rPr>
              <w:t xml:space="preserve">0.0965 </w:t>
            </w:r>
          </w:p>
        </w:tc>
      </w:tr>
    </w:tbl>
    <w:p>
      <w:pPr>
        <w:pStyle w:val="41"/>
        <w:spacing w:before="120"/>
        <w:ind w:firstLine="480"/>
        <w:rPr>
          <w:rFonts w:eastAsiaTheme="minorEastAsia"/>
        </w:rPr>
      </w:pPr>
      <w:r>
        <w:rPr>
          <w:rFonts w:eastAsiaTheme="minorEastAsia"/>
        </w:rPr>
        <w:t>表</w:t>
      </w:r>
      <w:r>
        <w:rPr>
          <w:rFonts w:hint="eastAsia" w:eastAsiaTheme="minorEastAsia"/>
        </w:rPr>
        <w:t>6.8-7</w:t>
      </w:r>
      <w:r>
        <w:rPr>
          <w:rFonts w:eastAsiaTheme="minorEastAsia"/>
        </w:rPr>
        <w:t xml:space="preserve"> </w:t>
      </w:r>
      <w:r>
        <w:rPr>
          <w:rFonts w:hint="eastAsia"/>
        </w:rPr>
        <w:t>天然气（甲烷）燃爆事故</w:t>
      </w:r>
      <w:r>
        <w:t>次生的CO</w:t>
      </w:r>
      <w:r>
        <w:rPr>
          <w:rFonts w:eastAsiaTheme="minorEastAsia"/>
        </w:rPr>
        <w:t>对</w:t>
      </w:r>
      <w:r>
        <w:rPr>
          <w:rFonts w:hint="eastAsia" w:eastAsiaTheme="minorEastAsia"/>
        </w:rPr>
        <w:t>环境保护目标</w:t>
      </w:r>
      <w:r>
        <w:rPr>
          <w:rFonts w:eastAsiaTheme="minorEastAsia"/>
        </w:rPr>
        <w:t>的影响预测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5"/>
        <w:gridCol w:w="1627"/>
        <w:gridCol w:w="1020"/>
        <w:gridCol w:w="1253"/>
        <w:gridCol w:w="1247"/>
        <w:gridCol w:w="125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vMerge w:val="restart"/>
            <w:shd w:val="clear" w:color="auto" w:fill="auto"/>
            <w:vAlign w:val="center"/>
          </w:tcPr>
          <w:p>
            <w:pPr>
              <w:pStyle w:val="42"/>
            </w:pPr>
            <w:r>
              <w:t>序号</w:t>
            </w:r>
          </w:p>
        </w:tc>
        <w:tc>
          <w:tcPr>
            <w:tcW w:w="1627" w:type="dxa"/>
            <w:vMerge w:val="restart"/>
            <w:shd w:val="clear" w:color="auto" w:fill="auto"/>
            <w:vAlign w:val="center"/>
          </w:tcPr>
          <w:p>
            <w:pPr>
              <w:pStyle w:val="42"/>
            </w:pPr>
            <w:r>
              <w:t>名称</w:t>
            </w:r>
          </w:p>
        </w:tc>
        <w:tc>
          <w:tcPr>
            <w:tcW w:w="1020" w:type="dxa"/>
            <w:vMerge w:val="restart"/>
            <w:shd w:val="clear" w:color="auto" w:fill="auto"/>
            <w:vAlign w:val="center"/>
          </w:tcPr>
          <w:p>
            <w:pPr>
              <w:pStyle w:val="42"/>
            </w:pPr>
            <w:r>
              <w:t>与风险源最近距离（m）</w:t>
            </w:r>
          </w:p>
        </w:tc>
        <w:tc>
          <w:tcPr>
            <w:tcW w:w="2500" w:type="dxa"/>
            <w:gridSpan w:val="2"/>
            <w:shd w:val="clear" w:color="auto" w:fill="auto"/>
            <w:vAlign w:val="center"/>
          </w:tcPr>
          <w:p>
            <w:pPr>
              <w:pStyle w:val="42"/>
            </w:pPr>
            <w:r>
              <w:t>不利气象条件</w:t>
            </w:r>
          </w:p>
        </w:tc>
        <w:tc>
          <w:tcPr>
            <w:tcW w:w="2500" w:type="dxa"/>
            <w:gridSpan w:val="2"/>
            <w:shd w:val="clear" w:color="auto" w:fill="auto"/>
            <w:vAlign w:val="center"/>
          </w:tcPr>
          <w:p>
            <w:pPr>
              <w:pStyle w:val="42"/>
            </w:pPr>
            <w:r>
              <w:t>常见气象条件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vMerge w:val="continue"/>
            <w:vAlign w:val="center"/>
          </w:tcPr>
          <w:p>
            <w:pPr>
              <w:pStyle w:val="42"/>
            </w:pPr>
          </w:p>
        </w:tc>
        <w:tc>
          <w:tcPr>
            <w:tcW w:w="1627" w:type="dxa"/>
            <w:vMerge w:val="continue"/>
            <w:vAlign w:val="center"/>
          </w:tcPr>
          <w:p>
            <w:pPr>
              <w:pStyle w:val="42"/>
            </w:pPr>
          </w:p>
        </w:tc>
        <w:tc>
          <w:tcPr>
            <w:tcW w:w="1020" w:type="dxa"/>
            <w:vMerge w:val="continue"/>
            <w:vAlign w:val="center"/>
          </w:tcPr>
          <w:p>
            <w:pPr>
              <w:pStyle w:val="42"/>
            </w:pPr>
          </w:p>
        </w:tc>
        <w:tc>
          <w:tcPr>
            <w:tcW w:w="1253" w:type="dxa"/>
            <w:shd w:val="clear" w:color="auto" w:fill="auto"/>
            <w:vAlign w:val="center"/>
          </w:tcPr>
          <w:p>
            <w:pPr>
              <w:pStyle w:val="42"/>
            </w:pPr>
            <w:r>
              <w:t>浓度出现时间（min）</w:t>
            </w:r>
          </w:p>
        </w:tc>
        <w:tc>
          <w:tcPr>
            <w:tcW w:w="1247" w:type="dxa"/>
            <w:shd w:val="clear" w:color="auto" w:fill="auto"/>
            <w:vAlign w:val="center"/>
          </w:tcPr>
          <w:p>
            <w:pPr>
              <w:pStyle w:val="42"/>
            </w:pPr>
            <w:r>
              <w:t>高峰浓度(mg/m</w:t>
            </w:r>
            <w:r>
              <w:rPr>
                <w:vertAlign w:val="superscript"/>
              </w:rPr>
              <w:t>3</w:t>
            </w:r>
            <w:r>
              <w:t>)</w:t>
            </w:r>
          </w:p>
        </w:tc>
        <w:tc>
          <w:tcPr>
            <w:tcW w:w="1253" w:type="dxa"/>
            <w:shd w:val="clear" w:color="auto" w:fill="auto"/>
            <w:vAlign w:val="center"/>
          </w:tcPr>
          <w:p>
            <w:pPr>
              <w:pStyle w:val="42"/>
            </w:pPr>
            <w:r>
              <w:t>浓度出现时间（min）</w:t>
            </w:r>
          </w:p>
        </w:tc>
        <w:tc>
          <w:tcPr>
            <w:tcW w:w="1247" w:type="dxa"/>
            <w:shd w:val="clear" w:color="auto" w:fill="auto"/>
            <w:vAlign w:val="center"/>
          </w:tcPr>
          <w:p>
            <w:pPr>
              <w:pStyle w:val="42"/>
            </w:pPr>
            <w:r>
              <w:t>高峰浓度(mg/m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w:t>
            </w:r>
          </w:p>
        </w:tc>
        <w:tc>
          <w:tcPr>
            <w:tcW w:w="1627" w:type="dxa"/>
            <w:shd w:val="clear" w:color="auto" w:fill="auto"/>
            <w:vAlign w:val="center"/>
          </w:tcPr>
          <w:p>
            <w:pPr>
              <w:pStyle w:val="42"/>
              <w:rPr>
                <w:sz w:val="18"/>
                <w:szCs w:val="18"/>
              </w:rPr>
            </w:pPr>
            <w:r>
              <w:rPr>
                <w:sz w:val="18"/>
                <w:szCs w:val="18"/>
              </w:rPr>
              <w:t>晏家街道</w:t>
            </w:r>
          </w:p>
        </w:tc>
        <w:tc>
          <w:tcPr>
            <w:tcW w:w="1020" w:type="dxa"/>
            <w:shd w:val="clear" w:color="auto" w:fill="auto"/>
            <w:vAlign w:val="center"/>
          </w:tcPr>
          <w:p>
            <w:pPr>
              <w:pStyle w:val="42"/>
              <w:rPr>
                <w:sz w:val="18"/>
                <w:szCs w:val="18"/>
              </w:rPr>
            </w:pPr>
            <w:r>
              <w:rPr>
                <w:rFonts w:hint="eastAsia"/>
                <w:sz w:val="18"/>
                <w:szCs w:val="18"/>
              </w:rPr>
              <w:t>2000</w:t>
            </w:r>
          </w:p>
        </w:tc>
        <w:tc>
          <w:tcPr>
            <w:tcW w:w="1253" w:type="dxa"/>
            <w:shd w:val="clear" w:color="auto" w:fill="auto"/>
            <w:vAlign w:val="center"/>
          </w:tcPr>
          <w:p>
            <w:pPr>
              <w:pStyle w:val="42"/>
              <w:rPr>
                <w:sz w:val="18"/>
                <w:szCs w:val="18"/>
              </w:rPr>
            </w:pPr>
            <w:r>
              <w:rPr>
                <w:sz w:val="18"/>
                <w:szCs w:val="18"/>
              </w:rPr>
              <w:t>18.75</w:t>
            </w:r>
          </w:p>
        </w:tc>
        <w:tc>
          <w:tcPr>
            <w:tcW w:w="1247" w:type="dxa"/>
            <w:shd w:val="clear" w:color="auto" w:fill="auto"/>
            <w:vAlign w:val="center"/>
          </w:tcPr>
          <w:p>
            <w:pPr>
              <w:pStyle w:val="42"/>
              <w:rPr>
                <w:sz w:val="18"/>
                <w:szCs w:val="18"/>
              </w:rPr>
            </w:pPr>
            <w:r>
              <w:rPr>
                <w:sz w:val="18"/>
                <w:szCs w:val="18"/>
              </w:rPr>
              <w:t>0.7187</w:t>
            </w:r>
          </w:p>
        </w:tc>
        <w:tc>
          <w:tcPr>
            <w:tcW w:w="1253" w:type="dxa"/>
            <w:shd w:val="clear" w:color="auto" w:fill="auto"/>
            <w:vAlign w:val="center"/>
          </w:tcPr>
          <w:p>
            <w:pPr>
              <w:pStyle w:val="42"/>
              <w:rPr>
                <w:sz w:val="18"/>
                <w:szCs w:val="18"/>
              </w:rPr>
            </w:pPr>
            <w:r>
              <w:rPr>
                <w:sz w:val="18"/>
                <w:szCs w:val="18"/>
              </w:rPr>
              <w:t>27.28</w:t>
            </w:r>
          </w:p>
        </w:tc>
        <w:tc>
          <w:tcPr>
            <w:tcW w:w="1247" w:type="dxa"/>
            <w:shd w:val="clear" w:color="auto" w:fill="auto"/>
            <w:vAlign w:val="center"/>
          </w:tcPr>
          <w:p>
            <w:pPr>
              <w:pStyle w:val="42"/>
              <w:rPr>
                <w:sz w:val="18"/>
                <w:szCs w:val="18"/>
              </w:rPr>
            </w:pPr>
            <w:r>
              <w:rPr>
                <w:sz w:val="18"/>
                <w:szCs w:val="18"/>
              </w:rPr>
              <w:t>1.0416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2</w:t>
            </w:r>
          </w:p>
        </w:tc>
        <w:tc>
          <w:tcPr>
            <w:tcW w:w="1627" w:type="dxa"/>
            <w:shd w:val="clear" w:color="auto" w:fill="auto"/>
            <w:vAlign w:val="center"/>
          </w:tcPr>
          <w:p>
            <w:pPr>
              <w:pStyle w:val="42"/>
              <w:rPr>
                <w:sz w:val="18"/>
                <w:szCs w:val="18"/>
              </w:rPr>
            </w:pPr>
            <w:r>
              <w:rPr>
                <w:sz w:val="18"/>
                <w:szCs w:val="18"/>
              </w:rPr>
              <w:t>长寿经开区管委会</w:t>
            </w:r>
          </w:p>
        </w:tc>
        <w:tc>
          <w:tcPr>
            <w:tcW w:w="1020" w:type="dxa"/>
            <w:shd w:val="clear" w:color="auto" w:fill="auto"/>
            <w:vAlign w:val="center"/>
          </w:tcPr>
          <w:p>
            <w:pPr>
              <w:pStyle w:val="42"/>
              <w:rPr>
                <w:sz w:val="18"/>
                <w:szCs w:val="18"/>
              </w:rPr>
            </w:pPr>
            <w:r>
              <w:rPr>
                <w:rFonts w:hint="eastAsia"/>
                <w:sz w:val="18"/>
                <w:szCs w:val="18"/>
              </w:rPr>
              <w:t>1900</w:t>
            </w:r>
          </w:p>
        </w:tc>
        <w:tc>
          <w:tcPr>
            <w:tcW w:w="1253" w:type="dxa"/>
            <w:shd w:val="clear" w:color="auto" w:fill="auto"/>
            <w:vAlign w:val="bottom"/>
          </w:tcPr>
          <w:p>
            <w:pPr>
              <w:pStyle w:val="42"/>
              <w:rPr>
                <w:sz w:val="18"/>
                <w:szCs w:val="18"/>
              </w:rPr>
            </w:pPr>
            <w:r>
              <w:rPr>
                <w:rFonts w:hint="eastAsia"/>
                <w:sz w:val="18"/>
                <w:szCs w:val="18"/>
              </w:rPr>
              <w:t xml:space="preserve">26.07 </w:t>
            </w:r>
          </w:p>
        </w:tc>
        <w:tc>
          <w:tcPr>
            <w:tcW w:w="1247" w:type="dxa"/>
            <w:shd w:val="clear" w:color="auto" w:fill="auto"/>
            <w:vAlign w:val="bottom"/>
          </w:tcPr>
          <w:p>
            <w:pPr>
              <w:pStyle w:val="42"/>
              <w:rPr>
                <w:sz w:val="18"/>
                <w:szCs w:val="18"/>
              </w:rPr>
            </w:pPr>
            <w:r>
              <w:rPr>
                <w:rFonts w:hint="eastAsia"/>
                <w:sz w:val="18"/>
                <w:szCs w:val="18"/>
              </w:rPr>
              <w:t xml:space="preserve">1.1145 </w:t>
            </w:r>
          </w:p>
        </w:tc>
        <w:tc>
          <w:tcPr>
            <w:tcW w:w="1253" w:type="dxa"/>
            <w:shd w:val="clear" w:color="auto" w:fill="auto"/>
            <w:vAlign w:val="bottom"/>
          </w:tcPr>
          <w:p>
            <w:pPr>
              <w:pStyle w:val="42"/>
              <w:rPr>
                <w:sz w:val="18"/>
                <w:szCs w:val="18"/>
              </w:rPr>
            </w:pPr>
            <w:r>
              <w:rPr>
                <w:rFonts w:hint="eastAsia"/>
                <w:sz w:val="18"/>
                <w:szCs w:val="18"/>
              </w:rPr>
              <w:t xml:space="preserve">17.92 </w:t>
            </w:r>
          </w:p>
        </w:tc>
        <w:tc>
          <w:tcPr>
            <w:tcW w:w="1247" w:type="dxa"/>
            <w:shd w:val="clear" w:color="auto" w:fill="auto"/>
            <w:vAlign w:val="bottom"/>
          </w:tcPr>
          <w:p>
            <w:pPr>
              <w:pStyle w:val="42"/>
              <w:rPr>
                <w:sz w:val="18"/>
                <w:szCs w:val="18"/>
              </w:rPr>
            </w:pPr>
            <w:r>
              <w:rPr>
                <w:rFonts w:hint="eastAsia"/>
                <w:sz w:val="18"/>
                <w:szCs w:val="18"/>
              </w:rPr>
              <w:t xml:space="preserve">0.7690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3</w:t>
            </w:r>
          </w:p>
        </w:tc>
        <w:tc>
          <w:tcPr>
            <w:tcW w:w="1627" w:type="dxa"/>
            <w:shd w:val="clear" w:color="auto" w:fill="auto"/>
            <w:vAlign w:val="center"/>
          </w:tcPr>
          <w:p>
            <w:pPr>
              <w:pStyle w:val="42"/>
              <w:rPr>
                <w:sz w:val="18"/>
                <w:szCs w:val="18"/>
              </w:rPr>
            </w:pPr>
            <w:r>
              <w:rPr>
                <w:sz w:val="18"/>
                <w:szCs w:val="18"/>
              </w:rPr>
              <w:t>晏家中学</w:t>
            </w:r>
          </w:p>
        </w:tc>
        <w:tc>
          <w:tcPr>
            <w:tcW w:w="1020" w:type="dxa"/>
            <w:shd w:val="clear" w:color="auto" w:fill="auto"/>
            <w:vAlign w:val="center"/>
          </w:tcPr>
          <w:p>
            <w:pPr>
              <w:pStyle w:val="42"/>
              <w:rPr>
                <w:sz w:val="18"/>
                <w:szCs w:val="18"/>
              </w:rPr>
            </w:pPr>
            <w:r>
              <w:rPr>
                <w:rFonts w:hint="eastAsia"/>
                <w:sz w:val="18"/>
                <w:szCs w:val="18"/>
              </w:rPr>
              <w:t>2700</w:t>
            </w:r>
          </w:p>
        </w:tc>
        <w:tc>
          <w:tcPr>
            <w:tcW w:w="1253" w:type="dxa"/>
            <w:shd w:val="clear" w:color="auto" w:fill="auto"/>
            <w:vAlign w:val="bottom"/>
          </w:tcPr>
          <w:p>
            <w:pPr>
              <w:pStyle w:val="42"/>
              <w:rPr>
                <w:sz w:val="18"/>
                <w:szCs w:val="18"/>
              </w:rPr>
            </w:pPr>
            <w:r>
              <w:rPr>
                <w:rFonts w:hint="eastAsia"/>
                <w:sz w:val="18"/>
                <w:szCs w:val="18"/>
              </w:rPr>
              <w:t xml:space="preserve">36.73 </w:t>
            </w:r>
          </w:p>
        </w:tc>
        <w:tc>
          <w:tcPr>
            <w:tcW w:w="1247" w:type="dxa"/>
            <w:shd w:val="clear" w:color="auto" w:fill="auto"/>
            <w:vAlign w:val="bottom"/>
          </w:tcPr>
          <w:p>
            <w:pPr>
              <w:pStyle w:val="42"/>
              <w:rPr>
                <w:sz w:val="18"/>
                <w:szCs w:val="18"/>
              </w:rPr>
            </w:pPr>
            <w:r>
              <w:rPr>
                <w:rFonts w:hint="eastAsia"/>
                <w:sz w:val="18"/>
                <w:szCs w:val="18"/>
              </w:rPr>
              <w:t xml:space="preserve">0.7005 </w:t>
            </w:r>
          </w:p>
        </w:tc>
        <w:tc>
          <w:tcPr>
            <w:tcW w:w="1253" w:type="dxa"/>
            <w:shd w:val="clear" w:color="auto" w:fill="auto"/>
            <w:vAlign w:val="bottom"/>
          </w:tcPr>
          <w:p>
            <w:pPr>
              <w:pStyle w:val="42"/>
              <w:rPr>
                <w:sz w:val="18"/>
                <w:szCs w:val="18"/>
              </w:rPr>
            </w:pPr>
            <w:r>
              <w:rPr>
                <w:rFonts w:hint="eastAsia"/>
                <w:sz w:val="18"/>
                <w:szCs w:val="18"/>
              </w:rPr>
              <w:t xml:space="preserve">25.58 </w:t>
            </w:r>
          </w:p>
        </w:tc>
        <w:tc>
          <w:tcPr>
            <w:tcW w:w="1247" w:type="dxa"/>
            <w:shd w:val="clear" w:color="auto" w:fill="auto"/>
            <w:vAlign w:val="bottom"/>
          </w:tcPr>
          <w:p>
            <w:pPr>
              <w:pStyle w:val="42"/>
              <w:rPr>
                <w:sz w:val="18"/>
                <w:szCs w:val="18"/>
              </w:rPr>
            </w:pPr>
            <w:r>
              <w:rPr>
                <w:rFonts w:hint="eastAsia"/>
                <w:sz w:val="18"/>
                <w:szCs w:val="18"/>
              </w:rPr>
              <w:t xml:space="preserve">0.4834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4</w:t>
            </w:r>
          </w:p>
        </w:tc>
        <w:tc>
          <w:tcPr>
            <w:tcW w:w="1627" w:type="dxa"/>
            <w:shd w:val="clear" w:color="auto" w:fill="auto"/>
            <w:vAlign w:val="center"/>
          </w:tcPr>
          <w:p>
            <w:pPr>
              <w:pStyle w:val="42"/>
              <w:rPr>
                <w:sz w:val="18"/>
                <w:szCs w:val="18"/>
              </w:rPr>
            </w:pPr>
            <w:r>
              <w:rPr>
                <w:sz w:val="18"/>
                <w:szCs w:val="18"/>
              </w:rPr>
              <w:t>晏家实验小学</w:t>
            </w:r>
          </w:p>
        </w:tc>
        <w:tc>
          <w:tcPr>
            <w:tcW w:w="1020" w:type="dxa"/>
            <w:shd w:val="clear" w:color="auto" w:fill="auto"/>
            <w:vAlign w:val="center"/>
          </w:tcPr>
          <w:p>
            <w:pPr>
              <w:pStyle w:val="42"/>
              <w:rPr>
                <w:sz w:val="18"/>
                <w:szCs w:val="18"/>
              </w:rPr>
            </w:pPr>
            <w:r>
              <w:rPr>
                <w:rFonts w:hint="eastAsia"/>
                <w:sz w:val="18"/>
                <w:szCs w:val="18"/>
              </w:rPr>
              <w:t>2420</w:t>
            </w:r>
          </w:p>
        </w:tc>
        <w:tc>
          <w:tcPr>
            <w:tcW w:w="1253" w:type="dxa"/>
            <w:shd w:val="clear" w:color="auto" w:fill="auto"/>
            <w:vAlign w:val="bottom"/>
          </w:tcPr>
          <w:p>
            <w:pPr>
              <w:pStyle w:val="42"/>
              <w:rPr>
                <w:sz w:val="18"/>
                <w:szCs w:val="18"/>
              </w:rPr>
            </w:pPr>
            <w:r>
              <w:rPr>
                <w:rFonts w:hint="eastAsia"/>
                <w:sz w:val="18"/>
                <w:szCs w:val="18"/>
              </w:rPr>
              <w:t xml:space="preserve">33.11 </w:t>
            </w:r>
          </w:p>
        </w:tc>
        <w:tc>
          <w:tcPr>
            <w:tcW w:w="1247" w:type="dxa"/>
            <w:shd w:val="clear" w:color="auto" w:fill="auto"/>
            <w:vAlign w:val="bottom"/>
          </w:tcPr>
          <w:p>
            <w:pPr>
              <w:pStyle w:val="42"/>
              <w:rPr>
                <w:sz w:val="18"/>
                <w:szCs w:val="18"/>
              </w:rPr>
            </w:pPr>
            <w:r>
              <w:rPr>
                <w:rFonts w:hint="eastAsia"/>
                <w:sz w:val="18"/>
                <w:szCs w:val="18"/>
              </w:rPr>
              <w:t xml:space="preserve">0.8187 </w:t>
            </w:r>
          </w:p>
        </w:tc>
        <w:tc>
          <w:tcPr>
            <w:tcW w:w="1253" w:type="dxa"/>
            <w:shd w:val="clear" w:color="auto" w:fill="auto"/>
            <w:vAlign w:val="bottom"/>
          </w:tcPr>
          <w:p>
            <w:pPr>
              <w:pStyle w:val="42"/>
              <w:rPr>
                <w:sz w:val="18"/>
                <w:szCs w:val="18"/>
              </w:rPr>
            </w:pPr>
            <w:r>
              <w:rPr>
                <w:rFonts w:hint="eastAsia"/>
                <w:sz w:val="18"/>
                <w:szCs w:val="18"/>
              </w:rPr>
              <w:t xml:space="preserve">23.08 </w:t>
            </w:r>
          </w:p>
        </w:tc>
        <w:tc>
          <w:tcPr>
            <w:tcW w:w="1247" w:type="dxa"/>
            <w:shd w:val="clear" w:color="auto" w:fill="auto"/>
            <w:vAlign w:val="bottom"/>
          </w:tcPr>
          <w:p>
            <w:pPr>
              <w:pStyle w:val="42"/>
              <w:rPr>
                <w:sz w:val="18"/>
                <w:szCs w:val="18"/>
              </w:rPr>
            </w:pPr>
            <w:r>
              <w:rPr>
                <w:rFonts w:hint="eastAsia"/>
                <w:sz w:val="18"/>
                <w:szCs w:val="18"/>
              </w:rPr>
              <w:t xml:space="preserve">0.5649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5</w:t>
            </w:r>
          </w:p>
        </w:tc>
        <w:tc>
          <w:tcPr>
            <w:tcW w:w="1627" w:type="dxa"/>
            <w:shd w:val="clear" w:color="auto" w:fill="auto"/>
            <w:vAlign w:val="center"/>
          </w:tcPr>
          <w:p>
            <w:pPr>
              <w:pStyle w:val="42"/>
              <w:rPr>
                <w:sz w:val="18"/>
                <w:szCs w:val="18"/>
              </w:rPr>
            </w:pPr>
            <w:r>
              <w:rPr>
                <w:rFonts w:hint="eastAsia"/>
                <w:sz w:val="18"/>
                <w:szCs w:val="18"/>
              </w:rPr>
              <w:t>泓原</w:t>
            </w:r>
            <w:r>
              <w:rPr>
                <w:sz w:val="18"/>
                <w:szCs w:val="18"/>
              </w:rPr>
              <w:t>医院</w:t>
            </w:r>
          </w:p>
        </w:tc>
        <w:tc>
          <w:tcPr>
            <w:tcW w:w="1020" w:type="dxa"/>
            <w:shd w:val="clear" w:color="auto" w:fill="auto"/>
            <w:vAlign w:val="center"/>
          </w:tcPr>
          <w:p>
            <w:pPr>
              <w:pStyle w:val="42"/>
              <w:rPr>
                <w:sz w:val="18"/>
                <w:szCs w:val="18"/>
              </w:rPr>
            </w:pPr>
            <w:r>
              <w:rPr>
                <w:rFonts w:hint="eastAsia"/>
                <w:sz w:val="18"/>
                <w:szCs w:val="18"/>
              </w:rPr>
              <w:t>2000</w:t>
            </w:r>
          </w:p>
        </w:tc>
        <w:tc>
          <w:tcPr>
            <w:tcW w:w="1253" w:type="dxa"/>
            <w:shd w:val="clear" w:color="auto" w:fill="auto"/>
            <w:vAlign w:val="bottom"/>
          </w:tcPr>
          <w:p>
            <w:pPr>
              <w:pStyle w:val="42"/>
              <w:rPr>
                <w:sz w:val="18"/>
                <w:szCs w:val="18"/>
              </w:rPr>
            </w:pPr>
            <w:r>
              <w:rPr>
                <w:rFonts w:hint="eastAsia"/>
                <w:sz w:val="18"/>
                <w:szCs w:val="18"/>
              </w:rPr>
              <w:t xml:space="preserve">27.28 </w:t>
            </w:r>
          </w:p>
        </w:tc>
        <w:tc>
          <w:tcPr>
            <w:tcW w:w="1247" w:type="dxa"/>
            <w:shd w:val="clear" w:color="auto" w:fill="auto"/>
            <w:vAlign w:val="bottom"/>
          </w:tcPr>
          <w:p>
            <w:pPr>
              <w:pStyle w:val="42"/>
              <w:rPr>
                <w:sz w:val="18"/>
                <w:szCs w:val="18"/>
              </w:rPr>
            </w:pPr>
            <w:r>
              <w:rPr>
                <w:rFonts w:hint="eastAsia"/>
                <w:sz w:val="18"/>
                <w:szCs w:val="18"/>
              </w:rPr>
              <w:t xml:space="preserve">1.0416 </w:t>
            </w:r>
          </w:p>
        </w:tc>
        <w:tc>
          <w:tcPr>
            <w:tcW w:w="1253" w:type="dxa"/>
            <w:shd w:val="clear" w:color="auto" w:fill="auto"/>
            <w:vAlign w:val="bottom"/>
          </w:tcPr>
          <w:p>
            <w:pPr>
              <w:pStyle w:val="42"/>
              <w:rPr>
                <w:sz w:val="18"/>
                <w:szCs w:val="18"/>
              </w:rPr>
            </w:pPr>
            <w:r>
              <w:rPr>
                <w:rFonts w:hint="eastAsia"/>
                <w:sz w:val="18"/>
                <w:szCs w:val="18"/>
              </w:rPr>
              <w:t xml:space="preserve">18.75 </w:t>
            </w:r>
          </w:p>
        </w:tc>
        <w:tc>
          <w:tcPr>
            <w:tcW w:w="1247" w:type="dxa"/>
            <w:shd w:val="clear" w:color="auto" w:fill="auto"/>
            <w:vAlign w:val="bottom"/>
          </w:tcPr>
          <w:p>
            <w:pPr>
              <w:pStyle w:val="42"/>
              <w:rPr>
                <w:sz w:val="18"/>
                <w:szCs w:val="18"/>
              </w:rPr>
            </w:pPr>
            <w:r>
              <w:rPr>
                <w:rFonts w:hint="eastAsia"/>
                <w:sz w:val="18"/>
                <w:szCs w:val="18"/>
              </w:rPr>
              <w:t xml:space="preserve">0.7187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6</w:t>
            </w:r>
          </w:p>
        </w:tc>
        <w:tc>
          <w:tcPr>
            <w:tcW w:w="1627" w:type="dxa"/>
            <w:shd w:val="clear" w:color="auto" w:fill="auto"/>
            <w:vAlign w:val="center"/>
          </w:tcPr>
          <w:p>
            <w:pPr>
              <w:pStyle w:val="42"/>
              <w:rPr>
                <w:sz w:val="18"/>
                <w:szCs w:val="18"/>
              </w:rPr>
            </w:pPr>
            <w:r>
              <w:rPr>
                <w:rFonts w:hint="eastAsia"/>
                <w:sz w:val="18"/>
                <w:szCs w:val="18"/>
              </w:rPr>
              <w:t>龙口村居民点</w:t>
            </w:r>
          </w:p>
        </w:tc>
        <w:tc>
          <w:tcPr>
            <w:tcW w:w="1020" w:type="dxa"/>
            <w:shd w:val="clear" w:color="auto" w:fill="auto"/>
            <w:vAlign w:val="center"/>
          </w:tcPr>
          <w:p>
            <w:pPr>
              <w:pStyle w:val="42"/>
              <w:rPr>
                <w:sz w:val="18"/>
                <w:szCs w:val="18"/>
              </w:rPr>
            </w:pPr>
            <w:r>
              <w:rPr>
                <w:rFonts w:hint="eastAsia"/>
                <w:sz w:val="18"/>
                <w:szCs w:val="18"/>
              </w:rPr>
              <w:t>2300</w:t>
            </w:r>
          </w:p>
        </w:tc>
        <w:tc>
          <w:tcPr>
            <w:tcW w:w="1253" w:type="dxa"/>
            <w:shd w:val="clear" w:color="auto" w:fill="auto"/>
            <w:vAlign w:val="bottom"/>
          </w:tcPr>
          <w:p>
            <w:pPr>
              <w:pStyle w:val="42"/>
              <w:rPr>
                <w:sz w:val="18"/>
                <w:szCs w:val="18"/>
              </w:rPr>
            </w:pPr>
            <w:r>
              <w:rPr>
                <w:rFonts w:hint="eastAsia"/>
                <w:sz w:val="18"/>
                <w:szCs w:val="18"/>
              </w:rPr>
              <w:t xml:space="preserve">30.90 </w:t>
            </w:r>
          </w:p>
        </w:tc>
        <w:tc>
          <w:tcPr>
            <w:tcW w:w="1247" w:type="dxa"/>
            <w:shd w:val="clear" w:color="auto" w:fill="auto"/>
            <w:vAlign w:val="bottom"/>
          </w:tcPr>
          <w:p>
            <w:pPr>
              <w:pStyle w:val="42"/>
              <w:rPr>
                <w:sz w:val="18"/>
                <w:szCs w:val="18"/>
              </w:rPr>
            </w:pPr>
            <w:r>
              <w:rPr>
                <w:rFonts w:hint="eastAsia"/>
                <w:sz w:val="18"/>
                <w:szCs w:val="18"/>
              </w:rPr>
              <w:t xml:space="preserve">0.8660 </w:t>
            </w:r>
          </w:p>
        </w:tc>
        <w:tc>
          <w:tcPr>
            <w:tcW w:w="1253" w:type="dxa"/>
            <w:shd w:val="clear" w:color="auto" w:fill="auto"/>
            <w:vAlign w:val="bottom"/>
          </w:tcPr>
          <w:p>
            <w:pPr>
              <w:pStyle w:val="42"/>
              <w:rPr>
                <w:sz w:val="18"/>
                <w:szCs w:val="18"/>
              </w:rPr>
            </w:pPr>
            <w:r>
              <w:rPr>
                <w:rFonts w:hint="eastAsia"/>
                <w:sz w:val="18"/>
                <w:szCs w:val="18"/>
              </w:rPr>
              <w:t xml:space="preserve">21.25 </w:t>
            </w:r>
          </w:p>
        </w:tc>
        <w:tc>
          <w:tcPr>
            <w:tcW w:w="1247" w:type="dxa"/>
            <w:shd w:val="clear" w:color="auto" w:fill="auto"/>
            <w:vAlign w:val="bottom"/>
          </w:tcPr>
          <w:p>
            <w:pPr>
              <w:pStyle w:val="42"/>
              <w:rPr>
                <w:sz w:val="18"/>
                <w:szCs w:val="18"/>
              </w:rPr>
            </w:pPr>
            <w:r>
              <w:rPr>
                <w:rFonts w:hint="eastAsia"/>
                <w:sz w:val="18"/>
                <w:szCs w:val="18"/>
              </w:rPr>
              <w:t xml:space="preserve">0.5976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7</w:t>
            </w:r>
          </w:p>
        </w:tc>
        <w:tc>
          <w:tcPr>
            <w:tcW w:w="1627" w:type="dxa"/>
            <w:shd w:val="clear" w:color="auto" w:fill="auto"/>
            <w:vAlign w:val="center"/>
          </w:tcPr>
          <w:p>
            <w:pPr>
              <w:pStyle w:val="42"/>
              <w:rPr>
                <w:sz w:val="18"/>
                <w:szCs w:val="18"/>
              </w:rPr>
            </w:pPr>
            <w:r>
              <w:rPr>
                <w:rFonts w:hint="eastAsia"/>
                <w:sz w:val="18"/>
                <w:szCs w:val="18"/>
              </w:rPr>
              <w:t>观双村居民点</w:t>
            </w:r>
          </w:p>
        </w:tc>
        <w:tc>
          <w:tcPr>
            <w:tcW w:w="1020" w:type="dxa"/>
            <w:shd w:val="clear" w:color="auto" w:fill="auto"/>
            <w:vAlign w:val="center"/>
          </w:tcPr>
          <w:p>
            <w:pPr>
              <w:pStyle w:val="42"/>
              <w:rPr>
                <w:sz w:val="18"/>
                <w:szCs w:val="18"/>
              </w:rPr>
            </w:pPr>
            <w:r>
              <w:rPr>
                <w:rFonts w:hint="eastAsia"/>
                <w:sz w:val="18"/>
                <w:szCs w:val="18"/>
              </w:rPr>
              <w:t>2450</w:t>
            </w:r>
          </w:p>
        </w:tc>
        <w:tc>
          <w:tcPr>
            <w:tcW w:w="1253" w:type="dxa"/>
            <w:shd w:val="clear" w:color="auto" w:fill="auto"/>
            <w:vAlign w:val="bottom"/>
          </w:tcPr>
          <w:p>
            <w:pPr>
              <w:pStyle w:val="42"/>
              <w:rPr>
                <w:sz w:val="18"/>
                <w:szCs w:val="18"/>
              </w:rPr>
            </w:pPr>
            <w:r>
              <w:rPr>
                <w:rFonts w:hint="eastAsia"/>
                <w:sz w:val="18"/>
                <w:szCs w:val="18"/>
              </w:rPr>
              <w:t xml:space="preserve">33.71 </w:t>
            </w:r>
          </w:p>
        </w:tc>
        <w:tc>
          <w:tcPr>
            <w:tcW w:w="1247" w:type="dxa"/>
            <w:shd w:val="clear" w:color="auto" w:fill="auto"/>
            <w:vAlign w:val="bottom"/>
          </w:tcPr>
          <w:p>
            <w:pPr>
              <w:pStyle w:val="42"/>
              <w:rPr>
                <w:sz w:val="18"/>
                <w:szCs w:val="18"/>
              </w:rPr>
            </w:pPr>
            <w:r>
              <w:rPr>
                <w:rFonts w:hint="eastAsia"/>
                <w:sz w:val="18"/>
                <w:szCs w:val="18"/>
              </w:rPr>
              <w:t xml:space="preserve">0.7966 </w:t>
            </w:r>
          </w:p>
        </w:tc>
        <w:tc>
          <w:tcPr>
            <w:tcW w:w="1253" w:type="dxa"/>
            <w:shd w:val="clear" w:color="auto" w:fill="auto"/>
            <w:vAlign w:val="bottom"/>
          </w:tcPr>
          <w:p>
            <w:pPr>
              <w:pStyle w:val="42"/>
              <w:rPr>
                <w:sz w:val="18"/>
                <w:szCs w:val="18"/>
              </w:rPr>
            </w:pPr>
            <w:r>
              <w:rPr>
                <w:rFonts w:hint="eastAsia"/>
                <w:sz w:val="18"/>
                <w:szCs w:val="18"/>
              </w:rPr>
              <w:t xml:space="preserve">23.50 </w:t>
            </w:r>
          </w:p>
        </w:tc>
        <w:tc>
          <w:tcPr>
            <w:tcW w:w="1247" w:type="dxa"/>
            <w:shd w:val="clear" w:color="auto" w:fill="auto"/>
            <w:vAlign w:val="bottom"/>
          </w:tcPr>
          <w:p>
            <w:pPr>
              <w:pStyle w:val="42"/>
              <w:rPr>
                <w:sz w:val="18"/>
                <w:szCs w:val="18"/>
              </w:rPr>
            </w:pPr>
            <w:r>
              <w:rPr>
                <w:rFonts w:hint="eastAsia"/>
                <w:sz w:val="18"/>
                <w:szCs w:val="18"/>
              </w:rPr>
              <w:t xml:space="preserve">0.5497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8</w:t>
            </w:r>
          </w:p>
        </w:tc>
        <w:tc>
          <w:tcPr>
            <w:tcW w:w="1627" w:type="dxa"/>
            <w:shd w:val="clear" w:color="auto" w:fill="auto"/>
            <w:vAlign w:val="center"/>
          </w:tcPr>
          <w:p>
            <w:pPr>
              <w:pStyle w:val="42"/>
              <w:rPr>
                <w:sz w:val="18"/>
                <w:szCs w:val="18"/>
              </w:rPr>
            </w:pPr>
            <w:r>
              <w:rPr>
                <w:rFonts w:hint="eastAsia"/>
                <w:sz w:val="18"/>
                <w:szCs w:val="18"/>
              </w:rPr>
              <w:t>黄连寺居民点</w:t>
            </w:r>
          </w:p>
        </w:tc>
        <w:tc>
          <w:tcPr>
            <w:tcW w:w="1020" w:type="dxa"/>
            <w:shd w:val="clear" w:color="auto" w:fill="auto"/>
            <w:vAlign w:val="center"/>
          </w:tcPr>
          <w:p>
            <w:pPr>
              <w:pStyle w:val="42"/>
              <w:rPr>
                <w:sz w:val="18"/>
                <w:szCs w:val="18"/>
              </w:rPr>
            </w:pPr>
            <w:r>
              <w:rPr>
                <w:rFonts w:hint="eastAsia"/>
                <w:sz w:val="18"/>
                <w:szCs w:val="18"/>
              </w:rPr>
              <w:t>2650</w:t>
            </w:r>
          </w:p>
        </w:tc>
        <w:tc>
          <w:tcPr>
            <w:tcW w:w="1253" w:type="dxa"/>
            <w:shd w:val="clear" w:color="auto" w:fill="auto"/>
            <w:vAlign w:val="bottom"/>
          </w:tcPr>
          <w:p>
            <w:pPr>
              <w:pStyle w:val="42"/>
              <w:rPr>
                <w:sz w:val="18"/>
                <w:szCs w:val="18"/>
              </w:rPr>
            </w:pPr>
            <w:r>
              <w:rPr>
                <w:rFonts w:hint="eastAsia"/>
                <w:sz w:val="18"/>
                <w:szCs w:val="18"/>
              </w:rPr>
              <w:t xml:space="preserve">36.13 </w:t>
            </w:r>
          </w:p>
        </w:tc>
        <w:tc>
          <w:tcPr>
            <w:tcW w:w="1247" w:type="dxa"/>
            <w:shd w:val="clear" w:color="auto" w:fill="auto"/>
            <w:vAlign w:val="bottom"/>
          </w:tcPr>
          <w:p>
            <w:pPr>
              <w:pStyle w:val="42"/>
              <w:rPr>
                <w:sz w:val="18"/>
                <w:szCs w:val="18"/>
              </w:rPr>
            </w:pPr>
            <w:r>
              <w:rPr>
                <w:rFonts w:hint="eastAsia"/>
                <w:sz w:val="18"/>
                <w:szCs w:val="18"/>
              </w:rPr>
              <w:t xml:space="preserve">0.7181 </w:t>
            </w:r>
          </w:p>
        </w:tc>
        <w:tc>
          <w:tcPr>
            <w:tcW w:w="1253" w:type="dxa"/>
            <w:shd w:val="clear" w:color="auto" w:fill="auto"/>
            <w:vAlign w:val="bottom"/>
          </w:tcPr>
          <w:p>
            <w:pPr>
              <w:pStyle w:val="42"/>
              <w:rPr>
                <w:sz w:val="18"/>
                <w:szCs w:val="18"/>
              </w:rPr>
            </w:pPr>
            <w:r>
              <w:rPr>
                <w:rFonts w:hint="eastAsia"/>
                <w:sz w:val="18"/>
                <w:szCs w:val="18"/>
              </w:rPr>
              <w:t xml:space="preserve">25.17 </w:t>
            </w:r>
          </w:p>
        </w:tc>
        <w:tc>
          <w:tcPr>
            <w:tcW w:w="1247" w:type="dxa"/>
            <w:shd w:val="clear" w:color="auto" w:fill="auto"/>
            <w:vAlign w:val="bottom"/>
          </w:tcPr>
          <w:p>
            <w:pPr>
              <w:pStyle w:val="42"/>
              <w:rPr>
                <w:sz w:val="18"/>
                <w:szCs w:val="18"/>
              </w:rPr>
            </w:pPr>
            <w:r>
              <w:rPr>
                <w:rFonts w:hint="eastAsia"/>
                <w:sz w:val="18"/>
                <w:szCs w:val="18"/>
              </w:rPr>
              <w:t xml:space="preserve">0.4955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9</w:t>
            </w:r>
          </w:p>
        </w:tc>
        <w:tc>
          <w:tcPr>
            <w:tcW w:w="1627" w:type="dxa"/>
            <w:shd w:val="clear" w:color="auto" w:fill="auto"/>
            <w:vAlign w:val="center"/>
          </w:tcPr>
          <w:p>
            <w:pPr>
              <w:pStyle w:val="42"/>
              <w:rPr>
                <w:sz w:val="18"/>
                <w:szCs w:val="18"/>
              </w:rPr>
            </w:pPr>
            <w:r>
              <w:rPr>
                <w:rFonts w:hint="eastAsia"/>
                <w:sz w:val="18"/>
                <w:szCs w:val="18"/>
              </w:rPr>
              <w:t>雷家湾居民点</w:t>
            </w:r>
          </w:p>
        </w:tc>
        <w:tc>
          <w:tcPr>
            <w:tcW w:w="1020" w:type="dxa"/>
            <w:shd w:val="clear" w:color="auto" w:fill="auto"/>
            <w:vAlign w:val="center"/>
          </w:tcPr>
          <w:p>
            <w:pPr>
              <w:pStyle w:val="42"/>
              <w:rPr>
                <w:sz w:val="18"/>
                <w:szCs w:val="18"/>
              </w:rPr>
            </w:pPr>
            <w:r>
              <w:rPr>
                <w:rFonts w:hint="eastAsia"/>
                <w:sz w:val="18"/>
                <w:szCs w:val="18"/>
              </w:rPr>
              <w:t>3600</w:t>
            </w:r>
          </w:p>
        </w:tc>
        <w:tc>
          <w:tcPr>
            <w:tcW w:w="1253" w:type="dxa"/>
            <w:shd w:val="clear" w:color="auto" w:fill="auto"/>
            <w:vAlign w:val="bottom"/>
          </w:tcPr>
          <w:p>
            <w:pPr>
              <w:pStyle w:val="42"/>
              <w:rPr>
                <w:sz w:val="18"/>
                <w:szCs w:val="18"/>
              </w:rPr>
            </w:pPr>
            <w:r>
              <w:rPr>
                <w:rFonts w:hint="eastAsia"/>
                <w:sz w:val="18"/>
                <w:szCs w:val="18"/>
              </w:rPr>
              <w:t xml:space="preserve">48.60 </w:t>
            </w:r>
          </w:p>
        </w:tc>
        <w:tc>
          <w:tcPr>
            <w:tcW w:w="1247" w:type="dxa"/>
            <w:shd w:val="clear" w:color="auto" w:fill="auto"/>
            <w:vAlign w:val="bottom"/>
          </w:tcPr>
          <w:p>
            <w:pPr>
              <w:pStyle w:val="42"/>
              <w:rPr>
                <w:sz w:val="18"/>
                <w:szCs w:val="18"/>
              </w:rPr>
            </w:pPr>
            <w:r>
              <w:rPr>
                <w:rFonts w:hint="eastAsia"/>
                <w:sz w:val="18"/>
                <w:szCs w:val="18"/>
              </w:rPr>
              <w:t xml:space="preserve">0.4784 </w:t>
            </w:r>
          </w:p>
        </w:tc>
        <w:tc>
          <w:tcPr>
            <w:tcW w:w="1253" w:type="dxa"/>
            <w:shd w:val="clear" w:color="auto" w:fill="auto"/>
            <w:vAlign w:val="bottom"/>
          </w:tcPr>
          <w:p>
            <w:pPr>
              <w:pStyle w:val="42"/>
              <w:rPr>
                <w:sz w:val="18"/>
                <w:szCs w:val="18"/>
              </w:rPr>
            </w:pPr>
            <w:r>
              <w:rPr>
                <w:rFonts w:hint="eastAsia"/>
                <w:sz w:val="18"/>
                <w:szCs w:val="18"/>
              </w:rPr>
              <w:t xml:space="preserve">33.08 </w:t>
            </w:r>
          </w:p>
        </w:tc>
        <w:tc>
          <w:tcPr>
            <w:tcW w:w="1247" w:type="dxa"/>
            <w:shd w:val="clear" w:color="auto" w:fill="auto"/>
            <w:vAlign w:val="bottom"/>
          </w:tcPr>
          <w:p>
            <w:pPr>
              <w:pStyle w:val="42"/>
              <w:rPr>
                <w:sz w:val="18"/>
                <w:szCs w:val="18"/>
              </w:rPr>
            </w:pPr>
            <w:r>
              <w:rPr>
                <w:rFonts w:hint="eastAsia"/>
                <w:sz w:val="18"/>
                <w:szCs w:val="18"/>
              </w:rPr>
              <w:t xml:space="preserve">0.3301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10</w:t>
            </w:r>
          </w:p>
        </w:tc>
        <w:tc>
          <w:tcPr>
            <w:tcW w:w="1627" w:type="dxa"/>
            <w:shd w:val="clear" w:color="auto" w:fill="auto"/>
            <w:vAlign w:val="center"/>
          </w:tcPr>
          <w:p>
            <w:pPr>
              <w:pStyle w:val="42"/>
              <w:rPr>
                <w:sz w:val="18"/>
                <w:szCs w:val="18"/>
              </w:rPr>
            </w:pPr>
            <w:r>
              <w:rPr>
                <w:rFonts w:hint="eastAsia"/>
                <w:sz w:val="18"/>
                <w:szCs w:val="18"/>
              </w:rPr>
              <w:t>朱家沟居民点</w:t>
            </w:r>
          </w:p>
        </w:tc>
        <w:tc>
          <w:tcPr>
            <w:tcW w:w="1020" w:type="dxa"/>
            <w:shd w:val="clear" w:color="auto" w:fill="auto"/>
            <w:vAlign w:val="center"/>
          </w:tcPr>
          <w:p>
            <w:pPr>
              <w:pStyle w:val="42"/>
              <w:rPr>
                <w:sz w:val="18"/>
                <w:szCs w:val="18"/>
              </w:rPr>
            </w:pPr>
            <w:r>
              <w:rPr>
                <w:rFonts w:hint="eastAsia"/>
                <w:sz w:val="18"/>
                <w:szCs w:val="18"/>
              </w:rPr>
              <w:t>4000</w:t>
            </w:r>
          </w:p>
        </w:tc>
        <w:tc>
          <w:tcPr>
            <w:tcW w:w="1253" w:type="dxa"/>
            <w:shd w:val="clear" w:color="auto" w:fill="auto"/>
            <w:vAlign w:val="center"/>
          </w:tcPr>
          <w:p>
            <w:pPr>
              <w:pStyle w:val="42"/>
              <w:rPr>
                <w:sz w:val="18"/>
                <w:szCs w:val="18"/>
              </w:rPr>
            </w:pPr>
            <w:r>
              <w:rPr>
                <w:sz w:val="18"/>
                <w:szCs w:val="18"/>
              </w:rPr>
              <w:t>37.42</w:t>
            </w:r>
          </w:p>
        </w:tc>
        <w:tc>
          <w:tcPr>
            <w:tcW w:w="1247" w:type="dxa"/>
            <w:shd w:val="clear" w:color="auto" w:fill="auto"/>
            <w:vAlign w:val="center"/>
          </w:tcPr>
          <w:p>
            <w:pPr>
              <w:pStyle w:val="42"/>
              <w:rPr>
                <w:sz w:val="18"/>
                <w:szCs w:val="18"/>
              </w:rPr>
            </w:pPr>
            <w:r>
              <w:rPr>
                <w:sz w:val="18"/>
                <w:szCs w:val="18"/>
              </w:rPr>
              <w:t>0.287</w:t>
            </w:r>
          </w:p>
        </w:tc>
        <w:tc>
          <w:tcPr>
            <w:tcW w:w="1253" w:type="dxa"/>
            <w:shd w:val="clear" w:color="auto" w:fill="auto"/>
            <w:vAlign w:val="center"/>
          </w:tcPr>
          <w:p>
            <w:pPr>
              <w:pStyle w:val="42"/>
              <w:rPr>
                <w:sz w:val="18"/>
                <w:szCs w:val="18"/>
              </w:rPr>
            </w:pPr>
            <w:r>
              <w:rPr>
                <w:sz w:val="18"/>
                <w:szCs w:val="18"/>
              </w:rPr>
              <w:t>53.43</w:t>
            </w:r>
          </w:p>
        </w:tc>
        <w:tc>
          <w:tcPr>
            <w:tcW w:w="1247" w:type="dxa"/>
            <w:shd w:val="clear" w:color="auto" w:fill="auto"/>
            <w:vAlign w:val="center"/>
          </w:tcPr>
          <w:p>
            <w:pPr>
              <w:pStyle w:val="42"/>
              <w:rPr>
                <w:sz w:val="18"/>
                <w:szCs w:val="18"/>
              </w:rPr>
            </w:pPr>
            <w:r>
              <w:rPr>
                <w:sz w:val="18"/>
                <w:szCs w:val="18"/>
              </w:rPr>
              <w:t>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11</w:t>
            </w:r>
          </w:p>
        </w:tc>
        <w:tc>
          <w:tcPr>
            <w:tcW w:w="1627" w:type="dxa"/>
            <w:shd w:val="clear" w:color="auto" w:fill="auto"/>
            <w:vAlign w:val="center"/>
          </w:tcPr>
          <w:p>
            <w:pPr>
              <w:pStyle w:val="42"/>
              <w:rPr>
                <w:sz w:val="18"/>
                <w:szCs w:val="18"/>
              </w:rPr>
            </w:pPr>
            <w:r>
              <w:rPr>
                <w:rFonts w:hint="eastAsia"/>
                <w:sz w:val="18"/>
                <w:szCs w:val="18"/>
              </w:rPr>
              <w:t>龙潭村居民点</w:t>
            </w:r>
          </w:p>
        </w:tc>
        <w:tc>
          <w:tcPr>
            <w:tcW w:w="1020" w:type="dxa"/>
            <w:shd w:val="clear" w:color="auto" w:fill="auto"/>
            <w:vAlign w:val="center"/>
          </w:tcPr>
          <w:p>
            <w:pPr>
              <w:pStyle w:val="42"/>
              <w:rPr>
                <w:sz w:val="18"/>
                <w:szCs w:val="18"/>
              </w:rPr>
            </w:pPr>
            <w:r>
              <w:rPr>
                <w:rFonts w:hint="eastAsia"/>
                <w:sz w:val="18"/>
                <w:szCs w:val="18"/>
              </w:rPr>
              <w:t>3650</w:t>
            </w:r>
          </w:p>
        </w:tc>
        <w:tc>
          <w:tcPr>
            <w:tcW w:w="1253" w:type="dxa"/>
            <w:shd w:val="clear" w:color="auto" w:fill="auto"/>
            <w:vAlign w:val="bottom"/>
          </w:tcPr>
          <w:p>
            <w:pPr>
              <w:pStyle w:val="42"/>
              <w:rPr>
                <w:sz w:val="18"/>
                <w:szCs w:val="18"/>
              </w:rPr>
            </w:pPr>
            <w:r>
              <w:rPr>
                <w:rFonts w:hint="eastAsia"/>
                <w:sz w:val="18"/>
                <w:szCs w:val="18"/>
              </w:rPr>
              <w:t xml:space="preserve">49.20 </w:t>
            </w:r>
          </w:p>
        </w:tc>
        <w:tc>
          <w:tcPr>
            <w:tcW w:w="1247" w:type="dxa"/>
            <w:shd w:val="clear" w:color="auto" w:fill="auto"/>
            <w:vAlign w:val="bottom"/>
          </w:tcPr>
          <w:p>
            <w:pPr>
              <w:pStyle w:val="42"/>
              <w:rPr>
                <w:sz w:val="18"/>
                <w:szCs w:val="18"/>
              </w:rPr>
            </w:pPr>
            <w:r>
              <w:rPr>
                <w:rFonts w:hint="eastAsia"/>
                <w:sz w:val="18"/>
                <w:szCs w:val="18"/>
              </w:rPr>
              <w:t xml:space="preserve">0.4698 </w:t>
            </w:r>
          </w:p>
        </w:tc>
        <w:tc>
          <w:tcPr>
            <w:tcW w:w="1253" w:type="dxa"/>
            <w:shd w:val="clear" w:color="auto" w:fill="auto"/>
            <w:vAlign w:val="bottom"/>
          </w:tcPr>
          <w:p>
            <w:pPr>
              <w:pStyle w:val="42"/>
              <w:rPr>
                <w:sz w:val="18"/>
                <w:szCs w:val="18"/>
              </w:rPr>
            </w:pPr>
            <w:r>
              <w:rPr>
                <w:rFonts w:hint="eastAsia"/>
                <w:sz w:val="18"/>
                <w:szCs w:val="18"/>
              </w:rPr>
              <w:t xml:space="preserve">34.50 </w:t>
            </w:r>
          </w:p>
        </w:tc>
        <w:tc>
          <w:tcPr>
            <w:tcW w:w="1247" w:type="dxa"/>
            <w:shd w:val="clear" w:color="auto" w:fill="auto"/>
            <w:vAlign w:val="bottom"/>
          </w:tcPr>
          <w:p>
            <w:pPr>
              <w:pStyle w:val="42"/>
              <w:rPr>
                <w:sz w:val="18"/>
                <w:szCs w:val="18"/>
              </w:rPr>
            </w:pPr>
            <w:r>
              <w:rPr>
                <w:rFonts w:hint="eastAsia"/>
                <w:sz w:val="18"/>
                <w:szCs w:val="18"/>
              </w:rPr>
              <w:t xml:space="preserve">0.3241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12</w:t>
            </w:r>
          </w:p>
        </w:tc>
        <w:tc>
          <w:tcPr>
            <w:tcW w:w="1627" w:type="dxa"/>
            <w:shd w:val="clear" w:color="auto" w:fill="auto"/>
            <w:vAlign w:val="center"/>
          </w:tcPr>
          <w:p>
            <w:pPr>
              <w:pStyle w:val="42"/>
              <w:rPr>
                <w:sz w:val="18"/>
                <w:szCs w:val="18"/>
              </w:rPr>
            </w:pPr>
            <w:r>
              <w:rPr>
                <w:rFonts w:hint="eastAsia"/>
                <w:sz w:val="18"/>
                <w:szCs w:val="18"/>
              </w:rPr>
              <w:t>迎风场居民区</w:t>
            </w:r>
          </w:p>
        </w:tc>
        <w:tc>
          <w:tcPr>
            <w:tcW w:w="1020" w:type="dxa"/>
            <w:shd w:val="clear" w:color="auto" w:fill="auto"/>
            <w:vAlign w:val="center"/>
          </w:tcPr>
          <w:p>
            <w:pPr>
              <w:pStyle w:val="42"/>
              <w:rPr>
                <w:sz w:val="18"/>
                <w:szCs w:val="18"/>
              </w:rPr>
            </w:pPr>
            <w:r>
              <w:rPr>
                <w:rFonts w:hint="eastAsia"/>
                <w:sz w:val="18"/>
                <w:szCs w:val="18"/>
              </w:rPr>
              <w:t>3970</w:t>
            </w:r>
          </w:p>
        </w:tc>
        <w:tc>
          <w:tcPr>
            <w:tcW w:w="1253" w:type="dxa"/>
            <w:shd w:val="clear" w:color="auto" w:fill="auto"/>
            <w:vAlign w:val="bottom"/>
          </w:tcPr>
          <w:p>
            <w:pPr>
              <w:pStyle w:val="42"/>
              <w:rPr>
                <w:sz w:val="18"/>
                <w:szCs w:val="18"/>
              </w:rPr>
            </w:pPr>
            <w:r>
              <w:rPr>
                <w:rFonts w:hint="eastAsia"/>
                <w:sz w:val="18"/>
                <w:szCs w:val="18"/>
              </w:rPr>
              <w:t xml:space="preserve">52.83 </w:t>
            </w:r>
          </w:p>
        </w:tc>
        <w:tc>
          <w:tcPr>
            <w:tcW w:w="1247" w:type="dxa"/>
            <w:shd w:val="clear" w:color="auto" w:fill="auto"/>
            <w:vAlign w:val="bottom"/>
          </w:tcPr>
          <w:p>
            <w:pPr>
              <w:pStyle w:val="42"/>
              <w:rPr>
                <w:sz w:val="18"/>
                <w:szCs w:val="18"/>
              </w:rPr>
            </w:pPr>
            <w:r>
              <w:rPr>
                <w:rFonts w:hint="eastAsia"/>
                <w:sz w:val="18"/>
                <w:szCs w:val="18"/>
              </w:rPr>
              <w:t xml:space="preserve">0.4230 </w:t>
            </w:r>
          </w:p>
        </w:tc>
        <w:tc>
          <w:tcPr>
            <w:tcW w:w="1253" w:type="dxa"/>
            <w:shd w:val="clear" w:color="auto" w:fill="auto"/>
            <w:vAlign w:val="bottom"/>
          </w:tcPr>
          <w:p>
            <w:pPr>
              <w:pStyle w:val="42"/>
              <w:rPr>
                <w:sz w:val="18"/>
                <w:szCs w:val="18"/>
              </w:rPr>
            </w:pPr>
            <w:r>
              <w:rPr>
                <w:rFonts w:hint="eastAsia"/>
                <w:sz w:val="18"/>
                <w:szCs w:val="18"/>
              </w:rPr>
              <w:t xml:space="preserve">37.00 </w:t>
            </w:r>
          </w:p>
        </w:tc>
        <w:tc>
          <w:tcPr>
            <w:tcW w:w="1247" w:type="dxa"/>
            <w:shd w:val="clear" w:color="auto" w:fill="auto"/>
            <w:vAlign w:val="bottom"/>
          </w:tcPr>
          <w:p>
            <w:pPr>
              <w:pStyle w:val="42"/>
              <w:rPr>
                <w:sz w:val="18"/>
                <w:szCs w:val="18"/>
              </w:rPr>
            </w:pPr>
            <w:r>
              <w:rPr>
                <w:rFonts w:hint="eastAsia"/>
                <w:sz w:val="18"/>
                <w:szCs w:val="18"/>
              </w:rPr>
              <w:t xml:space="preserve">0.2919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13</w:t>
            </w:r>
          </w:p>
        </w:tc>
        <w:tc>
          <w:tcPr>
            <w:tcW w:w="1627" w:type="dxa"/>
            <w:shd w:val="clear" w:color="auto" w:fill="auto"/>
            <w:vAlign w:val="center"/>
          </w:tcPr>
          <w:p>
            <w:pPr>
              <w:pStyle w:val="42"/>
              <w:rPr>
                <w:sz w:val="18"/>
                <w:szCs w:val="18"/>
              </w:rPr>
            </w:pPr>
            <w:r>
              <w:rPr>
                <w:sz w:val="18"/>
                <w:szCs w:val="18"/>
              </w:rPr>
              <w:t>川维厂家属区</w:t>
            </w:r>
          </w:p>
        </w:tc>
        <w:tc>
          <w:tcPr>
            <w:tcW w:w="1020" w:type="dxa"/>
            <w:shd w:val="clear" w:color="auto" w:fill="auto"/>
            <w:vAlign w:val="center"/>
          </w:tcPr>
          <w:p>
            <w:pPr>
              <w:pStyle w:val="42"/>
              <w:rPr>
                <w:sz w:val="18"/>
                <w:szCs w:val="18"/>
              </w:rPr>
            </w:pPr>
            <w:r>
              <w:rPr>
                <w:rFonts w:hint="eastAsia"/>
                <w:sz w:val="18"/>
                <w:szCs w:val="18"/>
              </w:rPr>
              <w:t>4900</w:t>
            </w:r>
          </w:p>
        </w:tc>
        <w:tc>
          <w:tcPr>
            <w:tcW w:w="1253" w:type="dxa"/>
            <w:shd w:val="clear" w:color="auto" w:fill="auto"/>
            <w:vAlign w:val="bottom"/>
          </w:tcPr>
          <w:p>
            <w:pPr>
              <w:pStyle w:val="42"/>
              <w:rPr>
                <w:sz w:val="18"/>
                <w:szCs w:val="18"/>
              </w:rPr>
            </w:pPr>
            <w:r>
              <w:rPr>
                <w:rFonts w:hint="eastAsia"/>
                <w:sz w:val="18"/>
                <w:szCs w:val="18"/>
              </w:rPr>
              <w:t xml:space="preserve">65.30 </w:t>
            </w:r>
          </w:p>
        </w:tc>
        <w:tc>
          <w:tcPr>
            <w:tcW w:w="1247" w:type="dxa"/>
            <w:shd w:val="clear" w:color="auto" w:fill="auto"/>
            <w:vAlign w:val="bottom"/>
          </w:tcPr>
          <w:p>
            <w:pPr>
              <w:pStyle w:val="42"/>
              <w:rPr>
                <w:sz w:val="18"/>
                <w:szCs w:val="18"/>
              </w:rPr>
            </w:pPr>
            <w:r>
              <w:rPr>
                <w:rFonts w:hint="eastAsia"/>
                <w:sz w:val="18"/>
                <w:szCs w:val="18"/>
              </w:rPr>
              <w:t xml:space="preserve">0.3176 </w:t>
            </w:r>
          </w:p>
        </w:tc>
        <w:tc>
          <w:tcPr>
            <w:tcW w:w="1253" w:type="dxa"/>
            <w:shd w:val="clear" w:color="auto" w:fill="auto"/>
            <w:vAlign w:val="bottom"/>
          </w:tcPr>
          <w:p>
            <w:pPr>
              <w:pStyle w:val="42"/>
              <w:rPr>
                <w:sz w:val="18"/>
                <w:szCs w:val="18"/>
              </w:rPr>
            </w:pPr>
            <w:r>
              <w:rPr>
                <w:rFonts w:hint="eastAsia"/>
                <w:sz w:val="18"/>
                <w:szCs w:val="18"/>
              </w:rPr>
              <w:t xml:space="preserve">44.92 </w:t>
            </w:r>
          </w:p>
        </w:tc>
        <w:tc>
          <w:tcPr>
            <w:tcW w:w="1247" w:type="dxa"/>
            <w:shd w:val="clear" w:color="auto" w:fill="auto"/>
            <w:vAlign w:val="bottom"/>
          </w:tcPr>
          <w:p>
            <w:pPr>
              <w:pStyle w:val="42"/>
              <w:rPr>
                <w:sz w:val="18"/>
                <w:szCs w:val="18"/>
              </w:rPr>
            </w:pPr>
            <w:r>
              <w:rPr>
                <w:rFonts w:hint="eastAsia"/>
                <w:sz w:val="18"/>
                <w:szCs w:val="18"/>
              </w:rPr>
              <w:t xml:space="preserve">0.2192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t>14</w:t>
            </w:r>
          </w:p>
        </w:tc>
        <w:tc>
          <w:tcPr>
            <w:tcW w:w="1627" w:type="dxa"/>
            <w:shd w:val="clear" w:color="auto" w:fill="auto"/>
            <w:vAlign w:val="center"/>
          </w:tcPr>
          <w:p>
            <w:pPr>
              <w:pStyle w:val="42"/>
              <w:rPr>
                <w:sz w:val="18"/>
                <w:szCs w:val="18"/>
              </w:rPr>
            </w:pPr>
            <w:r>
              <w:rPr>
                <w:sz w:val="18"/>
                <w:szCs w:val="18"/>
              </w:rPr>
              <w:t>长寿</w:t>
            </w:r>
            <w:r>
              <w:rPr>
                <w:rFonts w:hint="eastAsia"/>
                <w:sz w:val="18"/>
                <w:szCs w:val="18"/>
              </w:rPr>
              <w:t>化工</w:t>
            </w:r>
            <w:r>
              <w:rPr>
                <w:sz w:val="18"/>
                <w:szCs w:val="18"/>
              </w:rPr>
              <w:t>园区医院</w:t>
            </w:r>
          </w:p>
        </w:tc>
        <w:tc>
          <w:tcPr>
            <w:tcW w:w="1020" w:type="dxa"/>
            <w:shd w:val="clear" w:color="auto" w:fill="auto"/>
            <w:vAlign w:val="center"/>
          </w:tcPr>
          <w:p>
            <w:pPr>
              <w:pStyle w:val="42"/>
              <w:rPr>
                <w:sz w:val="18"/>
                <w:szCs w:val="18"/>
              </w:rPr>
            </w:pPr>
            <w:r>
              <w:rPr>
                <w:rFonts w:hint="eastAsia"/>
                <w:sz w:val="18"/>
                <w:szCs w:val="18"/>
              </w:rPr>
              <w:t>4900</w:t>
            </w:r>
          </w:p>
        </w:tc>
        <w:tc>
          <w:tcPr>
            <w:tcW w:w="1253" w:type="dxa"/>
            <w:shd w:val="clear" w:color="auto" w:fill="auto"/>
            <w:vAlign w:val="bottom"/>
          </w:tcPr>
          <w:p>
            <w:pPr>
              <w:pStyle w:val="42"/>
              <w:rPr>
                <w:sz w:val="18"/>
                <w:szCs w:val="18"/>
              </w:rPr>
            </w:pPr>
            <w:r>
              <w:rPr>
                <w:rFonts w:hint="eastAsia"/>
                <w:sz w:val="18"/>
                <w:szCs w:val="18"/>
              </w:rPr>
              <w:t xml:space="preserve">65.30 </w:t>
            </w:r>
          </w:p>
        </w:tc>
        <w:tc>
          <w:tcPr>
            <w:tcW w:w="1247" w:type="dxa"/>
            <w:shd w:val="clear" w:color="auto" w:fill="auto"/>
            <w:vAlign w:val="bottom"/>
          </w:tcPr>
          <w:p>
            <w:pPr>
              <w:pStyle w:val="42"/>
              <w:rPr>
                <w:sz w:val="18"/>
                <w:szCs w:val="18"/>
              </w:rPr>
            </w:pPr>
            <w:r>
              <w:rPr>
                <w:rFonts w:hint="eastAsia"/>
                <w:sz w:val="18"/>
                <w:szCs w:val="18"/>
              </w:rPr>
              <w:t xml:space="preserve">0.3176 </w:t>
            </w:r>
          </w:p>
        </w:tc>
        <w:tc>
          <w:tcPr>
            <w:tcW w:w="1253" w:type="dxa"/>
            <w:shd w:val="clear" w:color="auto" w:fill="auto"/>
            <w:vAlign w:val="bottom"/>
          </w:tcPr>
          <w:p>
            <w:pPr>
              <w:pStyle w:val="42"/>
              <w:rPr>
                <w:sz w:val="18"/>
                <w:szCs w:val="18"/>
              </w:rPr>
            </w:pPr>
            <w:r>
              <w:rPr>
                <w:rFonts w:hint="eastAsia"/>
                <w:sz w:val="18"/>
                <w:szCs w:val="18"/>
              </w:rPr>
              <w:t xml:space="preserve">44.92 </w:t>
            </w:r>
          </w:p>
        </w:tc>
        <w:tc>
          <w:tcPr>
            <w:tcW w:w="1247" w:type="dxa"/>
            <w:shd w:val="clear" w:color="auto" w:fill="auto"/>
            <w:vAlign w:val="bottom"/>
          </w:tcPr>
          <w:p>
            <w:pPr>
              <w:pStyle w:val="42"/>
              <w:rPr>
                <w:sz w:val="18"/>
                <w:szCs w:val="18"/>
              </w:rPr>
            </w:pPr>
            <w:r>
              <w:rPr>
                <w:rFonts w:hint="eastAsia"/>
                <w:sz w:val="18"/>
                <w:szCs w:val="18"/>
              </w:rPr>
              <w:t xml:space="preserve">0.2192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15</w:t>
            </w:r>
          </w:p>
        </w:tc>
        <w:tc>
          <w:tcPr>
            <w:tcW w:w="1627" w:type="dxa"/>
            <w:shd w:val="clear" w:color="auto" w:fill="auto"/>
            <w:vAlign w:val="center"/>
          </w:tcPr>
          <w:p>
            <w:pPr>
              <w:pStyle w:val="42"/>
              <w:rPr>
                <w:sz w:val="18"/>
                <w:szCs w:val="18"/>
              </w:rPr>
            </w:pPr>
            <w:r>
              <w:rPr>
                <w:sz w:val="18"/>
                <w:szCs w:val="18"/>
              </w:rPr>
              <w:t>王家湾</w:t>
            </w:r>
            <w:r>
              <w:rPr>
                <w:rFonts w:hint="eastAsia"/>
                <w:sz w:val="18"/>
                <w:szCs w:val="18"/>
              </w:rPr>
              <w:t>居民点</w:t>
            </w:r>
          </w:p>
        </w:tc>
        <w:tc>
          <w:tcPr>
            <w:tcW w:w="1020" w:type="dxa"/>
            <w:shd w:val="clear" w:color="auto" w:fill="auto"/>
            <w:vAlign w:val="center"/>
          </w:tcPr>
          <w:p>
            <w:pPr>
              <w:pStyle w:val="42"/>
              <w:rPr>
                <w:sz w:val="18"/>
                <w:szCs w:val="18"/>
              </w:rPr>
            </w:pPr>
            <w:r>
              <w:rPr>
                <w:rFonts w:hint="eastAsia"/>
                <w:sz w:val="18"/>
                <w:szCs w:val="18"/>
              </w:rPr>
              <w:t>4750</w:t>
            </w:r>
          </w:p>
        </w:tc>
        <w:tc>
          <w:tcPr>
            <w:tcW w:w="1253" w:type="dxa"/>
            <w:shd w:val="clear" w:color="auto" w:fill="auto"/>
            <w:vAlign w:val="bottom"/>
          </w:tcPr>
          <w:p>
            <w:pPr>
              <w:pStyle w:val="42"/>
              <w:rPr>
                <w:sz w:val="18"/>
                <w:szCs w:val="18"/>
              </w:rPr>
            </w:pPr>
            <w:r>
              <w:rPr>
                <w:rFonts w:hint="eastAsia"/>
                <w:sz w:val="18"/>
                <w:szCs w:val="18"/>
              </w:rPr>
              <w:t xml:space="preserve">63.49 </w:t>
            </w:r>
          </w:p>
        </w:tc>
        <w:tc>
          <w:tcPr>
            <w:tcW w:w="1247" w:type="dxa"/>
            <w:shd w:val="clear" w:color="auto" w:fill="auto"/>
            <w:vAlign w:val="bottom"/>
          </w:tcPr>
          <w:p>
            <w:pPr>
              <w:pStyle w:val="42"/>
              <w:rPr>
                <w:sz w:val="18"/>
                <w:szCs w:val="18"/>
              </w:rPr>
            </w:pPr>
            <w:r>
              <w:rPr>
                <w:rFonts w:hint="eastAsia"/>
                <w:sz w:val="18"/>
                <w:szCs w:val="18"/>
              </w:rPr>
              <w:t xml:space="preserve">0.3310 </w:t>
            </w:r>
          </w:p>
        </w:tc>
        <w:tc>
          <w:tcPr>
            <w:tcW w:w="1253" w:type="dxa"/>
            <w:shd w:val="clear" w:color="auto" w:fill="auto"/>
            <w:vAlign w:val="bottom"/>
          </w:tcPr>
          <w:p>
            <w:pPr>
              <w:pStyle w:val="42"/>
              <w:rPr>
                <w:sz w:val="18"/>
                <w:szCs w:val="18"/>
              </w:rPr>
            </w:pPr>
            <w:r>
              <w:rPr>
                <w:rFonts w:hint="eastAsia"/>
                <w:sz w:val="18"/>
                <w:szCs w:val="18"/>
              </w:rPr>
              <w:t xml:space="preserve">43.67 </w:t>
            </w:r>
          </w:p>
        </w:tc>
        <w:tc>
          <w:tcPr>
            <w:tcW w:w="1247" w:type="dxa"/>
            <w:shd w:val="clear" w:color="auto" w:fill="auto"/>
            <w:vAlign w:val="bottom"/>
          </w:tcPr>
          <w:p>
            <w:pPr>
              <w:pStyle w:val="42"/>
              <w:rPr>
                <w:sz w:val="18"/>
                <w:szCs w:val="18"/>
              </w:rPr>
            </w:pPr>
            <w:r>
              <w:rPr>
                <w:rFonts w:hint="eastAsia"/>
                <w:sz w:val="18"/>
                <w:szCs w:val="18"/>
              </w:rPr>
              <w:t xml:space="preserve">0.2284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16</w:t>
            </w:r>
          </w:p>
        </w:tc>
        <w:tc>
          <w:tcPr>
            <w:tcW w:w="1627" w:type="dxa"/>
            <w:shd w:val="clear" w:color="auto" w:fill="auto"/>
            <w:vAlign w:val="center"/>
          </w:tcPr>
          <w:p>
            <w:pPr>
              <w:pStyle w:val="42"/>
              <w:rPr>
                <w:sz w:val="18"/>
                <w:szCs w:val="18"/>
              </w:rPr>
            </w:pPr>
            <w:r>
              <w:rPr>
                <w:rFonts w:hint="eastAsia"/>
                <w:sz w:val="18"/>
                <w:szCs w:val="18"/>
              </w:rPr>
              <w:t>傅</w:t>
            </w:r>
            <w:r>
              <w:rPr>
                <w:sz w:val="18"/>
                <w:szCs w:val="18"/>
              </w:rPr>
              <w:t>家湾</w:t>
            </w:r>
            <w:r>
              <w:rPr>
                <w:rFonts w:hint="eastAsia"/>
                <w:sz w:val="18"/>
                <w:szCs w:val="18"/>
              </w:rPr>
              <w:t>居民点</w:t>
            </w:r>
          </w:p>
        </w:tc>
        <w:tc>
          <w:tcPr>
            <w:tcW w:w="1020" w:type="dxa"/>
            <w:shd w:val="clear" w:color="auto" w:fill="auto"/>
            <w:vAlign w:val="center"/>
          </w:tcPr>
          <w:p>
            <w:pPr>
              <w:pStyle w:val="42"/>
              <w:rPr>
                <w:sz w:val="18"/>
                <w:szCs w:val="18"/>
              </w:rPr>
            </w:pPr>
            <w:r>
              <w:rPr>
                <w:rFonts w:hint="eastAsia"/>
                <w:sz w:val="18"/>
                <w:szCs w:val="18"/>
              </w:rPr>
              <w:t>4970</w:t>
            </w:r>
          </w:p>
        </w:tc>
        <w:tc>
          <w:tcPr>
            <w:tcW w:w="1253" w:type="dxa"/>
            <w:shd w:val="clear" w:color="auto" w:fill="auto"/>
            <w:vAlign w:val="bottom"/>
          </w:tcPr>
          <w:p>
            <w:pPr>
              <w:pStyle w:val="42"/>
              <w:rPr>
                <w:sz w:val="18"/>
                <w:szCs w:val="18"/>
              </w:rPr>
            </w:pPr>
            <w:r>
              <w:rPr>
                <w:rFonts w:hint="eastAsia"/>
                <w:sz w:val="18"/>
                <w:szCs w:val="18"/>
              </w:rPr>
              <w:t xml:space="preserve">65.90 </w:t>
            </w:r>
          </w:p>
        </w:tc>
        <w:tc>
          <w:tcPr>
            <w:tcW w:w="1247" w:type="dxa"/>
            <w:shd w:val="clear" w:color="auto" w:fill="auto"/>
            <w:vAlign w:val="bottom"/>
          </w:tcPr>
          <w:p>
            <w:pPr>
              <w:pStyle w:val="42"/>
              <w:rPr>
                <w:sz w:val="18"/>
                <w:szCs w:val="18"/>
              </w:rPr>
            </w:pPr>
            <w:r>
              <w:rPr>
                <w:rFonts w:hint="eastAsia"/>
                <w:sz w:val="18"/>
                <w:szCs w:val="18"/>
              </w:rPr>
              <w:t xml:space="preserve">0.3134 </w:t>
            </w:r>
          </w:p>
        </w:tc>
        <w:tc>
          <w:tcPr>
            <w:tcW w:w="1253" w:type="dxa"/>
            <w:shd w:val="clear" w:color="auto" w:fill="auto"/>
            <w:vAlign w:val="bottom"/>
          </w:tcPr>
          <w:p>
            <w:pPr>
              <w:pStyle w:val="42"/>
              <w:rPr>
                <w:sz w:val="18"/>
                <w:szCs w:val="18"/>
              </w:rPr>
            </w:pPr>
            <w:r>
              <w:rPr>
                <w:rFonts w:hint="eastAsia"/>
                <w:sz w:val="18"/>
                <w:szCs w:val="18"/>
              </w:rPr>
              <w:t xml:space="preserve">45.33 </w:t>
            </w:r>
          </w:p>
        </w:tc>
        <w:tc>
          <w:tcPr>
            <w:tcW w:w="1247" w:type="dxa"/>
            <w:shd w:val="clear" w:color="auto" w:fill="auto"/>
            <w:vAlign w:val="bottom"/>
          </w:tcPr>
          <w:p>
            <w:pPr>
              <w:pStyle w:val="42"/>
              <w:rPr>
                <w:sz w:val="18"/>
                <w:szCs w:val="18"/>
              </w:rPr>
            </w:pPr>
            <w:r>
              <w:rPr>
                <w:rFonts w:hint="eastAsia"/>
                <w:sz w:val="18"/>
                <w:szCs w:val="18"/>
              </w:rPr>
              <w:t xml:space="preserve">0.2162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5" w:type="dxa"/>
            <w:shd w:val="clear" w:color="auto" w:fill="auto"/>
            <w:vAlign w:val="center"/>
          </w:tcPr>
          <w:p>
            <w:pPr>
              <w:pStyle w:val="42"/>
            </w:pPr>
            <w:r>
              <w:rPr>
                <w:rFonts w:hint="eastAsia"/>
              </w:rPr>
              <w:t>17</w:t>
            </w:r>
          </w:p>
        </w:tc>
        <w:tc>
          <w:tcPr>
            <w:tcW w:w="1627" w:type="dxa"/>
            <w:shd w:val="clear" w:color="auto" w:fill="auto"/>
            <w:vAlign w:val="center"/>
          </w:tcPr>
          <w:p>
            <w:pPr>
              <w:pStyle w:val="42"/>
              <w:rPr>
                <w:sz w:val="18"/>
                <w:szCs w:val="18"/>
              </w:rPr>
            </w:pPr>
            <w:r>
              <w:rPr>
                <w:rFonts w:hint="eastAsia"/>
                <w:sz w:val="18"/>
                <w:szCs w:val="18"/>
              </w:rPr>
              <w:t>罗家沟居民点</w:t>
            </w:r>
          </w:p>
        </w:tc>
        <w:tc>
          <w:tcPr>
            <w:tcW w:w="1020" w:type="dxa"/>
            <w:shd w:val="clear" w:color="auto" w:fill="auto"/>
            <w:vAlign w:val="center"/>
          </w:tcPr>
          <w:p>
            <w:pPr>
              <w:pStyle w:val="42"/>
              <w:rPr>
                <w:sz w:val="18"/>
                <w:szCs w:val="18"/>
              </w:rPr>
            </w:pPr>
            <w:r>
              <w:rPr>
                <w:rFonts w:hint="eastAsia"/>
                <w:sz w:val="18"/>
                <w:szCs w:val="18"/>
              </w:rPr>
              <w:t>5000</w:t>
            </w:r>
          </w:p>
        </w:tc>
        <w:tc>
          <w:tcPr>
            <w:tcW w:w="1253" w:type="dxa"/>
            <w:shd w:val="clear" w:color="auto" w:fill="auto"/>
            <w:vAlign w:val="bottom"/>
          </w:tcPr>
          <w:p>
            <w:pPr>
              <w:pStyle w:val="42"/>
              <w:rPr>
                <w:sz w:val="18"/>
                <w:szCs w:val="18"/>
              </w:rPr>
            </w:pPr>
            <w:r>
              <w:rPr>
                <w:rFonts w:hint="eastAsia"/>
                <w:sz w:val="18"/>
                <w:szCs w:val="18"/>
              </w:rPr>
              <w:t xml:space="preserve">65.90 </w:t>
            </w:r>
          </w:p>
        </w:tc>
        <w:tc>
          <w:tcPr>
            <w:tcW w:w="1247" w:type="dxa"/>
            <w:shd w:val="clear" w:color="auto" w:fill="auto"/>
            <w:vAlign w:val="bottom"/>
          </w:tcPr>
          <w:p>
            <w:pPr>
              <w:pStyle w:val="42"/>
              <w:rPr>
                <w:sz w:val="18"/>
                <w:szCs w:val="18"/>
              </w:rPr>
            </w:pPr>
            <w:r>
              <w:rPr>
                <w:rFonts w:hint="eastAsia"/>
                <w:sz w:val="18"/>
                <w:szCs w:val="18"/>
              </w:rPr>
              <w:t xml:space="preserve">0.3134 </w:t>
            </w:r>
          </w:p>
        </w:tc>
        <w:tc>
          <w:tcPr>
            <w:tcW w:w="1253" w:type="dxa"/>
            <w:shd w:val="clear" w:color="auto" w:fill="auto"/>
            <w:vAlign w:val="center"/>
          </w:tcPr>
          <w:p>
            <w:pPr>
              <w:pStyle w:val="42"/>
              <w:rPr>
                <w:sz w:val="18"/>
                <w:szCs w:val="18"/>
              </w:rPr>
            </w:pPr>
            <w:r>
              <w:rPr>
                <w:sz w:val="18"/>
                <w:szCs w:val="18"/>
              </w:rPr>
              <w:t>45.33</w:t>
            </w:r>
          </w:p>
        </w:tc>
        <w:tc>
          <w:tcPr>
            <w:tcW w:w="1247" w:type="dxa"/>
            <w:shd w:val="clear" w:color="auto" w:fill="auto"/>
            <w:vAlign w:val="center"/>
          </w:tcPr>
          <w:p>
            <w:pPr>
              <w:pStyle w:val="42"/>
              <w:rPr>
                <w:sz w:val="18"/>
                <w:szCs w:val="18"/>
              </w:rPr>
            </w:pPr>
            <w:r>
              <w:rPr>
                <w:sz w:val="18"/>
                <w:szCs w:val="18"/>
              </w:rPr>
              <w:t>0.2162</w:t>
            </w:r>
          </w:p>
        </w:tc>
      </w:tr>
    </w:tbl>
    <w:p>
      <w:pPr>
        <w:ind w:firstLine="480"/>
        <w:rPr>
          <w:rFonts w:eastAsiaTheme="minorEastAsia"/>
        </w:rPr>
      </w:pPr>
      <w:r>
        <w:rPr>
          <w:rFonts w:eastAsiaTheme="minorEastAsia"/>
        </w:rPr>
        <w:t>由表</w:t>
      </w:r>
      <w:r>
        <w:rPr>
          <w:rFonts w:hint="eastAsia" w:eastAsiaTheme="minorEastAsia"/>
        </w:rPr>
        <w:t>6.8-6</w:t>
      </w:r>
      <w:r>
        <w:rPr>
          <w:rFonts w:eastAsiaTheme="minorEastAsia"/>
        </w:rPr>
        <w:t>~表</w:t>
      </w:r>
      <w:r>
        <w:rPr>
          <w:rFonts w:hint="eastAsia" w:eastAsiaTheme="minorEastAsia"/>
        </w:rPr>
        <w:t>6.8-7</w:t>
      </w:r>
      <w:r>
        <w:rPr>
          <w:rFonts w:eastAsiaTheme="minorEastAsia"/>
        </w:rPr>
        <w:t>可知，</w:t>
      </w:r>
      <w:r>
        <w:rPr>
          <w:rFonts w:hint="eastAsia" w:eastAsiaTheme="minorEastAsia"/>
        </w:rPr>
        <w:t>液氨管道泄漏，敏感点最大浓度出现在</w:t>
      </w:r>
      <w:r>
        <w:rPr>
          <w:rFonts w:hint="eastAsia"/>
        </w:rPr>
        <w:t>龙口村居民点</w:t>
      </w:r>
      <w:r>
        <w:rPr>
          <w:rFonts w:hint="eastAsia" w:eastAsiaTheme="minorEastAsia"/>
        </w:rPr>
        <w:t>，浓度为</w:t>
      </w:r>
      <w:r>
        <w:rPr>
          <w:rFonts w:hint="eastAsia"/>
        </w:rPr>
        <w:t xml:space="preserve">1.0640 </w:t>
      </w:r>
      <w:r>
        <w:rPr>
          <w:rFonts w:eastAsiaTheme="minorEastAsia"/>
        </w:rPr>
        <w:t>mg/m</w:t>
      </w:r>
      <w:r>
        <w:rPr>
          <w:rFonts w:eastAsiaTheme="minorEastAsia"/>
          <w:vertAlign w:val="superscript"/>
        </w:rPr>
        <w:t>3</w:t>
      </w:r>
      <w:r>
        <w:rPr>
          <w:rFonts w:eastAsiaTheme="minorEastAsia"/>
        </w:rPr>
        <w:t>，低于毒性终点浓度-1（</w:t>
      </w:r>
      <w:r>
        <w:rPr>
          <w:rFonts w:hint="eastAsia" w:eastAsiaTheme="minorEastAsia"/>
        </w:rPr>
        <w:t>770</w:t>
      </w:r>
      <w:r>
        <w:rPr>
          <w:rFonts w:eastAsiaTheme="minorEastAsia"/>
        </w:rPr>
        <w:t>mg/m</w:t>
      </w:r>
      <w:r>
        <w:rPr>
          <w:rFonts w:eastAsiaTheme="minorEastAsia"/>
          <w:vertAlign w:val="superscript"/>
        </w:rPr>
        <w:t>3</w:t>
      </w:r>
      <w:r>
        <w:rPr>
          <w:rFonts w:eastAsiaTheme="minorEastAsia"/>
        </w:rPr>
        <w:t>）和毒性终点浓度-2（</w:t>
      </w:r>
      <w:r>
        <w:rPr>
          <w:rFonts w:hint="eastAsia" w:eastAsiaTheme="minorEastAsia"/>
        </w:rPr>
        <w:t>110</w:t>
      </w:r>
      <w:r>
        <w:rPr>
          <w:rFonts w:eastAsiaTheme="minorEastAsia"/>
        </w:rPr>
        <w:t>mg/m</w:t>
      </w:r>
      <w:r>
        <w:rPr>
          <w:rFonts w:eastAsiaTheme="minorEastAsia"/>
          <w:vertAlign w:val="superscript"/>
        </w:rPr>
        <w:t>3</w:t>
      </w:r>
      <w:r>
        <w:rPr>
          <w:rFonts w:eastAsiaTheme="minorEastAsia"/>
        </w:rPr>
        <w:t>）；</w:t>
      </w:r>
      <w:r>
        <w:rPr>
          <w:rFonts w:hint="eastAsia"/>
        </w:rPr>
        <w:t>天然气（甲烷）</w:t>
      </w:r>
      <w:r>
        <w:rPr>
          <w:rFonts w:eastAsiaTheme="minorEastAsia"/>
        </w:rPr>
        <w:t>燃爆次生CO</w:t>
      </w:r>
      <w:r>
        <w:rPr>
          <w:rFonts w:hint="eastAsia" w:eastAsiaTheme="minorEastAsia"/>
        </w:rPr>
        <w:t>扩散</w:t>
      </w:r>
      <w:r>
        <w:rPr>
          <w:rFonts w:eastAsiaTheme="minorEastAsia"/>
        </w:rPr>
        <w:t>，敏感点最大浓度出现在</w:t>
      </w:r>
      <w:r>
        <w:t>长寿经开区管委会</w:t>
      </w:r>
      <w:r>
        <w:rPr>
          <w:rFonts w:eastAsiaTheme="minorEastAsia"/>
        </w:rPr>
        <w:t>，浓度为</w:t>
      </w:r>
      <w:r>
        <w:rPr>
          <w:rFonts w:hint="eastAsia"/>
        </w:rPr>
        <w:t xml:space="preserve">1.1145 </w:t>
      </w:r>
      <w:r>
        <w:rPr>
          <w:rFonts w:eastAsiaTheme="minorEastAsia"/>
        </w:rPr>
        <w:t>mg/m</w:t>
      </w:r>
      <w:r>
        <w:rPr>
          <w:rFonts w:eastAsiaTheme="minorEastAsia"/>
          <w:vertAlign w:val="superscript"/>
        </w:rPr>
        <w:t>3</w:t>
      </w:r>
      <w:r>
        <w:rPr>
          <w:rFonts w:eastAsiaTheme="minorEastAsia"/>
        </w:rPr>
        <w:t>，低于毒性终点浓度-1（380mg/m</w:t>
      </w:r>
      <w:r>
        <w:rPr>
          <w:rFonts w:eastAsiaTheme="minorEastAsia"/>
          <w:vertAlign w:val="superscript"/>
        </w:rPr>
        <w:t>3</w:t>
      </w:r>
      <w:r>
        <w:rPr>
          <w:rFonts w:eastAsiaTheme="minorEastAsia"/>
        </w:rPr>
        <w:t>）毒性终点浓度-2（95mg/m</w:t>
      </w:r>
      <w:r>
        <w:rPr>
          <w:rFonts w:eastAsiaTheme="minorEastAsia"/>
          <w:vertAlign w:val="superscript"/>
        </w:rPr>
        <w:t>3</w:t>
      </w:r>
      <w:r>
        <w:rPr>
          <w:rFonts w:eastAsiaTheme="minorEastAsia"/>
        </w:rPr>
        <w:t>））。</w:t>
      </w:r>
    </w:p>
    <w:p>
      <w:pPr>
        <w:pStyle w:val="4"/>
        <w:spacing w:before="156" w:after="156"/>
      </w:pPr>
      <w:bookmarkStart w:id="157" w:name="_Toc84844320"/>
      <w:r>
        <w:rPr>
          <w:rFonts w:hint="eastAsia"/>
        </w:rPr>
        <w:t>6.8.2地表水环境风险分析</w:t>
      </w:r>
      <w:bookmarkEnd w:id="157"/>
    </w:p>
    <w:p>
      <w:pPr>
        <w:ind w:firstLine="480"/>
      </w:pPr>
      <w:r>
        <w:rPr>
          <w:rFonts w:hint="eastAsia"/>
        </w:rPr>
        <w:t>拟建项目水环境风险影响主要为事故状态下排水（主要考虑消防废水）排放影响，事故状态下排水含一定量的污染物，直接排放会影响周围区域地表水系，管理或操作失误，可能进入雨水系统。</w:t>
      </w:r>
    </w:p>
    <w:p>
      <w:pPr>
        <w:ind w:firstLine="480"/>
      </w:pPr>
      <w:r>
        <w:rPr>
          <w:rFonts w:hint="eastAsia"/>
        </w:rPr>
        <w:t>（1）事故状态下排水</w:t>
      </w:r>
    </w:p>
    <w:p>
      <w:pPr>
        <w:ind w:firstLine="480"/>
      </w:pPr>
      <w:r>
        <w:rPr>
          <w:rFonts w:hint="eastAsia"/>
        </w:rPr>
        <w:t>拟建项目生产装置区不涉水及液态物料，因此，物料泄漏排水情况不存在，事故状态排水主要考虑易燃易爆物质火灾导致的消防水。本工程厂区东面废水处理站旁设置有效容积为1850m</w:t>
      </w:r>
      <w:r>
        <w:rPr>
          <w:rFonts w:hint="eastAsia"/>
          <w:vertAlign w:val="superscript"/>
        </w:rPr>
        <w:t>3</w:t>
      </w:r>
      <w:r>
        <w:rPr>
          <w:rFonts w:hint="eastAsia"/>
        </w:rPr>
        <w:t>的事故应急池，以满足厂区内初期雨水和事故废水废水的收集需求。装置区设置围堤和导流设施，消防废水集中收集排入事故池；初期雨水和室外消防废水经雨污切换阀切换排至事故应急池，再根据实际情况分期分批送至污水处理站处理达标后再排入园区污水管网。</w:t>
      </w:r>
    </w:p>
    <w:p>
      <w:pPr>
        <w:ind w:firstLine="480"/>
      </w:pPr>
      <w:r>
        <w:rPr>
          <w:rFonts w:hint="eastAsia"/>
        </w:rPr>
        <w:t>（2）雨水系统污染物排放</w:t>
      </w:r>
    </w:p>
    <w:p>
      <w:pPr>
        <w:ind w:firstLine="480"/>
      </w:pPr>
      <w:r>
        <w:rPr>
          <w:rFonts w:hint="eastAsia"/>
        </w:rPr>
        <w:t>厂区内设置雨水管网，并且在排入园区雨水管网前配套设置“雨污切换阀”，雨污切换阀处于常闭状态，降雨初期（考虑前15min）集中收集排入事故池；15min后打开切换阀，雨水集中收集排入园区雨水管网。可有效避免受污染初期雨水直接排放或污染物经雨水管网直接排放。</w:t>
      </w:r>
    </w:p>
    <w:p>
      <w:pPr>
        <w:ind w:firstLine="480"/>
      </w:pPr>
      <w:r>
        <w:rPr>
          <w:rFonts w:hint="eastAsia"/>
        </w:rPr>
        <w:t>（3）厂区内事故废水收集系统</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事故应急池的设置及其容积有效性</w:t>
      </w:r>
    </w:p>
    <w:p>
      <w:pPr>
        <w:ind w:firstLine="480"/>
      </w:pPr>
      <w:r>
        <w:rPr>
          <w:rFonts w:hint="eastAsia"/>
        </w:rPr>
        <w:t>事故池最小容积计算根据《水体污染防控紧急措施设计导则》，事故储存设施总有效容积计算公式为：</w:t>
      </w:r>
    </w:p>
    <w:p>
      <w:pPr>
        <w:pStyle w:val="41"/>
      </w:pPr>
      <w:r>
        <w:rPr>
          <w:rFonts w:hint="eastAsia"/>
        </w:rPr>
        <w:t>V</w:t>
      </w:r>
      <w:r>
        <w:rPr>
          <w:rFonts w:hint="eastAsia"/>
          <w:vertAlign w:val="subscript"/>
        </w:rPr>
        <w:t>总</w:t>
      </w:r>
      <w:r>
        <w:rPr>
          <w:rFonts w:hint="eastAsia"/>
        </w:rPr>
        <w:t>=（V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）max+V</w:t>
      </w:r>
      <w:r>
        <w:rPr>
          <w:rFonts w:hint="eastAsia"/>
          <w:vertAlign w:val="subscript"/>
        </w:rPr>
        <w:t>4</w:t>
      </w:r>
      <w:r>
        <w:rPr>
          <w:rFonts w:hint="eastAsia"/>
        </w:rPr>
        <w:t>+V</w:t>
      </w:r>
      <w:r>
        <w:rPr>
          <w:rFonts w:hint="eastAsia"/>
          <w:vertAlign w:val="subscript"/>
        </w:rPr>
        <w:t>5</w:t>
      </w:r>
    </w:p>
    <w:p>
      <w:pPr>
        <w:ind w:firstLine="480"/>
      </w:pPr>
      <w:r>
        <w:rPr>
          <w:rFonts w:hint="eastAsia"/>
        </w:rPr>
        <w:t>式中：V</w:t>
      </w:r>
      <w:r>
        <w:rPr>
          <w:rFonts w:hint="eastAsia"/>
          <w:vertAlign w:val="subscript"/>
        </w:rPr>
        <w:t>1</w:t>
      </w:r>
      <w:r>
        <w:rPr>
          <w:rFonts w:hint="eastAsia"/>
        </w:rPr>
        <w:t>—收集系统范围内发生事故的一个罐组或一套装置的物料量（储存相同物料的罐组按一个最大储罐计，装置物料量按存留最大物料量的一台反应器或中间储罐计）；</w:t>
      </w:r>
    </w:p>
    <w:p>
      <w:pPr>
        <w:ind w:firstLine="480"/>
      </w:pPr>
      <w:r>
        <w:rPr>
          <w:rFonts w:hint="eastAsia"/>
        </w:rPr>
        <w:t>V</w:t>
      </w:r>
      <w:r>
        <w:rPr>
          <w:rFonts w:hint="eastAsia"/>
          <w:vertAlign w:val="subscript"/>
        </w:rPr>
        <w:t>2</w:t>
      </w:r>
      <w:r>
        <w:rPr>
          <w:rFonts w:hint="eastAsia"/>
        </w:rPr>
        <w:t>—发生事故的储罐或装置的消防水量，m</w:t>
      </w:r>
      <w:r>
        <w:rPr>
          <w:rFonts w:hint="eastAsia"/>
          <w:vertAlign w:val="superscript"/>
        </w:rPr>
        <w:t>3</w:t>
      </w:r>
      <w:r>
        <w:rPr>
          <w:rFonts w:hint="eastAsia"/>
        </w:rPr>
        <w:t>；</w:t>
      </w:r>
    </w:p>
    <w:p>
      <w:pPr>
        <w:ind w:firstLine="480"/>
      </w:pPr>
      <w:r>
        <w:rPr>
          <w:rFonts w:hint="eastAsia"/>
        </w:rPr>
        <w:t>V</w:t>
      </w:r>
      <w:r>
        <w:rPr>
          <w:rFonts w:hint="eastAsia"/>
          <w:vertAlign w:val="subscript"/>
        </w:rPr>
        <w:t>3</w:t>
      </w:r>
      <w:r>
        <w:rPr>
          <w:rFonts w:hint="eastAsia"/>
        </w:rPr>
        <w:t>—发生事故时可以转输到其他储存或处理设施的物料量，m</w:t>
      </w:r>
      <w:r>
        <w:rPr>
          <w:rFonts w:hint="eastAsia"/>
          <w:vertAlign w:val="superscript"/>
        </w:rPr>
        <w:t>3</w:t>
      </w:r>
      <w:r>
        <w:rPr>
          <w:rFonts w:hint="eastAsia"/>
        </w:rPr>
        <w:t>；</w:t>
      </w:r>
    </w:p>
    <w:p>
      <w:pPr>
        <w:ind w:firstLine="480"/>
      </w:pPr>
      <w:r>
        <w:rPr>
          <w:rFonts w:hint="eastAsia"/>
        </w:rPr>
        <w:t>V</w:t>
      </w:r>
      <w:r>
        <w:rPr>
          <w:rFonts w:hint="eastAsia"/>
          <w:vertAlign w:val="subscript"/>
        </w:rPr>
        <w:t>4</w:t>
      </w:r>
      <w:r>
        <w:rPr>
          <w:rFonts w:hint="eastAsia"/>
        </w:rPr>
        <w:t>—发生事故时仍必须进入该收集系统的生产废水量，m</w:t>
      </w:r>
      <w:r>
        <w:rPr>
          <w:rFonts w:hint="eastAsia"/>
          <w:vertAlign w:val="superscript"/>
        </w:rPr>
        <w:t>3</w:t>
      </w:r>
      <w:r>
        <w:rPr>
          <w:rFonts w:hint="eastAsia"/>
        </w:rPr>
        <w:t>；</w:t>
      </w:r>
    </w:p>
    <w:p>
      <w:pPr>
        <w:ind w:firstLine="480"/>
      </w:pPr>
      <w:r>
        <w:rPr>
          <w:rFonts w:hint="eastAsia"/>
        </w:rPr>
        <w:t>V</w:t>
      </w:r>
      <w:r>
        <w:rPr>
          <w:rFonts w:hint="eastAsia"/>
          <w:vertAlign w:val="subscript"/>
        </w:rPr>
        <w:t>5</w:t>
      </w:r>
      <w:r>
        <w:rPr>
          <w:rFonts w:hint="eastAsia"/>
        </w:rPr>
        <w:t>—发生事故时可能进入该收集系统的降雨量，m</w:t>
      </w:r>
      <w:r>
        <w:rPr>
          <w:rFonts w:hint="eastAsia"/>
          <w:vertAlign w:val="subscript"/>
        </w:rPr>
        <w:t>3</w:t>
      </w:r>
      <w:r>
        <w:rPr>
          <w:rFonts w:hint="eastAsia"/>
        </w:rPr>
        <w:t>；</w:t>
      </w:r>
    </w:p>
    <w:p>
      <w:pPr>
        <w:ind w:firstLine="480"/>
      </w:pPr>
      <w:r>
        <w:t>泄漏物料V</w:t>
      </w:r>
      <w:r>
        <w:rPr>
          <w:vertAlign w:val="subscript"/>
        </w:rPr>
        <w:t>1</w:t>
      </w:r>
      <w:r>
        <w:t>：</w:t>
      </w:r>
      <w:r>
        <w:rPr>
          <w:rFonts w:hint="eastAsia"/>
        </w:rPr>
        <w:t>拟建</w:t>
      </w:r>
      <w:r>
        <w:t>项目</w:t>
      </w:r>
      <w:r>
        <w:rPr>
          <w:rFonts w:hint="eastAsia"/>
        </w:rPr>
        <w:t>事故池收集范围内不涉及储存液态原辅料、中间产品或产品罐组和装置，因此V</w:t>
      </w:r>
      <w:r>
        <w:rPr>
          <w:rFonts w:hint="eastAsia"/>
          <w:vertAlign w:val="subscript"/>
        </w:rPr>
        <w:t>1</w:t>
      </w:r>
      <w:r>
        <w:rPr>
          <w:rFonts w:hint="eastAsia"/>
        </w:rPr>
        <w:t>=0</w:t>
      </w:r>
      <w:r>
        <w:t>m</w:t>
      </w:r>
      <w:r>
        <w:rPr>
          <w:vertAlign w:val="superscript"/>
        </w:rPr>
        <w:t>3</w:t>
      </w:r>
      <w:r>
        <w:t>；</w:t>
      </w:r>
    </w:p>
    <w:p>
      <w:pPr>
        <w:ind w:firstLine="480"/>
      </w:pPr>
      <w:r>
        <w:t>消防</w:t>
      </w:r>
      <w:r>
        <w:rPr>
          <w:rFonts w:hint="eastAsia"/>
        </w:rPr>
        <w:t>废水</w:t>
      </w:r>
      <w:r>
        <w:t>V</w:t>
      </w:r>
      <w:r>
        <w:rPr>
          <w:vertAlign w:val="subscript"/>
        </w:rPr>
        <w:t>2</w:t>
      </w:r>
      <w:r>
        <w:t>：</w:t>
      </w:r>
      <w:r>
        <w:rPr>
          <w:rFonts w:hint="eastAsia"/>
        </w:rPr>
        <w:t>按同一时间发生1次火灾的原则进行消防水系统的设计。</w:t>
      </w:r>
      <w:r>
        <w:t>根据《建筑设计防火规范》（GB50016-2014）、《石油化工企业设计防火规范》（GB50160-2018）、《消防给水及消火栓系统技术规范》（GB50974-2014）有关规定进行取值，生产装置区火灾延续时间考虑为3h，设计消防水量为</w:t>
      </w:r>
      <w:r>
        <w:rPr>
          <w:rFonts w:hint="eastAsia"/>
        </w:rPr>
        <w:t>150</w:t>
      </w:r>
      <w:r>
        <w:t>L/S</w:t>
      </w:r>
      <w:r>
        <w:rPr>
          <w:spacing w:val="-2"/>
        </w:rPr>
        <w:t>，生产单元一次消防水量为</w:t>
      </w:r>
      <w:r>
        <w:rPr>
          <w:rFonts w:hint="eastAsia"/>
          <w:spacing w:val="-2"/>
        </w:rPr>
        <w:t>1620</w:t>
      </w:r>
      <w:r>
        <w:t>m</w:t>
      </w:r>
      <w:r>
        <w:rPr>
          <w:vertAlign w:val="superscript"/>
        </w:rPr>
        <w:t>3</w:t>
      </w:r>
      <w:r>
        <w:t xml:space="preserve">； </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t>转输物料量V</w:t>
      </w:r>
      <w:r>
        <w:rPr>
          <w:vertAlign w:val="subscript"/>
        </w:rPr>
        <w:t>3</w:t>
      </w:r>
      <w:r>
        <w:t>：</w:t>
      </w:r>
      <w:r>
        <w:rPr>
          <w:rFonts w:hint="eastAsia"/>
        </w:rPr>
        <w:t>拟建项目可</w:t>
      </w:r>
      <w:r>
        <w:t>转输物料量为</w:t>
      </w:r>
      <w:r>
        <w:rPr>
          <w:rFonts w:hint="eastAsia"/>
        </w:rPr>
        <w:t>0m</w:t>
      </w:r>
      <w:r>
        <w:rPr>
          <w:rFonts w:hint="eastAsia"/>
          <w:vertAlign w:val="superscript"/>
        </w:rPr>
        <w:t>3</w:t>
      </w:r>
      <w:r>
        <w:rPr>
          <w:rFonts w:hint="eastAsia"/>
        </w:rPr>
        <w:t>，因此V</w:t>
      </w:r>
      <w:r>
        <w:rPr>
          <w:rFonts w:hint="eastAsia"/>
          <w:vertAlign w:val="subscript"/>
        </w:rPr>
        <w:t>3</w:t>
      </w:r>
      <w:r>
        <w:rPr>
          <w:rFonts w:hint="eastAsia"/>
        </w:rPr>
        <w:t>=0</w:t>
      </w:r>
      <w:r>
        <w:t>m</w:t>
      </w:r>
      <w:r>
        <w:rPr>
          <w:vertAlign w:val="superscript"/>
        </w:rPr>
        <w:t>3</w:t>
      </w:r>
      <w:r>
        <w:t>；</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t>事故状态下可能进入该收集系统的生产废水V</w:t>
      </w:r>
      <w:r>
        <w:rPr>
          <w:vertAlign w:val="subscript"/>
        </w:rPr>
        <w:t>4</w:t>
      </w:r>
      <w:r>
        <w:t>：</w:t>
      </w:r>
      <w:r>
        <w:rPr>
          <w:rFonts w:hint="eastAsia"/>
        </w:rPr>
        <w:t>本工程运行过程中无工艺废水产生，因此V</w:t>
      </w:r>
      <w:r>
        <w:rPr>
          <w:rFonts w:hint="eastAsia"/>
          <w:vertAlign w:val="subscript"/>
        </w:rPr>
        <w:t>4</w:t>
      </w:r>
      <w:r>
        <w:rPr>
          <w:rFonts w:hint="eastAsia"/>
        </w:rPr>
        <w:t>=0</w:t>
      </w:r>
      <w:r>
        <w:t>m</w:t>
      </w:r>
      <w:r>
        <w:rPr>
          <w:vertAlign w:val="superscript"/>
        </w:rPr>
        <w:t>3</w:t>
      </w:r>
      <w:r>
        <w:t>；</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t>初期污染雨水量V</w:t>
      </w:r>
      <w:r>
        <w:rPr>
          <w:vertAlign w:val="subscript"/>
        </w:rPr>
        <w:t>5</w:t>
      </w:r>
      <w:r>
        <w:t>：V</w:t>
      </w:r>
      <w:r>
        <w:rPr>
          <w:vertAlign w:val="subscript"/>
        </w:rPr>
        <w:t>5</w:t>
      </w:r>
      <w:r>
        <w:t>=10qF</w:t>
      </w:r>
    </w:p>
    <w:p>
      <w:pPr>
        <w:ind w:firstLine="480"/>
      </w:pPr>
      <w:r>
        <w:t>式中：q—降雨强度，mm；按平均日降雨量：q=qa/n；</w:t>
      </w:r>
    </w:p>
    <w:p>
      <w:pPr>
        <w:ind w:firstLine="480"/>
      </w:pPr>
      <w:r>
        <w:t>qa—年平均降雨量，长寿取1162.7mm；</w:t>
      </w:r>
    </w:p>
    <w:p>
      <w:pPr>
        <w:ind w:firstLine="480"/>
      </w:pPr>
      <w:r>
        <w:t>n—年平均降雨日数，取150天；</w:t>
      </w:r>
    </w:p>
    <w:p>
      <w:pPr>
        <w:ind w:firstLine="480"/>
      </w:pPr>
      <w:r>
        <w:t>F—全厂必须进入事故废水收集系统的雨水汇水面积，</w:t>
      </w:r>
      <w:r>
        <w:rPr>
          <w:rFonts w:hint="eastAsia"/>
        </w:rPr>
        <w:t>本工程</w:t>
      </w:r>
      <w:r>
        <w:t>全厂汇水面积共</w:t>
      </w:r>
      <w:r>
        <w:rPr>
          <w:rFonts w:hint="eastAsia"/>
        </w:rPr>
        <w:t>2.6</w:t>
      </w:r>
      <w:r>
        <w:t>ha，计算得全厂初期污染雨水量</w:t>
      </w:r>
      <w:r>
        <w:rPr>
          <w:rFonts w:hint="eastAsia"/>
        </w:rPr>
        <w:t>201.53</w:t>
      </w:r>
      <w:r>
        <w:t>m</w:t>
      </w:r>
      <w:r>
        <w:rPr>
          <w:vertAlign w:val="superscript"/>
        </w:rPr>
        <w:t>3</w:t>
      </w:r>
      <w:r>
        <w:t>/次。</w:t>
      </w:r>
    </w:p>
    <w:p>
      <w:pPr>
        <w:ind w:firstLine="480"/>
        <w:rPr>
          <w:vertAlign w:val="superscript"/>
        </w:rPr>
      </w:pPr>
      <w:r>
        <w:t>V</w:t>
      </w:r>
      <w:r>
        <w:rPr>
          <w:vertAlign w:val="subscript"/>
        </w:rPr>
        <w:t>总</w:t>
      </w:r>
      <w:r>
        <w:t>=</w:t>
      </w:r>
      <w:r>
        <w:rPr>
          <w:rFonts w:hint="eastAsia"/>
        </w:rPr>
        <w:t>0</w:t>
      </w:r>
      <w:r>
        <w:t>m</w:t>
      </w:r>
      <w:r>
        <w:rPr>
          <w:vertAlign w:val="superscript"/>
        </w:rPr>
        <w:t>3</w:t>
      </w:r>
      <w:r>
        <w:t>+</w:t>
      </w:r>
      <w:r>
        <w:rPr>
          <w:rFonts w:hint="eastAsia"/>
          <w:spacing w:val="-2"/>
        </w:rPr>
        <w:t>0</w:t>
      </w:r>
      <w:r>
        <w:t>m</w:t>
      </w:r>
      <w:r>
        <w:rPr>
          <w:vertAlign w:val="superscript"/>
        </w:rPr>
        <w:t>3</w:t>
      </w:r>
      <w:r>
        <w:t>-</w:t>
      </w:r>
      <w:r>
        <w:rPr>
          <w:rFonts w:hint="eastAsia"/>
        </w:rPr>
        <w:t>0</w:t>
      </w:r>
      <w:r>
        <w:t>m</w:t>
      </w:r>
      <w:r>
        <w:rPr>
          <w:vertAlign w:val="superscript"/>
        </w:rPr>
        <w:t>3</w:t>
      </w:r>
      <w:r>
        <w:t>+</w:t>
      </w:r>
      <w:r>
        <w:rPr>
          <w:rFonts w:hint="eastAsia"/>
        </w:rPr>
        <w:t>1620</w:t>
      </w:r>
      <w:r>
        <w:t>m</w:t>
      </w:r>
      <w:r>
        <w:rPr>
          <w:vertAlign w:val="superscript"/>
        </w:rPr>
        <w:t>3</w:t>
      </w:r>
      <w:r>
        <w:t>+</w:t>
      </w:r>
      <w:r>
        <w:rPr>
          <w:rFonts w:hint="eastAsia"/>
        </w:rPr>
        <w:t>201.53</w:t>
      </w:r>
      <w:r>
        <w:t>m</w:t>
      </w:r>
      <w:r>
        <w:rPr>
          <w:vertAlign w:val="superscript"/>
        </w:rPr>
        <w:t>3</w:t>
      </w:r>
      <w:r>
        <w:t>=</w:t>
      </w:r>
      <w:r>
        <w:rPr>
          <w:rFonts w:hint="eastAsia"/>
        </w:rPr>
        <w:t>1821.53</w:t>
      </w:r>
      <w:r>
        <w:t>m</w:t>
      </w:r>
      <w:r>
        <w:rPr>
          <w:vertAlign w:val="superscript"/>
        </w:rPr>
        <w:t>3</w:t>
      </w:r>
    </w:p>
    <w:p>
      <w:pPr>
        <w:ind w:firstLine="480"/>
      </w:pPr>
      <w:r>
        <w:rPr>
          <w:rFonts w:hint="eastAsia"/>
        </w:rPr>
        <w:t>综上，拟建项目事故废水量共计1821.53m</w:t>
      </w:r>
      <w:r>
        <w:rPr>
          <w:rFonts w:hint="eastAsia"/>
          <w:vertAlign w:val="superscript"/>
        </w:rPr>
        <w:t>3</w:t>
      </w:r>
      <w:r>
        <w:rPr>
          <w:rFonts w:hint="eastAsia"/>
        </w:rPr>
        <w:t>，设置有效容积为1850m</w:t>
      </w:r>
      <w:r>
        <w:rPr>
          <w:rFonts w:hint="eastAsia"/>
          <w:vertAlign w:val="superscript"/>
        </w:rPr>
        <w:t>3</w:t>
      </w:r>
      <w:r>
        <w:rPr>
          <w:rFonts w:hint="eastAsia"/>
        </w:rPr>
        <w:t>的事故应急池能满足本工程事故废水收集要求</w:t>
      </w:r>
      <w:r>
        <w:t>，</w:t>
      </w:r>
      <w:r>
        <w:rPr>
          <w:rFonts w:hint="eastAsia"/>
        </w:rPr>
        <w:t>可</w:t>
      </w:r>
      <w:r>
        <w:t>确保事故废水不外流，实现将污染控制在厂区内的目的。</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泄漏物料的收集及处理：拟建项目装置区设置围堤和导流设施，并且地面采取防腐、防渗处理措施。事故状况下泄漏物料/废水可被截流在围堤内，然后再根据实际情况分批送厂区废水处理站处理达标后排放。</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事故水收集装置的连通</w:t>
      </w:r>
    </w:p>
    <w:p>
      <w:pPr>
        <w:ind w:firstLine="480"/>
      </w:pPr>
      <w:r>
        <w:rPr>
          <w:rFonts w:hint="eastAsia"/>
        </w:rPr>
        <w:t>拟建项目装置区围堤和导流设施、初期雨水系统均已与事故池相连，并设有雨污切换阀（常态为闭合状态），确保事故排污水在第一时间得到收集、处理。</w:t>
      </w:r>
    </w:p>
    <w:p>
      <w:pPr>
        <w:ind w:firstLine="480"/>
      </w:pPr>
      <w:r>
        <w:rPr>
          <w:rFonts w:hint="eastAsia"/>
        </w:rPr>
        <w:t>（4）区域应急截留方案</w:t>
      </w:r>
    </w:p>
    <w:p>
      <w:pPr>
        <w:ind w:firstLine="480"/>
      </w:pPr>
      <w:r>
        <w:rPr>
          <w:rFonts w:hint="eastAsia"/>
        </w:rPr>
        <w:t>为实现对事故应急废水的有效控制，经开区按照企业最优设计、事故废水最优收集和最大拦截的原则，拟建成“装置级、工厂级、片区级、经开区级、流域级”的五级事故废水防控体系，确保极端事故条件下事故污水不流入长江。</w:t>
      </w:r>
    </w:p>
    <w:p>
      <w:pPr>
        <w:ind w:firstLine="480"/>
      </w:pPr>
      <w:r>
        <w:fldChar w:fldCharType="begin"/>
      </w:r>
      <w:r>
        <w:instrText xml:space="preserve"> eq \o\ac(</w:instrText>
      </w:r>
      <w:r>
        <w:rPr>
          <w:rFonts w:hint="eastAsia"/>
        </w:rPr>
        <w:instrText xml:space="preserve">○</w:instrText>
      </w:r>
      <w:r>
        <w:instrText xml:space="preserve">,</w:instrText>
      </w:r>
      <w:r>
        <w:rPr>
          <w:position w:val="3"/>
          <w:sz w:val="16"/>
        </w:rPr>
        <w:instrText xml:space="preserve">1</w:instrText>
      </w:r>
      <w:r>
        <w:instrText xml:space="preserve">)</w:instrText>
      </w:r>
      <w:r>
        <w:fldChar w:fldCharType="end"/>
      </w:r>
      <w:r>
        <w:rPr>
          <w:rFonts w:hint="eastAsia"/>
        </w:rPr>
        <w:t>装置级：装置区围堤、储罐区防火堤等构成事故废水防控体系的第一级。防止泄漏事故造成的环境污染。</w:t>
      </w:r>
    </w:p>
    <w:p>
      <w:pPr>
        <w:ind w:firstLine="480"/>
      </w:pPr>
      <w:r>
        <w:rPr>
          <w:rFonts w:hint="eastAsia"/>
        </w:rPr>
        <w:t>②工厂级：设置事故应急池及配套设施，构成事故废水防控体系的第二级。发生重大事故，产生大量事故废水时，通过关闭雨水切换阀将事故废水切换至事故应急池，待事故过后进行有效处理，实现企业对事故废水的有效控制。</w:t>
      </w:r>
    </w:p>
    <w:p>
      <w:pPr>
        <w:ind w:firstLine="480"/>
      </w:pPr>
      <w:r>
        <w:rPr>
          <w:rFonts w:hint="eastAsia"/>
        </w:rPr>
        <w:t>③片区级：根据产业特性和地理位置，将规划区域划分成若干片区（北区、南区、</w:t>
      </w:r>
      <w:r>
        <w:t>MDI</w:t>
      </w:r>
      <w:r>
        <w:rPr>
          <w:rFonts w:hint="eastAsia"/>
        </w:rPr>
        <w:t>片区、</w:t>
      </w:r>
      <w:r>
        <w:t>3#</w:t>
      </w:r>
      <w:r>
        <w:rPr>
          <w:rFonts w:hint="eastAsia"/>
        </w:rPr>
        <w:t>闸门片区），在各个片区内建设公共的事故应急池，并在企业的雨水进入经开区的雨水管网前设置切换设施（或是将片区内经开区的雨水管网进行封闭收集），建设专用的事故污水管线接入到片区的公共事故应急池，实现雨水可控排放和在线监测，构成事故污水防控体系的第三级。</w:t>
      </w:r>
      <w:r>
        <w:t>MDI</w:t>
      </w:r>
      <w:r>
        <w:rPr>
          <w:rFonts w:hint="eastAsia"/>
        </w:rPr>
        <w:t>片区设有</w:t>
      </w:r>
      <w:r>
        <w:t>1#13000m</w:t>
      </w:r>
      <w:r>
        <w:rPr>
          <w:vertAlign w:val="superscript"/>
        </w:rPr>
        <w:t>3</w:t>
      </w:r>
      <w:r>
        <w:rPr>
          <w:rFonts w:hint="eastAsia"/>
        </w:rPr>
        <w:t>事故池、中法水务</w:t>
      </w:r>
      <w:r>
        <w:t>2#7500m</w:t>
      </w:r>
      <w:r>
        <w:rPr>
          <w:vertAlign w:val="superscript"/>
        </w:rPr>
        <w:t>3</w:t>
      </w:r>
      <w:r>
        <w:rPr>
          <w:rFonts w:hint="eastAsia"/>
        </w:rPr>
        <w:t>事故池；北区设有</w:t>
      </w:r>
      <w:r>
        <w:t>3#25000m</w:t>
      </w:r>
      <w:r>
        <w:rPr>
          <w:vertAlign w:val="superscript"/>
        </w:rPr>
        <w:t>3</w:t>
      </w:r>
      <w:r>
        <w:rPr>
          <w:rFonts w:hint="eastAsia"/>
        </w:rPr>
        <w:t>事故池；南区设</w:t>
      </w:r>
      <w:r>
        <w:t>4#18000m</w:t>
      </w:r>
      <w:r>
        <w:rPr>
          <w:vertAlign w:val="superscript"/>
        </w:rPr>
        <w:t>3</w:t>
      </w:r>
      <w:r>
        <w:rPr>
          <w:rFonts w:hint="eastAsia"/>
        </w:rPr>
        <w:t>事故池、中法污水厂设</w:t>
      </w:r>
      <w:r>
        <w:t>5#20000m</w:t>
      </w:r>
      <w:r>
        <w:rPr>
          <w:vertAlign w:val="superscript"/>
        </w:rPr>
        <w:t>3</w:t>
      </w:r>
      <w:r>
        <w:rPr>
          <w:rFonts w:hint="eastAsia"/>
        </w:rPr>
        <w:t>事故池；</w:t>
      </w:r>
      <w:r>
        <w:t>3#</w:t>
      </w:r>
      <w:r>
        <w:rPr>
          <w:rFonts w:hint="eastAsia"/>
        </w:rPr>
        <w:t>闸门片区设</w:t>
      </w:r>
      <w:r>
        <w:t>6#10000m</w:t>
      </w:r>
      <w:r>
        <w:rPr>
          <w:vertAlign w:val="superscript"/>
        </w:rPr>
        <w:t>3</w:t>
      </w:r>
      <w:r>
        <w:rPr>
          <w:rFonts w:hint="eastAsia"/>
        </w:rPr>
        <w:t>事故池；中法污水厂设</w:t>
      </w:r>
      <w:r>
        <w:t>7#10000m</w:t>
      </w:r>
      <w:r>
        <w:rPr>
          <w:vertAlign w:val="superscript"/>
        </w:rPr>
        <w:t>3</w:t>
      </w:r>
      <w:r>
        <w:rPr>
          <w:rFonts w:hint="eastAsia"/>
        </w:rPr>
        <w:t>事故池，具体见附图</w:t>
      </w:r>
      <w:r>
        <w:t>9</w:t>
      </w:r>
      <w:r>
        <w:rPr>
          <w:rFonts w:hint="eastAsia"/>
        </w:rPr>
        <w:t>。</w:t>
      </w:r>
      <w:r>
        <w:t>MDI</w:t>
      </w:r>
      <w:r>
        <w:rPr>
          <w:rFonts w:hint="eastAsia"/>
        </w:rPr>
        <w:t>片区事故池与北区事故池相互连通，再与中法污水厂事故池相互连通。南区事故池、</w:t>
      </w:r>
      <w:r>
        <w:t>3#</w:t>
      </w:r>
      <w:r>
        <w:rPr>
          <w:rFonts w:hint="eastAsia"/>
        </w:rPr>
        <w:t>闸门事故池均与中法污水厂事故池相互连通。一旦监测到有超标的雨水或者在事故状态下，立即启动企业雨水排口的切换设施，让事故污水通过专用的事故污水管道进入到片区的公共事故应急池，确保企业的事故污水不进入经开区的雨水管网，从而避免受污染的雨水进入自然河流。</w:t>
      </w:r>
    </w:p>
    <w:p>
      <w:pPr>
        <w:ind w:firstLine="480"/>
      </w:pPr>
      <w:r>
        <w:rPr>
          <w:rFonts w:hint="eastAsia"/>
        </w:rPr>
        <w:t>在发生极端恶性风险事故，导致厂区事故池同时受损破坏，不能满足纳污要求时，可依托长寿经济技术开发区项目所在片区事故池进行拦截，评价要求项目事故池应与片区事故池联通，做到有效收集企业的事故废水。截流的事故废水根据性质不同，采用回收或用泵送至经开区污水处理厂处理达标后排放。</w:t>
      </w:r>
    </w:p>
    <w:p>
      <w:pPr>
        <w:ind w:firstLine="480"/>
      </w:pPr>
      <w:r>
        <w:rPr>
          <w:rFonts w:hint="eastAsia"/>
        </w:rPr>
        <w:t>④经开区级：经开区在晏家河支流和排洪沟上修建了二道事故污水拦截闸门（即</w:t>
      </w:r>
      <w:r>
        <w:t>1#</w:t>
      </w:r>
      <w:r>
        <w:rPr>
          <w:rFonts w:hint="eastAsia"/>
        </w:rPr>
        <w:t>闸门、</w:t>
      </w:r>
      <w:r>
        <w:t>2#</w:t>
      </w:r>
      <w:r>
        <w:rPr>
          <w:rFonts w:hint="eastAsia"/>
        </w:rPr>
        <w:t>闸门，具体位置见附图</w:t>
      </w:r>
      <w:r>
        <w:t>9</w:t>
      </w:r>
      <w:r>
        <w:rPr>
          <w:rFonts w:hint="eastAsia"/>
        </w:rPr>
        <w:t>），事故污水拦截能力达到了</w:t>
      </w:r>
      <w:r>
        <w:t>25</w:t>
      </w:r>
      <w:r>
        <w:rPr>
          <w:rFonts w:hint="eastAsia"/>
        </w:rPr>
        <w:t>万</w:t>
      </w:r>
      <w:r>
        <w:t>m</w:t>
      </w:r>
      <w:r>
        <w:rPr>
          <w:vertAlign w:val="superscript"/>
        </w:rPr>
        <w:t>3</w:t>
      </w:r>
      <w:r>
        <w:rPr>
          <w:rFonts w:hint="eastAsia"/>
        </w:rPr>
        <w:t>，构成事故污水防控体系的第四级。由于经开区紧邻长江，而事故废水的产生量又受很多不确定因素的影响，很难对事故废水量预先作出准确计算，在极端情况下，当事故污水超出了企业事故应急池和公共事故应急池的容量时，将通过雨水管网进入晏家河支流或排洪沟，此时关闭闸门</w:t>
      </w:r>
      <w:r>
        <w:t>1#</w:t>
      </w:r>
      <w:r>
        <w:rPr>
          <w:rFonts w:hint="eastAsia"/>
        </w:rPr>
        <w:t>、</w:t>
      </w:r>
      <w:r>
        <w:t>2#</w:t>
      </w:r>
      <w:r>
        <w:rPr>
          <w:rFonts w:hint="eastAsia"/>
        </w:rPr>
        <w:t>闸门，对事故废水进行拦截，再用泵加压送至污水厂集中处理。</w:t>
      </w:r>
    </w:p>
    <w:p>
      <w:pPr>
        <w:ind w:firstLine="480"/>
      </w:pPr>
      <w:r>
        <w:rPr>
          <w:rFonts w:hint="eastAsia"/>
        </w:rPr>
        <w:t>⑤河流级：经开区在晏家河干流上修建了晏家河闸门，其事故废水拦截能力将达到</w:t>
      </w:r>
      <w:r>
        <w:t>50</w:t>
      </w:r>
      <w:r>
        <w:rPr>
          <w:rFonts w:hint="eastAsia"/>
        </w:rPr>
        <w:t>万</w:t>
      </w:r>
      <w:r>
        <w:t>m</w:t>
      </w:r>
      <w:r>
        <w:rPr>
          <w:vertAlign w:val="superscript"/>
        </w:rPr>
        <w:t>3</w:t>
      </w:r>
      <w:r>
        <w:rPr>
          <w:rFonts w:hint="eastAsia"/>
        </w:rPr>
        <w:t>，构成事故废水防控体系的第五级，实现对灾难性事故废水的有效拦截。</w:t>
      </w:r>
    </w:p>
    <w:p>
      <w:pPr>
        <w:ind w:firstLine="480"/>
      </w:pPr>
      <w:r>
        <w:rPr>
          <w:rFonts w:hint="eastAsia"/>
        </w:rPr>
        <w:t>（5）区域联动及应急防范措施</w:t>
      </w:r>
    </w:p>
    <w:p>
      <w:pPr>
        <w:ind w:firstLine="480"/>
      </w:pPr>
      <w:r>
        <w:rPr>
          <w:rFonts w:hint="eastAsia"/>
        </w:rPr>
        <w:t>当某一设备发生火灾事故，如果处理不及时，可能会引发装置区内其它相邻的含易燃、易爆设施的连锁火灾爆炸事故，从而造成更大影响范围的环境风险事故。为避免此类环境风险事故的发生，建设单位拟采取以下措施：</w:t>
      </w:r>
    </w:p>
    <w:p>
      <w:pPr>
        <w:ind w:firstLine="480"/>
      </w:pPr>
      <w:r>
        <w:rPr>
          <w:rFonts w:hint="eastAsia"/>
        </w:rPr>
        <w:t>①设计上首先按规范要求进行设计，与周边建筑设施的距离满足相关要求，有一定的风险防范能力。</w:t>
      </w:r>
    </w:p>
    <w:p>
      <w:pPr>
        <w:ind w:firstLine="480"/>
      </w:pPr>
      <w:r>
        <w:rPr>
          <w:rFonts w:hint="eastAsia"/>
        </w:rPr>
        <w:t>②与周边企业建设有效的联动应急系统。同时规定若发生重大事故，第一时间内其它关系企业应根据请求并提供人力、物力帮助。</w:t>
      </w:r>
    </w:p>
    <w:p>
      <w:pPr>
        <w:ind w:firstLine="480"/>
      </w:pPr>
      <w:r>
        <w:rPr>
          <w:rFonts w:hint="eastAsia"/>
        </w:rPr>
        <w:t>通过以上措施确保火灾事故发生时能够做到及时发现、及时报警、及时隔离、及时处理，将事故控制在最小区域范围内，避免造成相邻设施的连锁事故。</w:t>
      </w:r>
    </w:p>
    <w:p>
      <w:pPr>
        <w:ind w:firstLine="480"/>
      </w:pPr>
      <w:r>
        <w:rPr>
          <w:rFonts w:hint="eastAsia"/>
        </w:rPr>
        <w:t>（6）水环境风险分析</w:t>
      </w:r>
    </w:p>
    <w:p>
      <w:pPr>
        <w:ind w:firstLine="480"/>
      </w:pPr>
      <w:r>
        <w:t>若装置区发生</w:t>
      </w:r>
      <w:r>
        <w:rPr>
          <w:rFonts w:hint="eastAsia"/>
        </w:rPr>
        <w:t>事故性</w:t>
      </w:r>
      <w:r>
        <w:t>泄漏或火灾，会有大量的物料泄漏，泄漏物料</w:t>
      </w:r>
      <w:r>
        <w:rPr>
          <w:rFonts w:hint="eastAsia"/>
        </w:rPr>
        <w:t>将</w:t>
      </w:r>
      <w:r>
        <w:t>随消防水排出。</w:t>
      </w:r>
    </w:p>
    <w:p>
      <w:pPr>
        <w:ind w:firstLine="480"/>
      </w:pPr>
      <w:r>
        <w:rPr>
          <w:rFonts w:hint="eastAsia"/>
        </w:rPr>
        <w:t>拟建项目装置区设置围堤和导流设施</w:t>
      </w:r>
      <w:r>
        <w:t>，</w:t>
      </w:r>
      <w:r>
        <w:rPr>
          <w:rFonts w:hint="eastAsia"/>
        </w:rPr>
        <w:t>并且</w:t>
      </w:r>
      <w:r>
        <w:t>进行了防渗漏、防腐处理。</w:t>
      </w:r>
      <w:r>
        <w:rPr>
          <w:rFonts w:hint="eastAsia"/>
        </w:rPr>
        <w:t>若</w:t>
      </w:r>
      <w:r>
        <w:t>发生物料泄漏，</w:t>
      </w:r>
      <w:r>
        <w:rPr>
          <w:rFonts w:hint="eastAsia"/>
        </w:rPr>
        <w:t>根据本工程不涉及液态原辅料、中间产品/产品的实际情况，泄漏物料不会直接进入地表水体；若发生火灾爆炸，泄漏物料进入消防水后，事故废水将被围堤拦截，经导流设施排入事故池，再分批排入废水处理站处理达标后排放。采取以上措施后，</w:t>
      </w:r>
      <w:r>
        <w:t>可有效杜绝</w:t>
      </w:r>
      <w:r>
        <w:rPr>
          <w:rFonts w:hint="eastAsia"/>
        </w:rPr>
        <w:t>拟建</w:t>
      </w:r>
      <w:r>
        <w:t>项目</w:t>
      </w:r>
      <w:r>
        <w:rPr>
          <w:rFonts w:hint="eastAsia"/>
        </w:rPr>
        <w:t>装置区</w:t>
      </w:r>
      <w:r>
        <w:t>事故状态下的初期雨水、消防废水等直接进入</w:t>
      </w:r>
      <w:r>
        <w:rPr>
          <w:rFonts w:hint="eastAsia"/>
        </w:rPr>
        <w:t>地表水</w:t>
      </w:r>
      <w:r>
        <w:t>。</w:t>
      </w:r>
    </w:p>
    <w:p>
      <w:pPr>
        <w:ind w:firstLine="480"/>
        <w:rPr>
          <w:rFonts w:eastAsiaTheme="minorEastAsia"/>
        </w:rPr>
      </w:pPr>
      <w:r>
        <w:rPr>
          <w:rFonts w:eastAsiaTheme="minorEastAsia"/>
        </w:rPr>
        <w:t>同时在厂区雨水、污水进入</w:t>
      </w:r>
      <w:r>
        <w:rPr>
          <w:rFonts w:hint="eastAsia" w:eastAsiaTheme="minorEastAsia"/>
        </w:rPr>
        <w:t>园区</w:t>
      </w:r>
      <w:r>
        <w:rPr>
          <w:rFonts w:eastAsiaTheme="minorEastAsia"/>
        </w:rPr>
        <w:t>排水管网前设闸阀，一旦发生事故，关闭闸阀，将含物料的消防废水有效控制在厂区内。</w:t>
      </w:r>
    </w:p>
    <w:p>
      <w:pPr>
        <w:ind w:firstLine="480"/>
      </w:pPr>
      <w:r>
        <w:rPr>
          <w:rFonts w:hint="eastAsia"/>
        </w:rPr>
        <w:t>厂区内设置有效容积为1850m</w:t>
      </w:r>
      <w:r>
        <w:rPr>
          <w:rFonts w:hint="eastAsia"/>
          <w:vertAlign w:val="superscript"/>
        </w:rPr>
        <w:t>3</w:t>
      </w:r>
      <w:r>
        <w:rPr>
          <w:rFonts w:hint="eastAsia"/>
        </w:rPr>
        <w:t>的事故应急池能满足本工程事故废水收集要求</w:t>
      </w:r>
      <w:r>
        <w:t>，</w:t>
      </w:r>
      <w:r>
        <w:rPr>
          <w:rFonts w:hint="eastAsia"/>
        </w:rPr>
        <w:t>可</w:t>
      </w:r>
      <w:r>
        <w:t>确保事故废水不外流，实现将污染控制在厂区内的目的。</w:t>
      </w:r>
    </w:p>
    <w:p>
      <w:pPr>
        <w:ind w:firstLine="480"/>
        <w:rPr>
          <w:rFonts w:eastAsiaTheme="minorEastAsia"/>
        </w:rPr>
      </w:pPr>
      <w:r>
        <w:rPr>
          <w:rFonts w:hint="eastAsia"/>
        </w:rPr>
        <w:t>综上所述，通过“装置级、工厂级、片区级、经开区级、流域级”的五级事故废水防控体系后，即便发生事故，有足够的容纳设施和防流失设施，确保各类废水不外流，事故废水不排入长江。</w:t>
      </w:r>
    </w:p>
    <w:p>
      <w:pPr>
        <w:pStyle w:val="4"/>
        <w:spacing w:before="156" w:after="156"/>
      </w:pPr>
      <w:bookmarkStart w:id="158" w:name="_Toc84844321"/>
      <w:r>
        <w:rPr>
          <w:rFonts w:hint="eastAsia"/>
        </w:rPr>
        <w:t>6.8.3地下水环境风险分析</w:t>
      </w:r>
      <w:bookmarkEnd w:id="158"/>
    </w:p>
    <w:p>
      <w:pPr>
        <w:ind w:firstLine="480"/>
      </w:pPr>
      <w:r>
        <w:rPr>
          <w:rFonts w:hint="eastAsia"/>
        </w:rPr>
        <w:t>考虑废水处理站调节池</w:t>
      </w:r>
      <w:r>
        <w:t>底防渗层破损，导致</w:t>
      </w:r>
      <w:r>
        <w:rPr>
          <w:rFonts w:hint="eastAsia"/>
        </w:rPr>
        <w:t>地坪清洗水</w:t>
      </w:r>
      <w:r>
        <w:t>通过裂口渗入地下水，</w:t>
      </w:r>
      <w:r>
        <w:rPr>
          <w:rFonts w:hint="eastAsia"/>
        </w:rPr>
        <w:t>引起地下水污染。</w:t>
      </w:r>
    </w:p>
    <w:p>
      <w:pPr>
        <w:ind w:firstLine="480"/>
      </w:pPr>
      <w:r>
        <w:rPr>
          <w:rFonts w:hint="eastAsia"/>
        </w:rPr>
        <w:t>根据“5.2.4地下水环境影响分析”预测结果可知，地坪清洗水一旦泄漏进入地下水系统，将会对局部地下水造成污染，100d时，最大超标运移距离为COD：44.5m、NH</w:t>
      </w:r>
      <w:r>
        <w:rPr>
          <w:rFonts w:hint="eastAsia"/>
          <w:vertAlign w:val="subscript"/>
        </w:rPr>
        <w:t>3</w:t>
      </w:r>
      <w:r>
        <w:rPr>
          <w:rFonts w:hint="eastAsia"/>
        </w:rPr>
        <w:t>-N：54.5m；1000d时，最大超标运移距离为COD：166m、NH</w:t>
      </w:r>
      <w:r>
        <w:rPr>
          <w:rFonts w:hint="eastAsia"/>
          <w:vertAlign w:val="subscript"/>
        </w:rPr>
        <w:t>3</w:t>
      </w:r>
      <w:r>
        <w:rPr>
          <w:rFonts w:hint="eastAsia"/>
        </w:rPr>
        <w:t>-N：198m，该范围内不存在地下水环境保护目标，且不会流入长江。评价区域周边居民已全部使用自来水作为饮用水源，厂址区污染物的泄露也不会对周边居民饮用水水源的造成影响。</w:t>
      </w:r>
    </w:p>
    <w:p>
      <w:pPr>
        <w:ind w:firstLine="480"/>
      </w:pPr>
      <w:r>
        <w:rPr>
          <w:rFonts w:hint="eastAsia"/>
        </w:rPr>
        <w:t>为了更好地控制对地下水的影响，当发生污染物渗漏事故后，必须立即启动应急预案，参照预测结果，分析污染事故的发展趋势，并提出下一步预防和防治措施，迅速控制或切断事件灾害链，对污水进行封闭、截流，抽出污水送污水处理厂集中处理，使污染地下水扩散得到有效抑制，最大限度地保护下游地下水水质安全，将损失降到最低限度。</w:t>
      </w:r>
    </w:p>
    <w:p>
      <w:pPr>
        <w:ind w:firstLine="480"/>
      </w:pPr>
      <w:r>
        <w:rPr>
          <w:rFonts w:hint="eastAsia"/>
        </w:rPr>
        <w:t>此外，建设单位通过加强管理，并采取可行的地下水防渗措施，在下游厂界处设置地下水监控井，可有效避免上述事情的发生，对地下水造成污染的概率非常小。</w:t>
      </w:r>
    </w:p>
    <w:p>
      <w:pPr>
        <w:pStyle w:val="4"/>
        <w:spacing w:before="156" w:after="156"/>
      </w:pPr>
      <w:bookmarkStart w:id="159" w:name="_Toc84844322"/>
      <w:r>
        <w:rPr>
          <w:rFonts w:hint="eastAsia"/>
        </w:rPr>
        <w:t>6.8.4环境风险评价</w:t>
      </w:r>
      <w:bookmarkEnd w:id="159"/>
    </w:p>
    <w:p>
      <w:pPr>
        <w:ind w:firstLine="480"/>
        <w:rPr>
          <w:rFonts w:eastAsiaTheme="minorEastAsia"/>
        </w:rPr>
      </w:pPr>
      <w:r>
        <w:rPr>
          <w:rFonts w:hint="eastAsia"/>
        </w:rPr>
        <w:t>由预测结果可知：液氨管道泄漏后，最不利气象条件下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155</w:t>
      </w:r>
      <w:r>
        <w:t>m；</w:t>
      </w:r>
      <w:r>
        <w:rPr>
          <w:rFonts w:hint="eastAsia"/>
        </w:rPr>
        <w:t>天然气（甲烷）发生火灾燃爆事故次生的CO扩散后最不利气象条件下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100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90</w:t>
      </w:r>
      <w:r>
        <w:rPr>
          <w:rFonts w:eastAsiaTheme="minorEastAsia"/>
        </w:rPr>
        <w:t>m</w:t>
      </w:r>
      <w:r>
        <w:rPr>
          <w:rFonts w:hint="eastAsia" w:eastAsiaTheme="minorEastAsia"/>
        </w:rPr>
        <w:t>。</w:t>
      </w:r>
    </w:p>
    <w:p>
      <w:pPr>
        <w:ind w:firstLine="480"/>
      </w:pPr>
      <w:r>
        <w:rPr>
          <w:rFonts w:hint="eastAsia" w:eastAsiaTheme="minorEastAsia"/>
        </w:rPr>
        <w:t>液氨管道泄漏，敏感点最大浓度出现在</w:t>
      </w:r>
      <w:r>
        <w:rPr>
          <w:rFonts w:hint="eastAsia"/>
        </w:rPr>
        <w:t>龙口村居民点</w:t>
      </w:r>
      <w:r>
        <w:rPr>
          <w:rFonts w:hint="eastAsia" w:eastAsiaTheme="minorEastAsia"/>
        </w:rPr>
        <w:t>，浓度为</w:t>
      </w:r>
      <w:r>
        <w:rPr>
          <w:rFonts w:hint="eastAsia"/>
        </w:rPr>
        <w:t xml:space="preserve">1.0640 </w:t>
      </w:r>
      <w:r>
        <w:rPr>
          <w:rFonts w:eastAsiaTheme="minorEastAsia"/>
        </w:rPr>
        <w:t>mg/m</w:t>
      </w:r>
      <w:r>
        <w:rPr>
          <w:rFonts w:eastAsiaTheme="minorEastAsia"/>
          <w:vertAlign w:val="superscript"/>
        </w:rPr>
        <w:t>3</w:t>
      </w:r>
      <w:r>
        <w:rPr>
          <w:rFonts w:eastAsiaTheme="minorEastAsia"/>
        </w:rPr>
        <w:t>，低于毒性终点浓度-1（</w:t>
      </w:r>
      <w:r>
        <w:rPr>
          <w:rFonts w:hint="eastAsia" w:eastAsiaTheme="minorEastAsia"/>
        </w:rPr>
        <w:t>770</w:t>
      </w:r>
      <w:r>
        <w:rPr>
          <w:rFonts w:eastAsiaTheme="minorEastAsia"/>
        </w:rPr>
        <w:t>mg/m</w:t>
      </w:r>
      <w:r>
        <w:rPr>
          <w:rFonts w:eastAsiaTheme="minorEastAsia"/>
          <w:vertAlign w:val="superscript"/>
        </w:rPr>
        <w:t>3</w:t>
      </w:r>
      <w:r>
        <w:rPr>
          <w:rFonts w:eastAsiaTheme="minorEastAsia"/>
        </w:rPr>
        <w:t>）和毒性终点浓度-2（</w:t>
      </w:r>
      <w:r>
        <w:rPr>
          <w:rFonts w:hint="eastAsia" w:eastAsiaTheme="minorEastAsia"/>
        </w:rPr>
        <w:t>110</w:t>
      </w:r>
      <w:r>
        <w:rPr>
          <w:rFonts w:eastAsiaTheme="minorEastAsia"/>
        </w:rPr>
        <w:t>mg/m</w:t>
      </w:r>
      <w:r>
        <w:rPr>
          <w:rFonts w:eastAsiaTheme="minorEastAsia"/>
          <w:vertAlign w:val="superscript"/>
        </w:rPr>
        <w:t>3</w:t>
      </w:r>
      <w:r>
        <w:rPr>
          <w:rFonts w:eastAsiaTheme="minorEastAsia"/>
        </w:rPr>
        <w:t>）；</w:t>
      </w:r>
      <w:r>
        <w:rPr>
          <w:rFonts w:hint="eastAsia"/>
        </w:rPr>
        <w:t>天然气（甲烷）</w:t>
      </w:r>
      <w:r>
        <w:rPr>
          <w:rFonts w:eastAsiaTheme="minorEastAsia"/>
        </w:rPr>
        <w:t>燃爆次生CO</w:t>
      </w:r>
      <w:r>
        <w:rPr>
          <w:rFonts w:hint="eastAsia" w:eastAsiaTheme="minorEastAsia"/>
        </w:rPr>
        <w:t>扩散</w:t>
      </w:r>
      <w:r>
        <w:rPr>
          <w:rFonts w:eastAsiaTheme="minorEastAsia"/>
        </w:rPr>
        <w:t>，敏感点最大浓度出现在</w:t>
      </w:r>
      <w:r>
        <w:t>长寿经开区管委会</w:t>
      </w:r>
      <w:r>
        <w:rPr>
          <w:rFonts w:eastAsiaTheme="minorEastAsia"/>
        </w:rPr>
        <w:t>，浓度为</w:t>
      </w:r>
      <w:r>
        <w:rPr>
          <w:rFonts w:hint="eastAsia"/>
        </w:rPr>
        <w:t xml:space="preserve">1.1145 </w:t>
      </w:r>
      <w:r>
        <w:rPr>
          <w:rFonts w:eastAsiaTheme="minorEastAsia"/>
        </w:rPr>
        <w:t>mg/m</w:t>
      </w:r>
      <w:r>
        <w:rPr>
          <w:rFonts w:eastAsiaTheme="minorEastAsia"/>
          <w:vertAlign w:val="superscript"/>
        </w:rPr>
        <w:t>3</w:t>
      </w:r>
      <w:r>
        <w:rPr>
          <w:rFonts w:eastAsiaTheme="minorEastAsia"/>
        </w:rPr>
        <w:t>，低于毒性终点浓度-1（380mg/m</w:t>
      </w:r>
      <w:r>
        <w:rPr>
          <w:rFonts w:eastAsiaTheme="minorEastAsia"/>
          <w:vertAlign w:val="superscript"/>
        </w:rPr>
        <w:t>3</w:t>
      </w:r>
      <w:r>
        <w:rPr>
          <w:rFonts w:eastAsiaTheme="minorEastAsia"/>
        </w:rPr>
        <w:t>）毒性终点浓度-2（95mg/m</w:t>
      </w:r>
      <w:r>
        <w:rPr>
          <w:rFonts w:eastAsiaTheme="minorEastAsia"/>
          <w:vertAlign w:val="superscript"/>
        </w:rPr>
        <w:t>3</w:t>
      </w:r>
      <w:r>
        <w:rPr>
          <w:rFonts w:eastAsiaTheme="minorEastAsia"/>
        </w:rPr>
        <w:t>））。</w:t>
      </w:r>
    </w:p>
    <w:p>
      <w:pPr>
        <w:ind w:firstLine="480"/>
      </w:pPr>
      <w:r>
        <w:t>拟建项目在事故状况下</w:t>
      </w:r>
      <w:r>
        <w:rPr>
          <w:rFonts w:hint="eastAsia"/>
        </w:rPr>
        <w:t>污水处理站调节池底部防渗层出现破损，高浓废水渗入污染地下水，污染物迁移100天、1000天及10年时，</w:t>
      </w:r>
      <w:r>
        <w:rPr>
          <w:rFonts w:eastAsiaTheme="minorEastAsia"/>
        </w:rPr>
        <w:t>将会对局部地下水造成污染</w:t>
      </w:r>
      <w:r>
        <w:rPr>
          <w:rFonts w:hint="eastAsia" w:eastAsiaTheme="minorEastAsia"/>
        </w:rPr>
        <w:t>，但是</w:t>
      </w:r>
      <w:r>
        <w:rPr>
          <w:rFonts w:hint="eastAsia"/>
        </w:rPr>
        <w:t>不会流入到长江，对长江的影响小；评价区域周边居民已全部使用自来水作为饮用水源，厂址区污染物的泄露也不会对周边居民饮用水水源的造成影响。</w:t>
      </w:r>
    </w:p>
    <w:p>
      <w:pPr>
        <w:ind w:firstLine="480"/>
      </w:pPr>
      <w:r>
        <w:rPr>
          <w:rFonts w:hint="eastAsia"/>
        </w:rPr>
        <w:t>拟建项目事故源项及后果基本信息详见下表6.8-8和6.8-9。</w:t>
      </w:r>
    </w:p>
    <w:p>
      <w:pPr>
        <w:pStyle w:val="41"/>
      </w:pPr>
      <w:r>
        <w:rPr>
          <w:rFonts w:hint="eastAsia"/>
        </w:rPr>
        <w:t>表6.8-8  液氨管道泄漏事故后果基本信息表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99"/>
        <w:gridCol w:w="334"/>
        <w:gridCol w:w="2033"/>
        <w:gridCol w:w="1018"/>
        <w:gridCol w:w="295"/>
        <w:gridCol w:w="1123"/>
        <w:gridCol w:w="61"/>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000" w:type="pct"/>
            <w:gridSpan w:val="9"/>
            <w:shd w:val="clear" w:color="auto" w:fill="auto"/>
            <w:vAlign w:val="center"/>
          </w:tcPr>
          <w:p>
            <w:pPr>
              <w:pStyle w:val="42"/>
            </w:pPr>
            <w:r>
              <w:rPr>
                <w:rFonts w:hint="eastAsia"/>
              </w:rPr>
              <w:t>液氨</w:t>
            </w:r>
            <w:r>
              <w:t>泄漏风险事故情形分析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代表性风险事故情形描述</w:t>
            </w:r>
          </w:p>
        </w:tc>
        <w:tc>
          <w:tcPr>
            <w:tcW w:w="4105" w:type="pct"/>
            <w:gridSpan w:val="8"/>
            <w:shd w:val="clear" w:color="auto" w:fill="auto"/>
            <w:vAlign w:val="center"/>
          </w:tcPr>
          <w:p>
            <w:pPr>
              <w:pStyle w:val="42"/>
            </w:pPr>
            <w:r>
              <w:rPr>
                <w:rFonts w:hint="eastAsia"/>
                <w:sz w:val="18"/>
                <w:szCs w:val="18"/>
              </w:rPr>
              <w:t>液氨管道破损</w:t>
            </w:r>
            <w:r>
              <w:rPr>
                <w:sz w:val="18"/>
                <w:szCs w:val="18"/>
              </w:rPr>
              <w:t>，</w:t>
            </w:r>
            <w:r>
              <w:rPr>
                <w:rFonts w:hint="eastAsia"/>
                <w:sz w:val="18"/>
                <w:szCs w:val="18"/>
              </w:rPr>
              <w:t>10%孔径泄漏</w:t>
            </w:r>
            <w:r>
              <w:rPr>
                <w:sz w:val="18"/>
                <w:szCs w:val="18"/>
              </w:rPr>
              <w:t>，</w:t>
            </w:r>
            <w:r>
              <w:rPr>
                <w:rFonts w:hint="eastAsia"/>
                <w:sz w:val="18"/>
                <w:szCs w:val="18"/>
              </w:rPr>
              <w:t>液氨输送管道设压力监控系统，泄漏后压力下降，可根据泄漏点位置，通过切断两侧阀门，另外管线设计有氮置换排放口，可将管线中的液氨置换排放至氨火炬系统，以控制和处置管道泄漏影响。本次评价泄漏时间设定为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环境风险类型</w:t>
            </w:r>
          </w:p>
        </w:tc>
        <w:tc>
          <w:tcPr>
            <w:tcW w:w="4105" w:type="pct"/>
            <w:gridSpan w:val="8"/>
            <w:shd w:val="clear" w:color="auto" w:fill="auto"/>
            <w:vAlign w:val="center"/>
          </w:tcPr>
          <w:p>
            <w:pPr>
              <w:pStyle w:val="42"/>
            </w:pPr>
            <w: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泄漏设备类型</w:t>
            </w:r>
          </w:p>
        </w:tc>
        <w:tc>
          <w:tcPr>
            <w:tcW w:w="665" w:type="pct"/>
            <w:gridSpan w:val="2"/>
            <w:shd w:val="clear" w:color="auto" w:fill="auto"/>
            <w:vAlign w:val="center"/>
          </w:tcPr>
          <w:p>
            <w:pPr>
              <w:pStyle w:val="42"/>
            </w:pPr>
            <w:r>
              <w:rPr>
                <w:rFonts w:hint="eastAsia"/>
              </w:rPr>
              <w:t>液氨管道</w:t>
            </w:r>
          </w:p>
        </w:tc>
        <w:tc>
          <w:tcPr>
            <w:tcW w:w="1193" w:type="pct"/>
            <w:shd w:val="clear" w:color="auto" w:fill="auto"/>
            <w:vAlign w:val="center"/>
          </w:tcPr>
          <w:p>
            <w:pPr>
              <w:pStyle w:val="42"/>
            </w:pPr>
            <w:r>
              <w:t>操作温度/</w:t>
            </w:r>
            <w:r>
              <w:rPr>
                <w:rFonts w:hint="eastAsia" w:ascii="宋体" w:hAnsi="宋体" w:cs="宋体"/>
              </w:rPr>
              <w:t>℃</w:t>
            </w:r>
          </w:p>
        </w:tc>
        <w:tc>
          <w:tcPr>
            <w:tcW w:w="597" w:type="pct"/>
            <w:shd w:val="clear" w:color="auto" w:fill="auto"/>
            <w:vAlign w:val="center"/>
          </w:tcPr>
          <w:p>
            <w:pPr>
              <w:pStyle w:val="42"/>
            </w:pPr>
            <w:r>
              <w:rPr>
                <w:rFonts w:hint="eastAsia"/>
              </w:rPr>
              <w:t>50</w:t>
            </w:r>
          </w:p>
        </w:tc>
        <w:tc>
          <w:tcPr>
            <w:tcW w:w="868" w:type="pct"/>
            <w:gridSpan w:val="3"/>
            <w:shd w:val="clear" w:color="auto" w:fill="auto"/>
            <w:vAlign w:val="center"/>
          </w:tcPr>
          <w:p>
            <w:pPr>
              <w:pStyle w:val="42"/>
            </w:pPr>
            <w:r>
              <w:t>操作压力/MPa</w:t>
            </w:r>
          </w:p>
        </w:tc>
        <w:tc>
          <w:tcPr>
            <w:tcW w:w="782" w:type="pct"/>
            <w:shd w:val="clear" w:color="auto" w:fill="auto"/>
            <w:vAlign w:val="center"/>
          </w:tcPr>
          <w:p>
            <w:pPr>
              <w:pStyle w:val="42"/>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泄漏危险物质</w:t>
            </w:r>
          </w:p>
        </w:tc>
        <w:tc>
          <w:tcPr>
            <w:tcW w:w="665" w:type="pct"/>
            <w:gridSpan w:val="2"/>
            <w:shd w:val="clear" w:color="auto" w:fill="auto"/>
            <w:vAlign w:val="center"/>
          </w:tcPr>
          <w:p>
            <w:pPr>
              <w:pStyle w:val="42"/>
            </w:pPr>
            <w:r>
              <w:rPr>
                <w:rFonts w:hint="eastAsia"/>
              </w:rPr>
              <w:t>氨</w:t>
            </w:r>
          </w:p>
        </w:tc>
        <w:tc>
          <w:tcPr>
            <w:tcW w:w="1193" w:type="pct"/>
            <w:shd w:val="clear" w:color="auto" w:fill="auto"/>
            <w:vAlign w:val="center"/>
          </w:tcPr>
          <w:p>
            <w:pPr>
              <w:pStyle w:val="42"/>
            </w:pPr>
            <w:r>
              <w:t>最大存在量/kg</w:t>
            </w:r>
          </w:p>
        </w:tc>
        <w:tc>
          <w:tcPr>
            <w:tcW w:w="597" w:type="pct"/>
            <w:shd w:val="clear" w:color="auto" w:fill="auto"/>
            <w:vAlign w:val="center"/>
          </w:tcPr>
          <w:p>
            <w:pPr>
              <w:pStyle w:val="42"/>
            </w:pPr>
            <w:r>
              <w:rPr>
                <w:rFonts w:hint="eastAsia"/>
              </w:rPr>
              <w:t>/</w:t>
            </w:r>
          </w:p>
        </w:tc>
        <w:tc>
          <w:tcPr>
            <w:tcW w:w="868" w:type="pct"/>
            <w:gridSpan w:val="3"/>
            <w:shd w:val="clear" w:color="auto" w:fill="auto"/>
            <w:vAlign w:val="center"/>
          </w:tcPr>
          <w:p>
            <w:pPr>
              <w:pStyle w:val="42"/>
            </w:pPr>
            <w:r>
              <w:t>泄漏孔径/mm</w:t>
            </w:r>
          </w:p>
        </w:tc>
        <w:tc>
          <w:tcPr>
            <w:tcW w:w="782" w:type="pct"/>
            <w:shd w:val="clear" w:color="auto" w:fill="auto"/>
            <w:vAlign w:val="center"/>
          </w:tcPr>
          <w:p>
            <w:pPr>
              <w:pStyle w:val="42"/>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泄漏速率</w:t>
            </w:r>
          </w:p>
          <w:p>
            <w:pPr>
              <w:pStyle w:val="42"/>
            </w:pPr>
            <w:r>
              <w:t>（kg/s）</w:t>
            </w:r>
          </w:p>
        </w:tc>
        <w:tc>
          <w:tcPr>
            <w:tcW w:w="665" w:type="pct"/>
            <w:gridSpan w:val="2"/>
            <w:shd w:val="clear" w:color="auto" w:fill="auto"/>
            <w:vAlign w:val="center"/>
          </w:tcPr>
          <w:p>
            <w:pPr>
              <w:pStyle w:val="42"/>
            </w:pPr>
            <w:r>
              <w:rPr>
                <w:rFonts w:hint="eastAsia"/>
              </w:rPr>
              <w:t>4.279</w:t>
            </w:r>
          </w:p>
        </w:tc>
        <w:tc>
          <w:tcPr>
            <w:tcW w:w="1193" w:type="pct"/>
            <w:shd w:val="clear" w:color="auto" w:fill="auto"/>
            <w:vAlign w:val="center"/>
          </w:tcPr>
          <w:p>
            <w:pPr>
              <w:pStyle w:val="42"/>
            </w:pPr>
            <w:r>
              <w:t>泄漏时间/min</w:t>
            </w:r>
          </w:p>
        </w:tc>
        <w:tc>
          <w:tcPr>
            <w:tcW w:w="597" w:type="pct"/>
            <w:shd w:val="clear" w:color="auto" w:fill="auto"/>
            <w:vAlign w:val="center"/>
          </w:tcPr>
          <w:p>
            <w:pPr>
              <w:pStyle w:val="42"/>
            </w:pPr>
            <w:r>
              <w:rPr>
                <w:rFonts w:hint="eastAsia"/>
              </w:rPr>
              <w:t>10</w:t>
            </w:r>
          </w:p>
        </w:tc>
        <w:tc>
          <w:tcPr>
            <w:tcW w:w="868" w:type="pct"/>
            <w:gridSpan w:val="3"/>
            <w:shd w:val="clear" w:color="auto" w:fill="auto"/>
            <w:vAlign w:val="center"/>
          </w:tcPr>
          <w:p>
            <w:pPr>
              <w:pStyle w:val="42"/>
            </w:pPr>
            <w:r>
              <w:t>泄漏量/kg</w:t>
            </w:r>
          </w:p>
        </w:tc>
        <w:tc>
          <w:tcPr>
            <w:tcW w:w="782" w:type="pct"/>
            <w:shd w:val="clear" w:color="auto" w:fill="auto"/>
            <w:vAlign w:val="center"/>
          </w:tcPr>
          <w:p>
            <w:pPr>
              <w:pStyle w:val="42"/>
            </w:pPr>
            <w:r>
              <w:rPr>
                <w:rFonts w:hint="eastAsia"/>
                <w:sz w:val="18"/>
                <w:szCs w:val="18"/>
              </w:rPr>
              <w:t>2567.4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shd w:val="clear" w:color="auto" w:fill="auto"/>
            <w:vAlign w:val="center"/>
          </w:tcPr>
          <w:p>
            <w:pPr>
              <w:pStyle w:val="42"/>
            </w:pPr>
            <w:r>
              <w:t>泄漏高度/m</w:t>
            </w:r>
          </w:p>
        </w:tc>
        <w:tc>
          <w:tcPr>
            <w:tcW w:w="665" w:type="pct"/>
            <w:gridSpan w:val="2"/>
            <w:shd w:val="clear" w:color="auto" w:fill="auto"/>
            <w:vAlign w:val="center"/>
          </w:tcPr>
          <w:p>
            <w:pPr>
              <w:pStyle w:val="42"/>
            </w:pPr>
            <w:r>
              <w:rPr>
                <w:rFonts w:hint="eastAsia"/>
              </w:rPr>
              <w:t>3</w:t>
            </w:r>
          </w:p>
        </w:tc>
        <w:tc>
          <w:tcPr>
            <w:tcW w:w="1193" w:type="pct"/>
            <w:shd w:val="clear" w:color="auto" w:fill="auto"/>
            <w:vAlign w:val="center"/>
          </w:tcPr>
          <w:p>
            <w:pPr>
              <w:pStyle w:val="42"/>
            </w:pPr>
            <w:r>
              <w:t>泄漏液体蒸发量/kg</w:t>
            </w:r>
          </w:p>
        </w:tc>
        <w:tc>
          <w:tcPr>
            <w:tcW w:w="597" w:type="pct"/>
            <w:shd w:val="clear" w:color="auto" w:fill="auto"/>
            <w:vAlign w:val="center"/>
          </w:tcPr>
          <w:p>
            <w:pPr>
              <w:pStyle w:val="42"/>
            </w:pPr>
            <w:r>
              <w:rPr>
                <w:rFonts w:hint="eastAsia"/>
              </w:rPr>
              <w:t>1.117</w:t>
            </w:r>
          </w:p>
        </w:tc>
        <w:tc>
          <w:tcPr>
            <w:tcW w:w="868" w:type="pct"/>
            <w:gridSpan w:val="3"/>
            <w:shd w:val="clear" w:color="auto" w:fill="auto"/>
            <w:vAlign w:val="center"/>
          </w:tcPr>
          <w:p>
            <w:pPr>
              <w:pStyle w:val="42"/>
            </w:pPr>
            <w:r>
              <w:t>泄漏频率</w:t>
            </w:r>
          </w:p>
        </w:tc>
        <w:tc>
          <w:tcPr>
            <w:tcW w:w="782" w:type="pct"/>
            <w:shd w:val="clear" w:color="auto" w:fill="auto"/>
            <w:vAlign w:val="center"/>
          </w:tcPr>
          <w:p>
            <w:pPr>
              <w:pStyle w:val="42"/>
            </w:pPr>
            <w:r>
              <w:rPr>
                <w:rFonts w:hint="eastAsia"/>
              </w:rPr>
              <w:t>2.0</w:t>
            </w:r>
            <w:r>
              <w:t>×10</w:t>
            </w:r>
            <w:r>
              <w:rPr>
                <w:vertAlign w:val="superscript"/>
              </w:rPr>
              <w:t>-6</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shd w:val="clear" w:color="auto" w:fill="auto"/>
            <w:vAlign w:val="center"/>
          </w:tcPr>
          <w:p>
            <w:pPr>
              <w:pStyle w:val="42"/>
            </w:pPr>
            <w:r>
              <w:t>事故后果预测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restart"/>
            <w:shd w:val="clear" w:color="auto" w:fill="auto"/>
            <w:vAlign w:val="center"/>
          </w:tcPr>
          <w:p>
            <w:pPr>
              <w:pStyle w:val="42"/>
            </w:pPr>
            <w:r>
              <w:t>大气</w:t>
            </w:r>
          </w:p>
        </w:tc>
        <w:tc>
          <w:tcPr>
            <w:tcW w:w="469" w:type="pct"/>
            <w:shd w:val="clear" w:color="auto" w:fill="auto"/>
            <w:vAlign w:val="center"/>
          </w:tcPr>
          <w:p>
            <w:pPr>
              <w:pStyle w:val="42"/>
            </w:pPr>
            <w:r>
              <w:t>危险物质</w:t>
            </w:r>
          </w:p>
        </w:tc>
        <w:tc>
          <w:tcPr>
            <w:tcW w:w="3636" w:type="pct"/>
            <w:gridSpan w:val="7"/>
            <w:shd w:val="clear" w:color="auto" w:fill="auto"/>
            <w:vAlign w:val="center"/>
          </w:tcPr>
          <w:p>
            <w:pPr>
              <w:pStyle w:val="42"/>
            </w:pPr>
            <w:r>
              <w:t>大气环境影响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continue"/>
            <w:shd w:val="clear" w:color="auto" w:fill="auto"/>
            <w:vAlign w:val="center"/>
          </w:tcPr>
          <w:p>
            <w:pPr>
              <w:pStyle w:val="42"/>
            </w:pPr>
          </w:p>
        </w:tc>
        <w:tc>
          <w:tcPr>
            <w:tcW w:w="469" w:type="pct"/>
            <w:vMerge w:val="restart"/>
            <w:shd w:val="clear" w:color="auto" w:fill="auto"/>
            <w:vAlign w:val="center"/>
          </w:tcPr>
          <w:p>
            <w:pPr>
              <w:pStyle w:val="42"/>
            </w:pPr>
            <w:r>
              <w:rPr>
                <w:rFonts w:hint="eastAsia"/>
              </w:rPr>
              <w:t>氨</w:t>
            </w:r>
          </w:p>
        </w:tc>
        <w:tc>
          <w:tcPr>
            <w:tcW w:w="1389" w:type="pct"/>
            <w:gridSpan w:val="2"/>
            <w:shd w:val="clear" w:color="auto" w:fill="auto"/>
            <w:vAlign w:val="center"/>
          </w:tcPr>
          <w:p>
            <w:pPr>
              <w:pStyle w:val="42"/>
            </w:pPr>
            <w:r>
              <w:t>指标</w:t>
            </w:r>
          </w:p>
        </w:tc>
        <w:tc>
          <w:tcPr>
            <w:tcW w:w="770" w:type="pct"/>
            <w:gridSpan w:val="2"/>
            <w:shd w:val="clear" w:color="auto" w:fill="auto"/>
            <w:vAlign w:val="center"/>
          </w:tcPr>
          <w:p>
            <w:pPr>
              <w:pStyle w:val="42"/>
            </w:pPr>
            <w:r>
              <w:t>浓度值（mg/m</w:t>
            </w:r>
            <w:r>
              <w:rPr>
                <w:vertAlign w:val="superscript"/>
              </w:rPr>
              <w:t>3</w:t>
            </w:r>
            <w:r>
              <w:t>）</w:t>
            </w:r>
          </w:p>
        </w:tc>
        <w:tc>
          <w:tcPr>
            <w:tcW w:w="659" w:type="pct"/>
            <w:shd w:val="clear" w:color="auto" w:fill="auto"/>
            <w:vAlign w:val="center"/>
          </w:tcPr>
          <w:p>
            <w:pPr>
              <w:pStyle w:val="42"/>
            </w:pPr>
            <w:r>
              <w:t>最远影响距离/m</w:t>
            </w:r>
          </w:p>
        </w:tc>
        <w:tc>
          <w:tcPr>
            <w:tcW w:w="818" w:type="pct"/>
            <w:gridSpan w:val="2"/>
            <w:shd w:val="clear" w:color="auto" w:fill="auto"/>
            <w:vAlign w:val="center"/>
          </w:tcPr>
          <w:p>
            <w:pPr>
              <w:pStyle w:val="42"/>
            </w:pPr>
            <w:r>
              <w:t>到达时间/min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continue"/>
            <w:shd w:val="clear" w:color="auto" w:fill="auto"/>
            <w:vAlign w:val="center"/>
          </w:tcPr>
          <w:p>
            <w:pPr>
              <w:pStyle w:val="42"/>
            </w:pPr>
          </w:p>
        </w:tc>
        <w:tc>
          <w:tcPr>
            <w:tcW w:w="469" w:type="pct"/>
            <w:vMerge w:val="continue"/>
            <w:shd w:val="clear" w:color="auto" w:fill="auto"/>
            <w:vAlign w:val="center"/>
          </w:tcPr>
          <w:p>
            <w:pPr>
              <w:pStyle w:val="42"/>
            </w:pPr>
          </w:p>
        </w:tc>
        <w:tc>
          <w:tcPr>
            <w:tcW w:w="1389" w:type="pct"/>
            <w:gridSpan w:val="2"/>
            <w:shd w:val="clear" w:color="auto" w:fill="auto"/>
            <w:vAlign w:val="center"/>
          </w:tcPr>
          <w:p>
            <w:pPr>
              <w:pStyle w:val="42"/>
            </w:pPr>
            <w:r>
              <w:t>大气毒性终点浓度-1</w:t>
            </w:r>
          </w:p>
        </w:tc>
        <w:tc>
          <w:tcPr>
            <w:tcW w:w="770" w:type="pct"/>
            <w:gridSpan w:val="2"/>
            <w:shd w:val="clear" w:color="auto" w:fill="auto"/>
            <w:vAlign w:val="center"/>
          </w:tcPr>
          <w:p>
            <w:pPr>
              <w:pStyle w:val="42"/>
            </w:pPr>
            <w:r>
              <w:rPr>
                <w:rFonts w:hint="eastAsia"/>
              </w:rPr>
              <w:t>770</w:t>
            </w:r>
          </w:p>
        </w:tc>
        <w:tc>
          <w:tcPr>
            <w:tcW w:w="659" w:type="pct"/>
            <w:shd w:val="clear" w:color="auto" w:fill="auto"/>
            <w:vAlign w:val="center"/>
          </w:tcPr>
          <w:p>
            <w:pPr>
              <w:pStyle w:val="42"/>
            </w:pPr>
            <w:r>
              <w:rPr>
                <w:rFonts w:hint="eastAsia"/>
              </w:rPr>
              <w:t>/</w:t>
            </w:r>
          </w:p>
        </w:tc>
        <w:tc>
          <w:tcPr>
            <w:tcW w:w="818" w:type="pct"/>
            <w:gridSpan w:val="2"/>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continue"/>
            <w:shd w:val="clear" w:color="auto" w:fill="auto"/>
            <w:vAlign w:val="center"/>
          </w:tcPr>
          <w:p>
            <w:pPr>
              <w:pStyle w:val="42"/>
            </w:pPr>
          </w:p>
        </w:tc>
        <w:tc>
          <w:tcPr>
            <w:tcW w:w="469" w:type="pct"/>
            <w:vMerge w:val="continue"/>
            <w:shd w:val="clear" w:color="auto" w:fill="auto"/>
            <w:vAlign w:val="center"/>
          </w:tcPr>
          <w:p>
            <w:pPr>
              <w:pStyle w:val="42"/>
            </w:pPr>
          </w:p>
        </w:tc>
        <w:tc>
          <w:tcPr>
            <w:tcW w:w="1389" w:type="pct"/>
            <w:gridSpan w:val="2"/>
            <w:shd w:val="clear" w:color="auto" w:fill="auto"/>
            <w:vAlign w:val="center"/>
          </w:tcPr>
          <w:p>
            <w:pPr>
              <w:pStyle w:val="42"/>
            </w:pPr>
            <w:r>
              <w:t>大气毒性终点浓度-2</w:t>
            </w:r>
          </w:p>
        </w:tc>
        <w:tc>
          <w:tcPr>
            <w:tcW w:w="770" w:type="pct"/>
            <w:gridSpan w:val="2"/>
            <w:shd w:val="clear" w:color="auto" w:fill="auto"/>
            <w:vAlign w:val="center"/>
          </w:tcPr>
          <w:p>
            <w:pPr>
              <w:pStyle w:val="42"/>
            </w:pPr>
            <w:r>
              <w:rPr>
                <w:rFonts w:hint="eastAsia"/>
              </w:rPr>
              <w:t>110</w:t>
            </w:r>
          </w:p>
        </w:tc>
        <w:tc>
          <w:tcPr>
            <w:tcW w:w="659" w:type="pct"/>
            <w:shd w:val="clear" w:color="auto" w:fill="auto"/>
            <w:vAlign w:val="center"/>
          </w:tcPr>
          <w:p>
            <w:pPr>
              <w:pStyle w:val="42"/>
            </w:pPr>
            <w:r>
              <w:rPr>
                <w:rFonts w:hint="eastAsia"/>
              </w:rPr>
              <w:t>155</w:t>
            </w:r>
          </w:p>
        </w:tc>
        <w:tc>
          <w:tcPr>
            <w:tcW w:w="818" w:type="pct"/>
            <w:gridSpan w:val="2"/>
            <w:shd w:val="clear" w:color="auto" w:fill="auto"/>
            <w:vAlign w:val="center"/>
          </w:tcPr>
          <w:p>
            <w:pPr>
              <w:pStyle w:val="42"/>
            </w:pPr>
            <w:r>
              <w:rPr>
                <w:rFonts w:hint="eastAsia"/>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continue"/>
            <w:shd w:val="clear" w:color="auto" w:fill="auto"/>
            <w:vAlign w:val="center"/>
          </w:tcPr>
          <w:p>
            <w:pPr>
              <w:pStyle w:val="42"/>
            </w:pPr>
          </w:p>
        </w:tc>
        <w:tc>
          <w:tcPr>
            <w:tcW w:w="469" w:type="pct"/>
            <w:vMerge w:val="continue"/>
            <w:shd w:val="clear" w:color="auto" w:fill="auto"/>
            <w:vAlign w:val="center"/>
          </w:tcPr>
          <w:p>
            <w:pPr>
              <w:pStyle w:val="42"/>
            </w:pPr>
          </w:p>
        </w:tc>
        <w:tc>
          <w:tcPr>
            <w:tcW w:w="1389" w:type="pct"/>
            <w:gridSpan w:val="2"/>
            <w:shd w:val="clear" w:color="auto" w:fill="auto"/>
            <w:vAlign w:val="center"/>
          </w:tcPr>
          <w:p>
            <w:pPr>
              <w:pStyle w:val="42"/>
            </w:pPr>
            <w:r>
              <w:t>敏感目标名称</w:t>
            </w:r>
          </w:p>
        </w:tc>
        <w:tc>
          <w:tcPr>
            <w:tcW w:w="770" w:type="pct"/>
            <w:gridSpan w:val="2"/>
            <w:shd w:val="clear" w:color="auto" w:fill="auto"/>
            <w:vAlign w:val="center"/>
          </w:tcPr>
          <w:p>
            <w:pPr>
              <w:pStyle w:val="42"/>
            </w:pPr>
            <w:r>
              <w:t>超标时间/min</w:t>
            </w:r>
          </w:p>
        </w:tc>
        <w:tc>
          <w:tcPr>
            <w:tcW w:w="659" w:type="pct"/>
            <w:shd w:val="clear" w:color="auto" w:fill="auto"/>
            <w:vAlign w:val="center"/>
          </w:tcPr>
          <w:p>
            <w:pPr>
              <w:pStyle w:val="42"/>
            </w:pPr>
            <w:r>
              <w:t>超标持续时间/min</w:t>
            </w:r>
          </w:p>
        </w:tc>
        <w:tc>
          <w:tcPr>
            <w:tcW w:w="818" w:type="pct"/>
            <w:gridSpan w:val="2"/>
            <w:shd w:val="clear" w:color="auto" w:fill="auto"/>
            <w:vAlign w:val="center"/>
          </w:tcPr>
          <w:p>
            <w:pPr>
              <w:pStyle w:val="42"/>
            </w:pPr>
            <w:r>
              <w:t>最大浓度/（mg/m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5" w:type="pct"/>
            <w:vMerge w:val="continue"/>
            <w:shd w:val="clear" w:color="auto" w:fill="auto"/>
            <w:vAlign w:val="center"/>
          </w:tcPr>
          <w:p>
            <w:pPr>
              <w:pStyle w:val="42"/>
            </w:pPr>
          </w:p>
        </w:tc>
        <w:tc>
          <w:tcPr>
            <w:tcW w:w="469" w:type="pct"/>
            <w:vMerge w:val="continue"/>
            <w:shd w:val="clear" w:color="auto" w:fill="auto"/>
            <w:vAlign w:val="center"/>
          </w:tcPr>
          <w:p>
            <w:pPr>
              <w:pStyle w:val="42"/>
            </w:pPr>
          </w:p>
        </w:tc>
        <w:tc>
          <w:tcPr>
            <w:tcW w:w="1389" w:type="pct"/>
            <w:gridSpan w:val="2"/>
            <w:shd w:val="clear" w:color="auto" w:fill="auto"/>
            <w:vAlign w:val="center"/>
          </w:tcPr>
          <w:p>
            <w:pPr>
              <w:pStyle w:val="42"/>
            </w:pPr>
            <w:r>
              <w:t>/</w:t>
            </w:r>
          </w:p>
        </w:tc>
        <w:tc>
          <w:tcPr>
            <w:tcW w:w="770" w:type="pct"/>
            <w:gridSpan w:val="2"/>
            <w:shd w:val="clear" w:color="auto" w:fill="auto"/>
            <w:vAlign w:val="center"/>
          </w:tcPr>
          <w:p>
            <w:pPr>
              <w:pStyle w:val="42"/>
            </w:pPr>
            <w:r>
              <w:t>/</w:t>
            </w:r>
          </w:p>
        </w:tc>
        <w:tc>
          <w:tcPr>
            <w:tcW w:w="659" w:type="pct"/>
            <w:shd w:val="clear" w:color="auto" w:fill="auto"/>
            <w:vAlign w:val="center"/>
          </w:tcPr>
          <w:p>
            <w:pPr>
              <w:pStyle w:val="42"/>
            </w:pPr>
            <w:r>
              <w:t>/</w:t>
            </w:r>
          </w:p>
        </w:tc>
        <w:tc>
          <w:tcPr>
            <w:tcW w:w="818" w:type="pct"/>
            <w:gridSpan w:val="2"/>
            <w:shd w:val="clear" w:color="auto" w:fill="auto"/>
            <w:vAlign w:val="center"/>
          </w:tcPr>
          <w:p>
            <w:pPr>
              <w:pStyle w:val="42"/>
            </w:pPr>
            <w:r>
              <w:t>/</w:t>
            </w:r>
          </w:p>
        </w:tc>
      </w:tr>
    </w:tbl>
    <w:p>
      <w:pPr>
        <w:pStyle w:val="41"/>
      </w:pPr>
      <w:r>
        <w:t>表</w:t>
      </w:r>
      <w:r>
        <w:rPr>
          <w:rFonts w:hint="eastAsia"/>
        </w:rPr>
        <w:t>6.8-9</w:t>
      </w:r>
      <w:r>
        <w:t xml:space="preserve">  </w:t>
      </w:r>
      <w:r>
        <w:rPr>
          <w:rFonts w:hint="eastAsia"/>
        </w:rPr>
        <w:t>天然气（甲烷）燃爆次生CO扩散</w:t>
      </w:r>
      <w:r>
        <w:t>后果基本信息表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801"/>
        <w:gridCol w:w="900"/>
        <w:gridCol w:w="1137"/>
        <w:gridCol w:w="332"/>
        <w:gridCol w:w="1312"/>
        <w:gridCol w:w="624"/>
        <w:gridCol w:w="499"/>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000" w:type="pct"/>
            <w:gridSpan w:val="9"/>
            <w:shd w:val="clear" w:color="auto" w:fill="auto"/>
            <w:vAlign w:val="center"/>
          </w:tcPr>
          <w:p>
            <w:pPr>
              <w:pStyle w:val="42"/>
            </w:pPr>
            <w:r>
              <w:rPr>
                <w:rFonts w:hint="eastAsia"/>
              </w:rPr>
              <w:t>天然气（甲烷）燃爆次生CO扩散</w:t>
            </w:r>
            <w:r>
              <w:t>风险事故情形分析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2" w:type="pct"/>
            <w:gridSpan w:val="3"/>
            <w:shd w:val="clear" w:color="auto" w:fill="auto"/>
            <w:vAlign w:val="center"/>
          </w:tcPr>
          <w:p>
            <w:pPr>
              <w:pStyle w:val="42"/>
            </w:pPr>
            <w:r>
              <w:t>代表性风险事故情形描述</w:t>
            </w:r>
          </w:p>
        </w:tc>
        <w:tc>
          <w:tcPr>
            <w:tcW w:w="3108" w:type="pct"/>
            <w:gridSpan w:val="6"/>
            <w:shd w:val="clear" w:color="auto" w:fill="auto"/>
            <w:vAlign w:val="center"/>
          </w:tcPr>
          <w:p>
            <w:pPr>
              <w:pStyle w:val="42"/>
            </w:pPr>
            <w:r>
              <w:rPr>
                <w:rFonts w:hint="eastAsia"/>
              </w:rPr>
              <w:t>天然气（甲烷）</w:t>
            </w:r>
            <w:r>
              <w:rPr>
                <w:rFonts w:hint="eastAsia" w:eastAsiaTheme="minorEastAsia"/>
              </w:rPr>
              <w:t>缓冲罐阀门或连接管道等泄漏、</w:t>
            </w:r>
            <w:r>
              <w:rPr>
                <w:rFonts w:hint="eastAsia"/>
              </w:rPr>
              <w:t>与空气混合能形成爆炸性混合物，遇热源或明火燃烧爆炸，</w:t>
            </w:r>
            <w:r>
              <w:rPr>
                <w:rFonts w:eastAsiaTheme="minorEastAsia"/>
              </w:rPr>
              <w:t>不完全燃烧产生次生污染物CO</w:t>
            </w:r>
            <w:r>
              <w:t>，扩散影响环境空气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2" w:type="pct"/>
            <w:gridSpan w:val="3"/>
            <w:shd w:val="clear" w:color="auto" w:fill="auto"/>
            <w:vAlign w:val="center"/>
          </w:tcPr>
          <w:p>
            <w:pPr>
              <w:pStyle w:val="42"/>
            </w:pPr>
            <w:r>
              <w:t>环境风险类型</w:t>
            </w:r>
          </w:p>
        </w:tc>
        <w:tc>
          <w:tcPr>
            <w:tcW w:w="3108" w:type="pct"/>
            <w:gridSpan w:val="6"/>
            <w:shd w:val="clear" w:color="auto" w:fill="auto"/>
            <w:vAlign w:val="center"/>
          </w:tcPr>
          <w:p>
            <w:pPr>
              <w:pStyle w:val="42"/>
            </w:pPr>
            <w:r>
              <w:rPr>
                <w:rFonts w:hint="eastAsia"/>
              </w:rPr>
              <w:t>天然气（甲烷）火灾、爆炸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2" w:type="pct"/>
            <w:gridSpan w:val="3"/>
            <w:shd w:val="clear" w:color="auto" w:fill="auto"/>
            <w:vAlign w:val="center"/>
          </w:tcPr>
          <w:p>
            <w:pPr>
              <w:pStyle w:val="42"/>
            </w:pPr>
            <w:r>
              <w:t>燃烧物质</w:t>
            </w:r>
          </w:p>
        </w:tc>
        <w:tc>
          <w:tcPr>
            <w:tcW w:w="667" w:type="pct"/>
            <w:shd w:val="clear" w:color="auto" w:fill="auto"/>
            <w:vAlign w:val="center"/>
          </w:tcPr>
          <w:p>
            <w:pPr>
              <w:pStyle w:val="42"/>
            </w:pPr>
            <w:r>
              <w:rPr>
                <w:rFonts w:hint="eastAsia"/>
              </w:rPr>
              <w:t>甲烷</w:t>
            </w:r>
          </w:p>
        </w:tc>
        <w:tc>
          <w:tcPr>
            <w:tcW w:w="1331" w:type="pct"/>
            <w:gridSpan w:val="3"/>
            <w:shd w:val="clear" w:color="auto" w:fill="auto"/>
            <w:vAlign w:val="center"/>
          </w:tcPr>
          <w:p>
            <w:pPr>
              <w:pStyle w:val="42"/>
            </w:pPr>
            <w:r>
              <w:t>燃烧物质燃烧速度</w:t>
            </w:r>
          </w:p>
        </w:tc>
        <w:tc>
          <w:tcPr>
            <w:tcW w:w="1110" w:type="pct"/>
            <w:gridSpan w:val="2"/>
            <w:shd w:val="clear" w:color="auto" w:fill="auto"/>
            <w:vAlign w:val="center"/>
          </w:tcPr>
          <w:p>
            <w:pPr>
              <w:pStyle w:val="42"/>
            </w:pPr>
            <w:r>
              <w:rPr>
                <w:rFonts w:hint="eastAsia"/>
              </w:rPr>
              <w:t>0.04</w:t>
            </w:r>
            <w:r>
              <w:t>kg/s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92" w:type="pct"/>
            <w:gridSpan w:val="3"/>
            <w:shd w:val="clear" w:color="auto" w:fill="auto"/>
            <w:vAlign w:val="center"/>
          </w:tcPr>
          <w:p>
            <w:pPr>
              <w:pStyle w:val="42"/>
            </w:pPr>
            <w:r>
              <w:t>次生污染物</w:t>
            </w:r>
          </w:p>
        </w:tc>
        <w:tc>
          <w:tcPr>
            <w:tcW w:w="667" w:type="pct"/>
            <w:shd w:val="clear" w:color="auto" w:fill="auto"/>
            <w:vAlign w:val="center"/>
          </w:tcPr>
          <w:p>
            <w:pPr>
              <w:pStyle w:val="42"/>
            </w:pPr>
            <w:r>
              <w:t>一氧化碳</w:t>
            </w:r>
          </w:p>
        </w:tc>
        <w:tc>
          <w:tcPr>
            <w:tcW w:w="1331" w:type="pct"/>
            <w:gridSpan w:val="3"/>
            <w:shd w:val="clear" w:color="auto" w:fill="auto"/>
            <w:vAlign w:val="center"/>
          </w:tcPr>
          <w:p>
            <w:pPr>
              <w:pStyle w:val="42"/>
            </w:pPr>
            <w:r>
              <w:t>次生污染物产生速率</w:t>
            </w:r>
          </w:p>
        </w:tc>
        <w:tc>
          <w:tcPr>
            <w:tcW w:w="1110" w:type="pct"/>
            <w:gridSpan w:val="2"/>
            <w:shd w:val="clear" w:color="auto" w:fill="auto"/>
            <w:vAlign w:val="center"/>
          </w:tcPr>
          <w:p>
            <w:pPr>
              <w:pStyle w:val="42"/>
            </w:pPr>
            <w:r>
              <w:rPr>
                <w:rFonts w:hint="eastAsia"/>
              </w:rPr>
              <w:t>0.005</w:t>
            </w:r>
            <w:r>
              <w:t>kg/s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892" w:type="pct"/>
            <w:gridSpan w:val="3"/>
            <w:shd w:val="clear" w:color="auto" w:fill="auto"/>
            <w:vAlign w:val="center"/>
          </w:tcPr>
          <w:p>
            <w:pPr>
              <w:pStyle w:val="42"/>
            </w:pPr>
            <w:r>
              <w:t>火灾持续时间（应急响应时间）</w:t>
            </w:r>
          </w:p>
        </w:tc>
        <w:tc>
          <w:tcPr>
            <w:tcW w:w="3108" w:type="pct"/>
            <w:gridSpan w:val="6"/>
            <w:shd w:val="clear" w:color="auto" w:fill="auto"/>
            <w:vAlign w:val="center"/>
          </w:tcPr>
          <w:p>
            <w:pPr>
              <w:pStyle w:val="42"/>
            </w:pPr>
            <w:r>
              <w:rPr>
                <w:rFonts w:hint="eastAsia"/>
              </w:rPr>
              <w:t>15</w:t>
            </w:r>
            <w: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shd w:val="clear" w:color="auto" w:fill="auto"/>
            <w:vAlign w:val="center"/>
          </w:tcPr>
          <w:p>
            <w:pPr>
              <w:pStyle w:val="42"/>
            </w:pPr>
            <w:r>
              <w:t>事故后果预测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restart"/>
            <w:shd w:val="clear" w:color="auto" w:fill="auto"/>
            <w:vAlign w:val="center"/>
          </w:tcPr>
          <w:p>
            <w:pPr>
              <w:pStyle w:val="42"/>
            </w:pPr>
            <w:r>
              <w:t>大气</w:t>
            </w:r>
          </w:p>
        </w:tc>
        <w:tc>
          <w:tcPr>
            <w:tcW w:w="470" w:type="pct"/>
            <w:shd w:val="clear" w:color="auto" w:fill="auto"/>
            <w:vAlign w:val="center"/>
          </w:tcPr>
          <w:p>
            <w:pPr>
              <w:pStyle w:val="42"/>
            </w:pPr>
            <w:r>
              <w:t>危险物质</w:t>
            </w:r>
          </w:p>
        </w:tc>
        <w:tc>
          <w:tcPr>
            <w:tcW w:w="3636" w:type="pct"/>
            <w:gridSpan w:val="7"/>
            <w:shd w:val="clear" w:color="auto" w:fill="auto"/>
            <w:vAlign w:val="center"/>
          </w:tcPr>
          <w:p>
            <w:pPr>
              <w:pStyle w:val="42"/>
            </w:pPr>
            <w:r>
              <w:t>大气环境影响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continue"/>
            <w:shd w:val="clear" w:color="auto" w:fill="auto"/>
            <w:vAlign w:val="center"/>
          </w:tcPr>
          <w:p>
            <w:pPr>
              <w:pStyle w:val="42"/>
            </w:pPr>
          </w:p>
        </w:tc>
        <w:tc>
          <w:tcPr>
            <w:tcW w:w="470" w:type="pct"/>
            <w:vMerge w:val="restart"/>
            <w:shd w:val="clear" w:color="auto" w:fill="auto"/>
            <w:vAlign w:val="center"/>
          </w:tcPr>
          <w:p>
            <w:pPr>
              <w:pStyle w:val="42"/>
            </w:pPr>
            <w:r>
              <w:t>一氧化碳</w:t>
            </w:r>
          </w:p>
        </w:tc>
        <w:tc>
          <w:tcPr>
            <w:tcW w:w="1390" w:type="pct"/>
            <w:gridSpan w:val="3"/>
            <w:shd w:val="clear" w:color="auto" w:fill="auto"/>
            <w:vAlign w:val="center"/>
          </w:tcPr>
          <w:p>
            <w:pPr>
              <w:pStyle w:val="42"/>
            </w:pPr>
            <w:r>
              <w:t>指标</w:t>
            </w:r>
          </w:p>
        </w:tc>
        <w:tc>
          <w:tcPr>
            <w:tcW w:w="770" w:type="pct"/>
            <w:shd w:val="clear" w:color="auto" w:fill="auto"/>
            <w:vAlign w:val="center"/>
          </w:tcPr>
          <w:p>
            <w:pPr>
              <w:pStyle w:val="42"/>
            </w:pPr>
            <w:r>
              <w:t>浓度值（mg/m</w:t>
            </w:r>
            <w:r>
              <w:rPr>
                <w:vertAlign w:val="superscript"/>
              </w:rPr>
              <w:t>3</w:t>
            </w:r>
            <w:r>
              <w:t>）</w:t>
            </w:r>
          </w:p>
        </w:tc>
        <w:tc>
          <w:tcPr>
            <w:tcW w:w="659" w:type="pct"/>
            <w:gridSpan w:val="2"/>
            <w:shd w:val="clear" w:color="auto" w:fill="auto"/>
            <w:vAlign w:val="center"/>
          </w:tcPr>
          <w:p>
            <w:pPr>
              <w:pStyle w:val="42"/>
            </w:pPr>
            <w:r>
              <w:t>最远影响距离/m</w:t>
            </w:r>
          </w:p>
        </w:tc>
        <w:tc>
          <w:tcPr>
            <w:tcW w:w="816" w:type="pct"/>
            <w:shd w:val="clear" w:color="auto" w:fill="auto"/>
            <w:vAlign w:val="center"/>
          </w:tcPr>
          <w:p>
            <w:pPr>
              <w:pStyle w:val="42"/>
            </w:pPr>
            <w:r>
              <w:t>到达时间/min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continue"/>
            <w:shd w:val="clear" w:color="auto" w:fill="auto"/>
            <w:vAlign w:val="center"/>
          </w:tcPr>
          <w:p>
            <w:pPr>
              <w:pStyle w:val="42"/>
            </w:pPr>
          </w:p>
        </w:tc>
        <w:tc>
          <w:tcPr>
            <w:tcW w:w="470" w:type="pct"/>
            <w:vMerge w:val="continue"/>
            <w:shd w:val="clear" w:color="auto" w:fill="auto"/>
            <w:vAlign w:val="center"/>
          </w:tcPr>
          <w:p>
            <w:pPr>
              <w:pStyle w:val="42"/>
            </w:pPr>
          </w:p>
        </w:tc>
        <w:tc>
          <w:tcPr>
            <w:tcW w:w="1390" w:type="pct"/>
            <w:gridSpan w:val="3"/>
            <w:shd w:val="clear" w:color="auto" w:fill="auto"/>
            <w:vAlign w:val="center"/>
          </w:tcPr>
          <w:p>
            <w:pPr>
              <w:pStyle w:val="42"/>
            </w:pPr>
            <w:r>
              <w:t>大气毒性终点浓度-1</w:t>
            </w:r>
          </w:p>
        </w:tc>
        <w:tc>
          <w:tcPr>
            <w:tcW w:w="770" w:type="pct"/>
            <w:shd w:val="clear" w:color="auto" w:fill="auto"/>
            <w:vAlign w:val="center"/>
          </w:tcPr>
          <w:p>
            <w:pPr>
              <w:pStyle w:val="42"/>
            </w:pPr>
            <w:r>
              <w:t>380</w:t>
            </w:r>
          </w:p>
        </w:tc>
        <w:tc>
          <w:tcPr>
            <w:tcW w:w="659" w:type="pct"/>
            <w:gridSpan w:val="2"/>
            <w:shd w:val="clear" w:color="auto" w:fill="auto"/>
            <w:vAlign w:val="center"/>
          </w:tcPr>
          <w:p>
            <w:pPr>
              <w:pStyle w:val="42"/>
            </w:pPr>
            <w:r>
              <w:t>/</w:t>
            </w:r>
          </w:p>
        </w:tc>
        <w:tc>
          <w:tcPr>
            <w:tcW w:w="816" w:type="pct"/>
            <w:shd w:val="clear" w:color="auto" w:fill="auto"/>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continue"/>
            <w:shd w:val="clear" w:color="auto" w:fill="auto"/>
            <w:vAlign w:val="center"/>
          </w:tcPr>
          <w:p>
            <w:pPr>
              <w:pStyle w:val="42"/>
            </w:pPr>
          </w:p>
        </w:tc>
        <w:tc>
          <w:tcPr>
            <w:tcW w:w="470" w:type="pct"/>
            <w:vMerge w:val="continue"/>
            <w:shd w:val="clear" w:color="auto" w:fill="auto"/>
            <w:vAlign w:val="center"/>
          </w:tcPr>
          <w:p>
            <w:pPr>
              <w:pStyle w:val="42"/>
            </w:pPr>
          </w:p>
        </w:tc>
        <w:tc>
          <w:tcPr>
            <w:tcW w:w="1390" w:type="pct"/>
            <w:gridSpan w:val="3"/>
            <w:shd w:val="clear" w:color="auto" w:fill="auto"/>
            <w:vAlign w:val="center"/>
          </w:tcPr>
          <w:p>
            <w:pPr>
              <w:pStyle w:val="42"/>
            </w:pPr>
            <w:r>
              <w:t>大气毒性终点浓度-2</w:t>
            </w:r>
          </w:p>
        </w:tc>
        <w:tc>
          <w:tcPr>
            <w:tcW w:w="770" w:type="pct"/>
            <w:shd w:val="clear" w:color="auto" w:fill="auto"/>
            <w:vAlign w:val="center"/>
          </w:tcPr>
          <w:p>
            <w:pPr>
              <w:pStyle w:val="42"/>
            </w:pPr>
            <w:r>
              <w:t>95</w:t>
            </w:r>
          </w:p>
        </w:tc>
        <w:tc>
          <w:tcPr>
            <w:tcW w:w="659" w:type="pct"/>
            <w:gridSpan w:val="2"/>
            <w:shd w:val="clear" w:color="auto" w:fill="auto"/>
            <w:vAlign w:val="center"/>
          </w:tcPr>
          <w:p>
            <w:pPr>
              <w:pStyle w:val="42"/>
            </w:pPr>
            <w:r>
              <w:rPr>
                <w:rFonts w:hint="eastAsia"/>
              </w:rPr>
              <w:t>100</w:t>
            </w:r>
          </w:p>
        </w:tc>
        <w:tc>
          <w:tcPr>
            <w:tcW w:w="816" w:type="pct"/>
            <w:shd w:val="clear" w:color="auto" w:fill="auto"/>
            <w:vAlign w:val="center"/>
          </w:tcPr>
          <w:p>
            <w:pPr>
              <w:pStyle w:val="42"/>
            </w:pPr>
            <w:r>
              <w:rPr>
                <w:rFonts w:hint="eastAsi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continue"/>
            <w:shd w:val="clear" w:color="auto" w:fill="auto"/>
            <w:vAlign w:val="center"/>
          </w:tcPr>
          <w:p>
            <w:pPr>
              <w:pStyle w:val="42"/>
            </w:pPr>
          </w:p>
        </w:tc>
        <w:tc>
          <w:tcPr>
            <w:tcW w:w="470" w:type="pct"/>
            <w:vMerge w:val="continue"/>
            <w:shd w:val="clear" w:color="auto" w:fill="auto"/>
            <w:vAlign w:val="center"/>
          </w:tcPr>
          <w:p>
            <w:pPr>
              <w:pStyle w:val="42"/>
            </w:pPr>
          </w:p>
        </w:tc>
        <w:tc>
          <w:tcPr>
            <w:tcW w:w="1390" w:type="pct"/>
            <w:gridSpan w:val="3"/>
            <w:shd w:val="clear" w:color="auto" w:fill="auto"/>
            <w:vAlign w:val="center"/>
          </w:tcPr>
          <w:p>
            <w:pPr>
              <w:pStyle w:val="42"/>
            </w:pPr>
            <w:r>
              <w:t>敏感目标名称</w:t>
            </w:r>
          </w:p>
        </w:tc>
        <w:tc>
          <w:tcPr>
            <w:tcW w:w="770" w:type="pct"/>
            <w:shd w:val="clear" w:color="auto" w:fill="auto"/>
            <w:vAlign w:val="center"/>
          </w:tcPr>
          <w:p>
            <w:pPr>
              <w:pStyle w:val="42"/>
            </w:pPr>
            <w:r>
              <w:t>超标时间/min</w:t>
            </w:r>
          </w:p>
        </w:tc>
        <w:tc>
          <w:tcPr>
            <w:tcW w:w="659" w:type="pct"/>
            <w:gridSpan w:val="2"/>
            <w:shd w:val="clear" w:color="auto" w:fill="auto"/>
            <w:vAlign w:val="center"/>
          </w:tcPr>
          <w:p>
            <w:pPr>
              <w:pStyle w:val="42"/>
            </w:pPr>
            <w:r>
              <w:t>超标持续时间/min</w:t>
            </w:r>
          </w:p>
        </w:tc>
        <w:tc>
          <w:tcPr>
            <w:tcW w:w="816" w:type="pct"/>
            <w:shd w:val="clear" w:color="auto" w:fill="auto"/>
            <w:vAlign w:val="center"/>
          </w:tcPr>
          <w:p>
            <w:pPr>
              <w:pStyle w:val="42"/>
            </w:pPr>
            <w:r>
              <w:t>最大浓度/（mg/m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 w:type="pct"/>
            <w:vMerge w:val="continue"/>
            <w:shd w:val="clear" w:color="auto" w:fill="auto"/>
            <w:vAlign w:val="center"/>
          </w:tcPr>
          <w:p>
            <w:pPr>
              <w:pStyle w:val="42"/>
            </w:pPr>
          </w:p>
        </w:tc>
        <w:tc>
          <w:tcPr>
            <w:tcW w:w="470" w:type="pct"/>
            <w:vMerge w:val="continue"/>
            <w:shd w:val="clear" w:color="auto" w:fill="auto"/>
            <w:vAlign w:val="center"/>
          </w:tcPr>
          <w:p>
            <w:pPr>
              <w:pStyle w:val="42"/>
            </w:pPr>
          </w:p>
        </w:tc>
        <w:tc>
          <w:tcPr>
            <w:tcW w:w="1390" w:type="pct"/>
            <w:gridSpan w:val="3"/>
            <w:shd w:val="clear" w:color="auto" w:fill="auto"/>
            <w:vAlign w:val="center"/>
          </w:tcPr>
          <w:p>
            <w:pPr>
              <w:pStyle w:val="42"/>
            </w:pPr>
            <w:r>
              <w:t>/</w:t>
            </w:r>
          </w:p>
        </w:tc>
        <w:tc>
          <w:tcPr>
            <w:tcW w:w="770" w:type="pct"/>
            <w:shd w:val="clear" w:color="auto" w:fill="auto"/>
            <w:vAlign w:val="center"/>
          </w:tcPr>
          <w:p>
            <w:pPr>
              <w:pStyle w:val="42"/>
            </w:pPr>
            <w:r>
              <w:t>/</w:t>
            </w:r>
          </w:p>
        </w:tc>
        <w:tc>
          <w:tcPr>
            <w:tcW w:w="659" w:type="pct"/>
            <w:gridSpan w:val="2"/>
            <w:shd w:val="clear" w:color="auto" w:fill="auto"/>
            <w:vAlign w:val="center"/>
          </w:tcPr>
          <w:p>
            <w:pPr>
              <w:pStyle w:val="42"/>
            </w:pPr>
            <w:r>
              <w:t>/</w:t>
            </w:r>
          </w:p>
        </w:tc>
        <w:tc>
          <w:tcPr>
            <w:tcW w:w="816" w:type="pct"/>
            <w:shd w:val="clear" w:color="auto" w:fill="auto"/>
            <w:vAlign w:val="center"/>
          </w:tcPr>
          <w:p>
            <w:pPr>
              <w:pStyle w:val="42"/>
            </w:pPr>
            <w:r>
              <w:t>/</w:t>
            </w:r>
          </w:p>
        </w:tc>
      </w:tr>
    </w:tbl>
    <w:p>
      <w:pPr>
        <w:pStyle w:val="3"/>
        <w:spacing w:before="156" w:after="156"/>
      </w:pPr>
      <w:bookmarkStart w:id="160" w:name="_Toc84844323"/>
      <w:r>
        <w:rPr>
          <w:rFonts w:hint="eastAsia"/>
        </w:rPr>
        <w:t>6.9环境风险管理</w:t>
      </w:r>
      <w:bookmarkEnd w:id="160"/>
    </w:p>
    <w:p>
      <w:pPr>
        <w:pStyle w:val="4"/>
        <w:spacing w:before="156" w:after="156"/>
      </w:pPr>
      <w:bookmarkStart w:id="161" w:name="_Toc84844324"/>
      <w:r>
        <w:rPr>
          <w:rFonts w:hint="eastAsia"/>
        </w:rPr>
        <w:t>6.9.1环境风险管理目标</w:t>
      </w:r>
      <w:bookmarkEnd w:id="161"/>
    </w:p>
    <w:p>
      <w:pPr>
        <w:ind w:firstLine="480"/>
      </w:pPr>
      <w:r>
        <w:rPr>
          <w:rFonts w:hint="eastAsia"/>
        </w:rPr>
        <w:t>环境风险管理目标是采用最低合理可行原则管控环境风险。采取的环境风险防范措施应与社会经济技术发展水平相适应，运用科学的技术手段和管理方法，对环境风险进行有效的预防、监控、响应。</w:t>
      </w:r>
    </w:p>
    <w:p>
      <w:pPr>
        <w:pStyle w:val="4"/>
        <w:spacing w:before="156" w:after="156"/>
      </w:pPr>
      <w:bookmarkStart w:id="162" w:name="_Toc84844325"/>
      <w:r>
        <w:rPr>
          <w:rFonts w:hint="eastAsia"/>
        </w:rPr>
        <w:t>6.9.2环境风险防范措施</w:t>
      </w:r>
      <w:bookmarkEnd w:id="162"/>
    </w:p>
    <w:p>
      <w:pPr>
        <w:pStyle w:val="5"/>
      </w:pPr>
      <w:r>
        <w:rPr>
          <w:rFonts w:hint="eastAsia"/>
        </w:rPr>
        <w:t>6.9.2.1选址、总图布置和建筑安全防范措施</w:t>
      </w:r>
    </w:p>
    <w:p>
      <w:pPr>
        <w:ind w:firstLine="480"/>
      </w:pPr>
      <w:r>
        <w:rPr>
          <w:rFonts w:hint="eastAsia"/>
        </w:rPr>
        <w:t>（1）拟建项目位于重庆（长寿）经济技术开发区，厂区在设计时，生产装置集中布置，满足《化工企业总图运输设计规范》和《建筑防火规范》等规范的有关规定，确保了装置各建、构筑物之间的防火间距。</w:t>
      </w:r>
    </w:p>
    <w:p>
      <w:pPr>
        <w:ind w:firstLine="480"/>
      </w:pPr>
      <w:r>
        <w:rPr>
          <w:rFonts w:hint="eastAsia"/>
        </w:rPr>
        <w:t>（2）厂区总平面布置根据功能分区，生产区、辅助生产区、管理区相对集中区布置，各建构筑物之间预留足够的安全防护距离，建构筑物内外道路畅通并形成环状，以利消防和安全疏散。厂内道路的布置能够满足生产、运输、安装、检修、消防及环境卫生的要求。</w:t>
      </w:r>
    </w:p>
    <w:p>
      <w:pPr>
        <w:ind w:firstLine="480"/>
      </w:pPr>
      <w:r>
        <w:rPr>
          <w:rFonts w:hint="eastAsia"/>
        </w:rPr>
        <w:t>（3）建筑结构：严格按照《建筑设计防火规范》、《石油化工企业防火设计规范》、《建筑防雷设计规范》、《防止静电事故通用导则》进行生产装置、设备、厂房的防火防爆设计。按地震烈度7度设防。</w:t>
      </w:r>
    </w:p>
    <w:p>
      <w:pPr>
        <w:ind w:firstLine="480"/>
      </w:pPr>
      <w:r>
        <w:rPr>
          <w:rFonts w:hint="eastAsia"/>
        </w:rPr>
        <w:t>（4）爆炸危险场所电气设备和线路的设计、安装、施工、运行、维修和安全管理，遵守《中华人民共和国爆炸危险场所电器安全规程（试行）》及有关规程与规范的规定。</w:t>
      </w:r>
    </w:p>
    <w:p>
      <w:pPr>
        <w:ind w:firstLine="480"/>
      </w:pPr>
      <w:r>
        <w:rPr>
          <w:rFonts w:hint="eastAsia"/>
        </w:rPr>
        <w:t>（5）设置应急救援设施及救援通道、应急疏散通道。</w:t>
      </w:r>
    </w:p>
    <w:p>
      <w:pPr>
        <w:ind w:firstLine="480"/>
      </w:pPr>
      <w:r>
        <w:rPr>
          <w:rFonts w:hint="eastAsia"/>
        </w:rPr>
        <w:t>经过现场勘查，厂区周边主要分布有其他工业企业，环境风险预测结果也表明，项目的环境风险值低于行业可接受水平，其风险水平是可以接受的。</w:t>
      </w:r>
    </w:p>
    <w:p>
      <w:pPr>
        <w:pStyle w:val="5"/>
      </w:pPr>
      <w:r>
        <w:rPr>
          <w:rFonts w:hint="eastAsia"/>
        </w:rPr>
        <w:t>6.9.2.2生产过程中的风险防范措施</w:t>
      </w:r>
    </w:p>
    <w:p>
      <w:pPr>
        <w:ind w:firstLine="480"/>
      </w:pPr>
      <w:r>
        <w:rPr>
          <w:rFonts w:hint="eastAsia"/>
        </w:rPr>
        <w:t>（1）建立安全生产岗位责任制，制定安全生产规章制度、安全操作规程。如生产过程必须有全套切实可行的安全操作规程，有专人负责检查安全操作规程的执行、安全设备及防护设备的使用情况；工作现场禁止吸烟、进食、饮水；工作毕，应洗澡换衣；单独存放被毒物污染的衣服，洗后备用；车间应配备急救设备和药品；作业人员应学会自救和互救。</w:t>
      </w:r>
    </w:p>
    <w:p>
      <w:pPr>
        <w:ind w:firstLine="480"/>
      </w:pPr>
      <w:r>
        <w:rPr>
          <w:rFonts w:hint="eastAsia"/>
        </w:rPr>
        <w:t>（2）拟建项目生产过程中涉及的物质多具易燃、易爆性，生产过程的火灾危险性为甲类，必须严格执行《建筑设计防火规范（2018年版）》和《石油化工企业设计防火标准（2018年版）》中有关规定。。</w:t>
      </w:r>
    </w:p>
    <w:p>
      <w:pPr>
        <w:ind w:firstLine="480"/>
      </w:pPr>
      <w:r>
        <w:rPr>
          <w:rFonts w:hint="eastAsia"/>
        </w:rPr>
        <w:t>（3）凡容易发生事故或危及生命安全的场所、设备以及需要提醒操作人员注意的场所，应设置安全标志；在各区域设置毒物周知卡；装置设物料走向、厂区设风向标等。</w:t>
      </w:r>
    </w:p>
    <w:p>
      <w:pPr>
        <w:ind w:firstLine="480"/>
      </w:pPr>
      <w:r>
        <w:rPr>
          <w:rFonts w:hint="eastAsia"/>
        </w:rPr>
        <w:t>（4）合成氨装置区设置水喷淋吸收设施，事故性泄漏的氨采用水吸收，事故废水通过管道收集至事故池，根据实际情况分批打入废水处理站处理达标排放。</w:t>
      </w:r>
    </w:p>
    <w:p>
      <w:pPr>
        <w:ind w:firstLine="480"/>
      </w:pPr>
      <w:r>
        <w:rPr>
          <w:rFonts w:hint="eastAsia"/>
        </w:rPr>
        <w:t>（5）整个生产装置区地面做防渗措施，并在四周设置围堤和导流设施，以便收集生产区泄漏物料及含有泄漏物料的废水。</w:t>
      </w:r>
    </w:p>
    <w:p>
      <w:pPr>
        <w:ind w:firstLine="480"/>
      </w:pPr>
      <w:r>
        <w:rPr>
          <w:rFonts w:hint="eastAsia"/>
        </w:rPr>
        <w:t>（6）物料装卸、输送过程严格执行消除静电措施，操作人员进场前需经触摸式静电消除设施消除静电，运输车辆设置拖地式静电消除装置，相关操作人员培训合格后方可上岗。</w:t>
      </w:r>
    </w:p>
    <w:p>
      <w:pPr>
        <w:ind w:firstLine="480"/>
      </w:pPr>
      <w:r>
        <w:rPr>
          <w:rFonts w:hint="eastAsia"/>
        </w:rPr>
        <w:t>（7）部分事故是因为非法动火所致，故在检修过程中需动火焊接时，一定要按有关规定办理动火手续、严格操作规程；同时，为防止中毒事件发生，要保证有毒气体含量要在规定的范围内，方可进行检修作业。</w:t>
      </w:r>
    </w:p>
    <w:p>
      <w:pPr>
        <w:ind w:firstLine="480"/>
      </w:pPr>
      <w:r>
        <w:rPr>
          <w:rFonts w:hint="eastAsia"/>
        </w:rPr>
        <w:t>（8）建设单位应根据《石油化工可燃气体和有毒气体检测报警设计规范》（GB50493-2009）在各车间设置可燃气体自动检测报警仪，就地进行浓度显示及声光报警，其报警信号输入到公司厂区值班室内，以便在第一时间发现事故、处理事故。</w:t>
      </w:r>
    </w:p>
    <w:p>
      <w:pPr>
        <w:ind w:firstLine="480"/>
      </w:pPr>
      <w:r>
        <w:rPr>
          <w:rFonts w:hint="eastAsia"/>
        </w:rPr>
        <w:t>（9）为防止车间或罐区安装的固定式可燃气体报警仪出现故障，失去效果，工厂还应配备2套便携式的报警仪，以便人员巡检时使用。</w:t>
      </w:r>
    </w:p>
    <w:p>
      <w:pPr>
        <w:ind w:firstLine="480"/>
      </w:pPr>
      <w:r>
        <w:rPr>
          <w:rFonts w:hint="eastAsia"/>
        </w:rPr>
        <w:t>（10）生产过程中须定专人定期对生产设备、仪器仪表等进行巡检，保证其正常使用。</w:t>
      </w:r>
    </w:p>
    <w:p>
      <w:pPr>
        <w:ind w:firstLine="480"/>
      </w:pPr>
      <w:r>
        <w:rPr>
          <w:rFonts w:hint="eastAsia"/>
        </w:rPr>
        <w:t>（11）开车前对系统试漏试压，加强日常巡检和维护，定期校验报警仪。</w:t>
      </w:r>
    </w:p>
    <w:p>
      <w:pPr>
        <w:ind w:firstLine="480"/>
      </w:pPr>
      <w:r>
        <w:rPr>
          <w:rFonts w:hint="eastAsia"/>
        </w:rPr>
        <w:t>（12）装置关键位置设置风向标，风向标应能在控制室中显示，在工厂高点应另外安装风向标。</w:t>
      </w:r>
    </w:p>
    <w:p>
      <w:pPr>
        <w:pStyle w:val="5"/>
      </w:pPr>
      <w:r>
        <w:rPr>
          <w:rFonts w:hint="eastAsia"/>
        </w:rPr>
        <w:t>6.9.2.3运输过程中的风险防范措施</w:t>
      </w:r>
    </w:p>
    <w:p>
      <w:pPr>
        <w:ind w:firstLine="480"/>
        <w:rPr>
          <w:rFonts w:eastAsiaTheme="minorEastAsia"/>
        </w:rPr>
      </w:pPr>
      <w:r>
        <w:rPr>
          <w:rFonts w:hint="eastAsia" w:eastAsiaTheme="minorEastAsia"/>
        </w:rPr>
        <w:t>本工程气体原料天然气、氮气和卡贝乐弛放气均来源于园区内，通过管道输送；固态催化剂、吸附剂等</w:t>
      </w:r>
      <w:r>
        <w:rPr>
          <w:rFonts w:eastAsiaTheme="minorEastAsia"/>
        </w:rPr>
        <w:t>运输主要采用公路运输。运输过程中，委托有资质单位进行运输，并严格遵守《道路危险货物运输管理规定》、《汽车运输危险货物规则》、《汽车运输液体危险货物常压容器（罐体）通用技术条件》等相关规定。</w:t>
      </w:r>
    </w:p>
    <w:p>
      <w:pPr>
        <w:ind w:firstLine="480"/>
        <w:rPr>
          <w:rFonts w:eastAsiaTheme="minorEastAsia"/>
        </w:rPr>
      </w:pPr>
      <w:r>
        <w:rPr>
          <w:rFonts w:hint="eastAsia" w:eastAsiaTheme="minorEastAsia"/>
        </w:rPr>
        <w:t>本工程产品液氨通过管道输送至恩力吉公司，</w:t>
      </w:r>
      <w:r>
        <w:rPr>
          <w:rFonts w:eastAsiaTheme="minorEastAsia"/>
        </w:rPr>
        <w:t>应采取如下措施：</w:t>
      </w:r>
    </w:p>
    <w:p>
      <w:pPr>
        <w:ind w:firstLine="480"/>
        <w:rPr>
          <w:rFonts w:eastAsiaTheme="minorEastAsia"/>
        </w:rPr>
      </w:pPr>
      <w:r>
        <w:rPr>
          <w:rFonts w:hint="eastAsia" w:ascii="宋体" w:hAnsi="宋体"/>
        </w:rPr>
        <w:t>①</w:t>
      </w:r>
      <w:r>
        <w:rPr>
          <w:rFonts w:eastAsiaTheme="minorEastAsia"/>
        </w:rPr>
        <w:t>各管道的敷设工作应严格按照相关规范进行。</w:t>
      </w:r>
    </w:p>
    <w:p>
      <w:pPr>
        <w:ind w:firstLine="480"/>
        <w:rPr>
          <w:rFonts w:eastAsiaTheme="minorEastAsia"/>
        </w:rPr>
      </w:pPr>
      <w:r>
        <w:rPr>
          <w:rFonts w:hint="eastAsia" w:ascii="宋体" w:hAnsi="宋体"/>
        </w:rPr>
        <w:t>②</w:t>
      </w:r>
      <w:r>
        <w:rPr>
          <w:rFonts w:hint="eastAsia"/>
        </w:rPr>
        <w:t>本工程液氨输送管道设压力监控系统，泄漏后压力下降，可根据泄漏点位置，通过切断两侧阀门，另外管线设计有氮置换排放口，可将管线中的液氨置换排放至氨火炬系统，以控制和处置管道泄漏影响。</w:t>
      </w:r>
    </w:p>
    <w:p>
      <w:pPr>
        <w:ind w:firstLine="480"/>
        <w:rPr>
          <w:rFonts w:eastAsiaTheme="minorEastAsia"/>
        </w:rPr>
      </w:pPr>
      <w:r>
        <w:rPr>
          <w:rFonts w:hint="eastAsia" w:ascii="宋体" w:hAnsi="宋体"/>
        </w:rPr>
        <w:t>③</w:t>
      </w:r>
      <w:r>
        <w:rPr>
          <w:rFonts w:eastAsiaTheme="minorEastAsia"/>
        </w:rPr>
        <w:t>应指派专人进行巡检，定期对管道、阀门、检测仪等进行检修、维护。</w:t>
      </w:r>
    </w:p>
    <w:p>
      <w:pPr>
        <w:pStyle w:val="5"/>
      </w:pPr>
      <w:r>
        <w:rPr>
          <w:rFonts w:hint="eastAsia"/>
        </w:rPr>
        <w:t>6.9.2.4贮存过程中的风险防范措施</w:t>
      </w:r>
    </w:p>
    <w:p>
      <w:pPr>
        <w:ind w:firstLine="480"/>
      </w:pPr>
      <w:r>
        <w:rPr>
          <w:rFonts w:hint="eastAsia"/>
        </w:rPr>
        <w:t>拟建项目在二氧化碳液化装置区内设置二氧化碳储罐区，针对CO</w:t>
      </w:r>
      <w:r>
        <w:rPr>
          <w:rFonts w:hint="eastAsia"/>
          <w:vertAlign w:val="subscript"/>
        </w:rPr>
        <w:t>2</w:t>
      </w:r>
      <w:r>
        <w:rPr>
          <w:rFonts w:hint="eastAsia"/>
        </w:rPr>
        <w:t>储罐区，拟建项目采取以下风险防范措施：</w:t>
      </w:r>
    </w:p>
    <w:p>
      <w:pPr>
        <w:ind w:firstLine="480"/>
      </w:pPr>
      <w:r>
        <w:rPr>
          <w:rFonts w:hint="eastAsia"/>
        </w:rPr>
        <w:t>（1）专人定期巡视检查，观察储罐的压力、液位计、安全阀工作是否正常；</w:t>
      </w:r>
    </w:p>
    <w:p>
      <w:pPr>
        <w:ind w:firstLine="480"/>
      </w:pPr>
      <w:r>
        <w:rPr>
          <w:rFonts w:hint="eastAsia"/>
        </w:rPr>
        <w:t>（2）CO</w:t>
      </w:r>
      <w:r>
        <w:rPr>
          <w:rFonts w:hint="eastAsia"/>
          <w:vertAlign w:val="subscript"/>
        </w:rPr>
        <w:t>2</w:t>
      </w:r>
      <w:r>
        <w:rPr>
          <w:rFonts w:hint="eastAsia"/>
        </w:rPr>
        <w:t>储罐配套设置安全阀，控制储罐压力在2.5~2.6MPa</w:t>
      </w:r>
      <w:r>
        <w:rPr>
          <w:rFonts w:hint="eastAsia" w:ascii="宋体" w:hAnsi="宋体"/>
        </w:rPr>
        <w:t>。</w:t>
      </w:r>
    </w:p>
    <w:p>
      <w:pPr>
        <w:pStyle w:val="5"/>
      </w:pPr>
      <w:r>
        <w:rPr>
          <w:rFonts w:hint="eastAsia"/>
        </w:rPr>
        <w:t>6.9.2.5消防及火灾报警系统</w:t>
      </w:r>
    </w:p>
    <w:p>
      <w:pPr>
        <w:ind w:firstLine="480"/>
      </w:pPr>
      <w:r>
        <w:rPr>
          <w:rFonts w:hint="eastAsia"/>
        </w:rPr>
        <w:t>根据《石油化工企业设计防火标准（2018年版）》相关要求，结合本厂实际情况，具体消防及火灾报警系统建设方案如下：</w:t>
      </w:r>
    </w:p>
    <w:p>
      <w:pPr>
        <w:ind w:firstLine="480"/>
      </w:pPr>
      <w:r>
        <w:rPr>
          <w:rFonts w:hint="eastAsia"/>
        </w:rPr>
        <w:t>（1）消防措施以水消防为主，厂区用水来自长寿经济开发区供水管网。</w:t>
      </w:r>
    </w:p>
    <w:p>
      <w:pPr>
        <w:ind w:firstLine="480"/>
      </w:pPr>
      <w:r>
        <w:rPr>
          <w:rFonts w:hint="eastAsia"/>
        </w:rPr>
        <w:t>（2）厂区消防水管网呈环形布置，并设有地上式消火栓。</w:t>
      </w:r>
    </w:p>
    <w:p>
      <w:pPr>
        <w:ind w:firstLine="480"/>
      </w:pPr>
      <w:r>
        <w:rPr>
          <w:rFonts w:hint="eastAsia"/>
        </w:rPr>
        <w:t>（3）在工艺生产主装置区设置高压水炮，以对该区域火灾实行控制性防范。主要为各生产装置、罐区和采用高压水消防的辅助生产设施提供高压消防水。此系统由泵房、消防水罐、高压消防水泵、消防稳压泵及系统管网等组成。</w:t>
      </w:r>
    </w:p>
    <w:p>
      <w:pPr>
        <w:ind w:firstLine="480"/>
      </w:pPr>
      <w:r>
        <w:rPr>
          <w:rFonts w:hint="eastAsia"/>
        </w:rPr>
        <w:t>（4）室外消火栓采用地上式消火栓，沿装置敷设，距建筑物外墙不小于5m，消火栓的大口径出水口面向道路。设置在铺砌地面上的室外消火栓四周设有钢管焊成的围栏，防止其被车辆撞坏。</w:t>
      </w:r>
    </w:p>
    <w:p>
      <w:pPr>
        <w:ind w:firstLine="480"/>
      </w:pPr>
      <w:r>
        <w:rPr>
          <w:rFonts w:hint="eastAsia"/>
        </w:rPr>
        <w:t>（5）工艺装置界区的框架平台上设置消防竖管和消火栓，在其它辅助设施设置室内消火栓。工艺装置区、罐区及辅助设施内均配置消防灭火器。工艺装置、罐区及公用工程建筑物按中危险级配置。</w:t>
      </w:r>
    </w:p>
    <w:p>
      <w:pPr>
        <w:ind w:firstLine="480"/>
      </w:pPr>
      <w:r>
        <w:rPr>
          <w:rFonts w:hint="eastAsia"/>
        </w:rPr>
        <w:t>（7）项目火灾报警系统形式为集中报警系统。集中报警系统下设若干个区域火灾报警控制器及相应火灾报警探测网点。</w:t>
      </w:r>
    </w:p>
    <w:p>
      <w:pPr>
        <w:ind w:firstLine="480"/>
      </w:pPr>
      <w:r>
        <w:rPr>
          <w:rFonts w:hint="eastAsia"/>
        </w:rPr>
        <w:t>火灾报警探测点设置在电气室、电缆室、操作室、车间厂房、库房等火灾危险场所；集中报警控制器设在厂消防中心，区域火灾报警控制器设在区域控制室等24小时有人值班场所。</w:t>
      </w:r>
    </w:p>
    <w:p>
      <w:pPr>
        <w:pStyle w:val="5"/>
      </w:pPr>
      <w:r>
        <w:rPr>
          <w:rFonts w:hint="eastAsia"/>
        </w:rPr>
        <w:t>6.9.2.6自动控制设计安全防范措施</w:t>
      </w:r>
    </w:p>
    <w:p>
      <w:pPr>
        <w:ind w:firstLine="480"/>
      </w:pPr>
      <w:r>
        <w:rPr>
          <w:rFonts w:hint="eastAsia"/>
        </w:rPr>
        <w:t>（1）设置中央控制室，采用可靠的一次仪表和先进的DCS控制系统，生产过程的操作参数（温度、压力、流量、液位等）全部进入DCS系统，重要的控制参数设置安全报警联锁系统，保证生产装置的安全。</w:t>
      </w:r>
    </w:p>
    <w:p>
      <w:pPr>
        <w:ind w:firstLine="480"/>
      </w:pPr>
      <w:r>
        <w:rPr>
          <w:rFonts w:hint="eastAsia"/>
        </w:rPr>
        <w:t>（2）控制室内设相对独立的事故处理系统：该系统包含重要信号报警系统以及紧急切断按钮操作台，可以实现各装置的紧急停车。</w:t>
      </w:r>
    </w:p>
    <w:p>
      <w:pPr>
        <w:ind w:firstLine="480"/>
      </w:pPr>
      <w:r>
        <w:rPr>
          <w:rFonts w:hint="eastAsia"/>
        </w:rPr>
        <w:t>（3）生产装置区、罐区均设有固定式有毒、可燃气体检测仪和报警装置，用于检测环境中可燃气体的浓度，以便及时发现装置区、罐区中设备、管道的泄漏情况，防止火灾、爆炸、中毒事故的发生。</w:t>
      </w:r>
    </w:p>
    <w:p>
      <w:pPr>
        <w:pStyle w:val="5"/>
      </w:pPr>
      <w:r>
        <w:rPr>
          <w:rFonts w:hint="eastAsia"/>
        </w:rPr>
        <w:t>6.9.2.7地下水环境风险防范措施</w:t>
      </w:r>
    </w:p>
    <w:p>
      <w:pPr>
        <w:ind w:firstLine="480"/>
      </w:pPr>
      <w:r>
        <w:rPr>
          <w:rFonts w:hint="eastAsia"/>
        </w:rPr>
        <w:t>（1）参照《石油化工工程防渗技术规范》（GB/T50934-2013）分区防渗，项目废气处理系统碱液循环池按照重点工程进行防渗，可有效防止渗漏造成地下水污染；</w:t>
      </w:r>
    </w:p>
    <w:p>
      <w:pPr>
        <w:ind w:firstLine="480"/>
      </w:pPr>
      <w:r>
        <w:rPr>
          <w:rFonts w:hint="eastAsia"/>
        </w:rPr>
        <w:t>（2）厂区地下水下游方向设置地下水监控井，定期进行地下水水质监测。</w:t>
      </w:r>
    </w:p>
    <w:p>
      <w:pPr>
        <w:pStyle w:val="5"/>
      </w:pPr>
      <w:r>
        <w:rPr>
          <w:rFonts w:hint="eastAsia"/>
        </w:rPr>
        <w:t>6.9.2.8地表水环境风险防范措施</w:t>
      </w:r>
    </w:p>
    <w:p>
      <w:pPr>
        <w:ind w:firstLine="480"/>
      </w:pPr>
      <w:r>
        <w:rPr>
          <w:rFonts w:hint="eastAsia"/>
        </w:rPr>
        <w:t>（1）装置区围堤和导流设施</w:t>
      </w:r>
    </w:p>
    <w:p>
      <w:pPr>
        <w:ind w:firstLine="480"/>
      </w:pPr>
      <w:r>
        <w:rPr>
          <w:rFonts w:hint="eastAsia"/>
        </w:rPr>
        <w:t>拟建项目装置区设置围堤和导流设施，并且地面采取防腐、防渗处理措施。事故状况下泄漏物料/废水可被截流在围堤内，然后再根据实际情况分批送厂区废水处理站处理达标后排放。</w:t>
      </w:r>
    </w:p>
    <w:p>
      <w:pPr>
        <w:ind w:firstLine="480"/>
      </w:pPr>
      <w:r>
        <w:rPr>
          <w:rFonts w:hint="eastAsia"/>
        </w:rPr>
        <w:t>（2）事故应急池</w:t>
      </w:r>
    </w:p>
    <w:p>
      <w:pPr>
        <w:ind w:firstLine="480"/>
      </w:pPr>
      <w:r>
        <w:rPr>
          <w:rFonts w:hint="eastAsia"/>
        </w:rPr>
        <w:t>本工程厂区东面废水处理站旁设置有效容积为1850m</w:t>
      </w:r>
      <w:r>
        <w:rPr>
          <w:rFonts w:hint="eastAsia"/>
          <w:vertAlign w:val="superscript"/>
        </w:rPr>
        <w:t>3</w:t>
      </w:r>
      <w:r>
        <w:rPr>
          <w:rFonts w:hint="eastAsia"/>
        </w:rPr>
        <w:t>的事故应急池，以满足厂区内初期雨水和事故废水废水的收集需求。装置区围堤和导流设施、初期雨水系统均已与事故池相连，并设有雨污切换阀（常态为闭合状态），确保事故排污水在第一时间得到收集、处理。事故废水收集、处理系统详见下图6.9-1。</w:t>
      </w:r>
    </w:p>
    <w:p>
      <w:pPr>
        <w:pStyle w:val="41"/>
      </w:pPr>
      <w:r>
        <w:object>
          <v:shape id="_x0000_i1039" o:spt="75" type="#_x0000_t75" style="height:117.5pt;width:342.35pt;" o:ole="t" filled="f" coordsize="21600,21600">
            <v:path/>
            <v:fill on="f" focussize="0,0"/>
            <v:stroke/>
            <v:imagedata r:id="rId97" o:title=""/>
            <o:lock v:ext="edit" aspectratio="t"/>
            <w10:wrap type="none"/>
            <w10:anchorlock/>
          </v:shape>
          <o:OLEObject Type="Embed" ProgID="Visio.Drawing.11" ShapeID="_x0000_i1039" DrawAspect="Content" ObjectID="_1468075740" r:id="rId96">
            <o:LockedField>false</o:LockedField>
          </o:OLEObject>
        </w:object>
      </w:r>
    </w:p>
    <w:p>
      <w:pPr>
        <w:ind w:firstLine="480"/>
      </w:pPr>
      <w:r>
        <w:rPr>
          <w:rFonts w:hint="eastAsia"/>
        </w:rPr>
        <w:t>（3）区域应急截留方案</w:t>
      </w:r>
    </w:p>
    <w:p>
      <w:pPr>
        <w:ind w:firstLine="480"/>
      </w:pPr>
      <w:r>
        <w:rPr>
          <w:rFonts w:hint="eastAsia"/>
        </w:rPr>
        <w:t>为实现对事故应急废水的有效控制，经开区按照企业最优设计、事故废水最优收集和最大拦截的原则，拟建成“装置级、工厂级、片区级、经开区级、流域级”的五级事故废水防控体系，确保极端事故条件下事故污水不流入长江。</w:t>
      </w:r>
    </w:p>
    <w:p>
      <w:pPr>
        <w:ind w:firstLine="480"/>
      </w:pPr>
      <w:r>
        <w:fldChar w:fldCharType="begin"/>
      </w:r>
      <w:r>
        <w:instrText xml:space="preserve"> eq \o\ac(</w:instrText>
      </w:r>
      <w:r>
        <w:rPr>
          <w:rFonts w:hint="eastAsia"/>
        </w:rPr>
        <w:instrText xml:space="preserve">○</w:instrText>
      </w:r>
      <w:r>
        <w:instrText xml:space="preserve">,</w:instrText>
      </w:r>
      <w:r>
        <w:rPr>
          <w:position w:val="3"/>
          <w:sz w:val="16"/>
        </w:rPr>
        <w:instrText xml:space="preserve">1</w:instrText>
      </w:r>
      <w:r>
        <w:instrText xml:space="preserve">)</w:instrText>
      </w:r>
      <w:r>
        <w:fldChar w:fldCharType="end"/>
      </w:r>
      <w:r>
        <w:rPr>
          <w:rFonts w:hint="eastAsia"/>
        </w:rPr>
        <w:t>装置级：装置区围堤、储罐区防火堤等构成事故废水防控体系的第一级。防止泄漏事故造成的环境污染。</w:t>
      </w:r>
    </w:p>
    <w:p>
      <w:pPr>
        <w:ind w:firstLine="480"/>
      </w:pPr>
      <w:r>
        <w:rPr>
          <w:rFonts w:hint="eastAsia"/>
        </w:rPr>
        <w:t>②工厂级：设置事故应急池及配套设施，构成事故废水防控体系的第二级。发生重大事故，产生大量事故废水时，通过关闭雨水切换阀将事故废水切换至事故应急池，待事故过后进行有效处理，实现企业对事故废水的有效控制。</w:t>
      </w:r>
    </w:p>
    <w:p>
      <w:pPr>
        <w:ind w:firstLine="480"/>
      </w:pPr>
      <w:r>
        <w:rPr>
          <w:rFonts w:hint="eastAsia"/>
        </w:rPr>
        <w:t>③片区级：根据产业特性和地理位置，将规划区域划分成若干片区（北区、南区、</w:t>
      </w:r>
      <w:r>
        <w:t>MDI</w:t>
      </w:r>
      <w:r>
        <w:rPr>
          <w:rFonts w:hint="eastAsia"/>
        </w:rPr>
        <w:t>片区、</w:t>
      </w:r>
      <w:r>
        <w:t>3#</w:t>
      </w:r>
      <w:r>
        <w:rPr>
          <w:rFonts w:hint="eastAsia"/>
        </w:rPr>
        <w:t>闸门片区），在各个片区内建设公共的事故应急池，并在企业的雨水进入经开区的雨水管网前设置切换设施（或是将片区内经开区的雨水管网进行封闭收集），建设专用的事故污水管线接入到片区的公共事故应急池，实现雨水可控排放和在线监测，构成事故污水防控体系的第三级。</w:t>
      </w:r>
      <w:r>
        <w:t>MDI</w:t>
      </w:r>
      <w:r>
        <w:rPr>
          <w:rFonts w:hint="eastAsia"/>
        </w:rPr>
        <w:t>片区设有</w:t>
      </w:r>
      <w:r>
        <w:t>1#13000m</w:t>
      </w:r>
      <w:r>
        <w:rPr>
          <w:vertAlign w:val="superscript"/>
        </w:rPr>
        <w:t>3</w:t>
      </w:r>
      <w:r>
        <w:rPr>
          <w:rFonts w:hint="eastAsia"/>
        </w:rPr>
        <w:t>事故池、中法水务</w:t>
      </w:r>
      <w:r>
        <w:t>2#7500m</w:t>
      </w:r>
      <w:r>
        <w:rPr>
          <w:vertAlign w:val="superscript"/>
        </w:rPr>
        <w:t>3</w:t>
      </w:r>
      <w:r>
        <w:rPr>
          <w:rFonts w:hint="eastAsia"/>
        </w:rPr>
        <w:t>事故池；北区设有</w:t>
      </w:r>
      <w:r>
        <w:t>3#25000m</w:t>
      </w:r>
      <w:r>
        <w:rPr>
          <w:vertAlign w:val="superscript"/>
        </w:rPr>
        <w:t>3</w:t>
      </w:r>
      <w:r>
        <w:rPr>
          <w:rFonts w:hint="eastAsia"/>
        </w:rPr>
        <w:t>事故池；南区设</w:t>
      </w:r>
      <w:r>
        <w:t>4#18000m</w:t>
      </w:r>
      <w:r>
        <w:rPr>
          <w:vertAlign w:val="superscript"/>
        </w:rPr>
        <w:t>3</w:t>
      </w:r>
      <w:r>
        <w:rPr>
          <w:rFonts w:hint="eastAsia"/>
        </w:rPr>
        <w:t>事故池、中法污水厂设</w:t>
      </w:r>
      <w:r>
        <w:t>5#20000m</w:t>
      </w:r>
      <w:r>
        <w:rPr>
          <w:vertAlign w:val="superscript"/>
        </w:rPr>
        <w:t>3</w:t>
      </w:r>
      <w:r>
        <w:rPr>
          <w:rFonts w:hint="eastAsia"/>
        </w:rPr>
        <w:t>事故池；</w:t>
      </w:r>
      <w:r>
        <w:t>3#</w:t>
      </w:r>
      <w:r>
        <w:rPr>
          <w:rFonts w:hint="eastAsia"/>
        </w:rPr>
        <w:t>闸门片区设</w:t>
      </w:r>
      <w:r>
        <w:t>6#10000m</w:t>
      </w:r>
      <w:r>
        <w:rPr>
          <w:vertAlign w:val="superscript"/>
        </w:rPr>
        <w:t>3</w:t>
      </w:r>
      <w:r>
        <w:rPr>
          <w:rFonts w:hint="eastAsia"/>
        </w:rPr>
        <w:t>事故池；中法污水厂设</w:t>
      </w:r>
      <w:r>
        <w:t>7#10000m</w:t>
      </w:r>
      <w:r>
        <w:rPr>
          <w:vertAlign w:val="superscript"/>
        </w:rPr>
        <w:t>3</w:t>
      </w:r>
      <w:r>
        <w:rPr>
          <w:rFonts w:hint="eastAsia"/>
        </w:rPr>
        <w:t>事故池，具体见附图</w:t>
      </w:r>
      <w:r>
        <w:t>9</w:t>
      </w:r>
      <w:r>
        <w:rPr>
          <w:rFonts w:hint="eastAsia"/>
        </w:rPr>
        <w:t>。</w:t>
      </w:r>
      <w:r>
        <w:t>MDI</w:t>
      </w:r>
      <w:r>
        <w:rPr>
          <w:rFonts w:hint="eastAsia"/>
        </w:rPr>
        <w:t>片区事故池与北区事故池相互连通，再与中法污水厂事故池相互连通。南区事故池、</w:t>
      </w:r>
      <w:r>
        <w:t>3#</w:t>
      </w:r>
      <w:r>
        <w:rPr>
          <w:rFonts w:hint="eastAsia"/>
        </w:rPr>
        <w:t>闸门事故池均与中法污水厂事故池相互连通。一旦监测到有超标的雨水或者在事故状态下，立即启动企业雨水排口的切换设施，让事故污水通过专用的事故污水管道进入到片区的公共事故应急池，确保企业的事故污水不进入经开区的雨水管网，从而避免受污染的雨水进入自然河流。</w:t>
      </w:r>
    </w:p>
    <w:p>
      <w:pPr>
        <w:ind w:firstLine="480"/>
      </w:pPr>
      <w:r>
        <w:rPr>
          <w:rFonts w:hint="eastAsia"/>
        </w:rPr>
        <w:t>在发生极端恶性风险事故，导致厂区事故池同时受损破坏，不能满足纳污要求时，可依托长寿经济技术开发区项目所在片区事故池进行拦截，评价要求项目事故池应与片区事故池联通，做到有效收集企业的事故废水。截流的事故废水根据性质不同，采用回收或用泵送至经开区污水处理厂处理达标后排放。</w:t>
      </w:r>
    </w:p>
    <w:p>
      <w:pPr>
        <w:ind w:firstLine="480"/>
      </w:pPr>
      <w:r>
        <w:rPr>
          <w:rFonts w:hint="eastAsia"/>
        </w:rPr>
        <w:t>④经开区级：经开区在晏家河支流和排洪沟上修建了二道事故污水拦截闸门（即</w:t>
      </w:r>
      <w:r>
        <w:t>1#</w:t>
      </w:r>
      <w:r>
        <w:rPr>
          <w:rFonts w:hint="eastAsia"/>
        </w:rPr>
        <w:t>闸门、</w:t>
      </w:r>
      <w:r>
        <w:t>2#</w:t>
      </w:r>
      <w:r>
        <w:rPr>
          <w:rFonts w:hint="eastAsia"/>
        </w:rPr>
        <w:t>闸门，具体位置见附图</w:t>
      </w:r>
      <w:r>
        <w:t>9</w:t>
      </w:r>
      <w:r>
        <w:rPr>
          <w:rFonts w:hint="eastAsia"/>
        </w:rPr>
        <w:t>），事故污水拦截能力达到了</w:t>
      </w:r>
      <w:r>
        <w:t>25</w:t>
      </w:r>
      <w:r>
        <w:rPr>
          <w:rFonts w:hint="eastAsia"/>
        </w:rPr>
        <w:t>万</w:t>
      </w:r>
      <w:r>
        <w:t>m</w:t>
      </w:r>
      <w:r>
        <w:rPr>
          <w:vertAlign w:val="superscript"/>
        </w:rPr>
        <w:t>3</w:t>
      </w:r>
      <w:r>
        <w:rPr>
          <w:rFonts w:hint="eastAsia"/>
        </w:rPr>
        <w:t>，构成事故污水防控体系的第四级。由于经开区紧邻长江，而事故废水的产生量又受很多不确定因素的影响，很难对事故废水量预先作出准确计算，在极端情况下，当事故污水超出了企业事故应急池和公共事故应急池的容量时，将通过雨水管网进入晏家河支流或排洪沟，此时关闭闸门</w:t>
      </w:r>
      <w:r>
        <w:t>1#</w:t>
      </w:r>
      <w:r>
        <w:rPr>
          <w:rFonts w:hint="eastAsia"/>
        </w:rPr>
        <w:t>、</w:t>
      </w:r>
      <w:r>
        <w:t>2#</w:t>
      </w:r>
      <w:r>
        <w:rPr>
          <w:rFonts w:hint="eastAsia"/>
        </w:rPr>
        <w:t>闸门，对事故废水进行拦截，再用泵加压送至污水厂集中处理。</w:t>
      </w:r>
    </w:p>
    <w:p>
      <w:pPr>
        <w:ind w:firstLine="480"/>
      </w:pPr>
      <w:r>
        <w:rPr>
          <w:rFonts w:hint="eastAsia"/>
        </w:rPr>
        <w:t>⑤河流级：经开区在晏家河干流上修建了晏家河闸门，其事故废水拦截能力将达到</w:t>
      </w:r>
      <w:r>
        <w:t>50</w:t>
      </w:r>
      <w:r>
        <w:rPr>
          <w:rFonts w:hint="eastAsia"/>
        </w:rPr>
        <w:t>万</w:t>
      </w:r>
      <w:r>
        <w:t>m</w:t>
      </w:r>
      <w:r>
        <w:rPr>
          <w:vertAlign w:val="superscript"/>
        </w:rPr>
        <w:t>3</w:t>
      </w:r>
      <w:r>
        <w:rPr>
          <w:rFonts w:hint="eastAsia"/>
        </w:rPr>
        <w:t>，构成事故废水防控体系的第五级，实现对灾难性事故废水的有效拦截。</w:t>
      </w:r>
    </w:p>
    <w:p>
      <w:pPr>
        <w:pStyle w:val="5"/>
      </w:pPr>
      <w:r>
        <w:rPr>
          <w:rFonts w:hint="eastAsia"/>
        </w:rPr>
        <w:t>6.9.2.9区域联动及应急防范措施</w:t>
      </w:r>
    </w:p>
    <w:p>
      <w:pPr>
        <w:ind w:firstLine="480"/>
      </w:pPr>
      <w:r>
        <w:rPr>
          <w:rFonts w:hint="eastAsia"/>
        </w:rPr>
        <w:t>当某一设备发生火灾事故，如果处理不及时，可能会引发装置区内其它相邻的含易燃、易爆设施的连锁火灾爆炸事故，从而造成更大影响范围的环境风险事故。为避免此类环境风险事故的发生，建设单位拟采取以下措施：</w:t>
      </w:r>
    </w:p>
    <w:p>
      <w:pPr>
        <w:ind w:firstLine="480"/>
      </w:pPr>
      <w:r>
        <w:rPr>
          <w:rFonts w:hint="eastAsia"/>
        </w:rPr>
        <w:t>①设计上首先按规范要求进行设计，与周边建筑设施的距离满足相关要求，有一定的风险防范能力。</w:t>
      </w:r>
    </w:p>
    <w:p>
      <w:pPr>
        <w:ind w:firstLine="480"/>
      </w:pPr>
      <w:r>
        <w:rPr>
          <w:rFonts w:hint="eastAsia"/>
        </w:rPr>
        <w:t>②与周边企业建设有效的联动应急系统。同时规定若发生重大事故，第一时间内其它关系企业应根据请求并提供人力、物力帮助。</w:t>
      </w:r>
    </w:p>
    <w:p>
      <w:pPr>
        <w:ind w:firstLine="480"/>
      </w:pPr>
      <w:r>
        <w:rPr>
          <w:rFonts w:hint="eastAsia"/>
        </w:rPr>
        <w:t>通过以上措施确保火灾事故发生时能够做到及时发现、及时报警、及时隔离、及时处理，将事故控制在最小区域范围内，避免造成相邻设施的连锁事故。</w:t>
      </w:r>
    </w:p>
    <w:p>
      <w:pPr>
        <w:pStyle w:val="5"/>
      </w:pPr>
      <w:r>
        <w:rPr>
          <w:rFonts w:hint="eastAsia"/>
        </w:rPr>
        <w:t>6.9.2.10事故伴生/次生污染物环境污染防范措施及消除措施</w:t>
      </w:r>
    </w:p>
    <w:p>
      <w:pPr>
        <w:ind w:firstLine="480"/>
      </w:pPr>
      <w:r>
        <w:t>当发生事故时往往会同时产生伴生/次生污染物，这些污染物可能通过大气、水排放系统进入环境。发生事故时，要针对所产生的伴生/次生污染物选用不同的消除方法。</w:t>
      </w:r>
    </w:p>
    <w:p>
      <w:pPr>
        <w:ind w:firstLine="480"/>
      </w:pPr>
      <w:r>
        <w:t>（1）装置区发生泄漏或火灾事故，有消防废水产生。</w:t>
      </w:r>
      <w:r>
        <w:rPr>
          <w:rFonts w:hint="eastAsia"/>
        </w:rPr>
        <w:t>消防废水通过围堤截留，排入事故应急池，在分批打入废水处理站处理达标后排放，</w:t>
      </w:r>
      <w:r>
        <w:t>严禁消防水将物料带入受纳水体。</w:t>
      </w:r>
    </w:p>
    <w:p>
      <w:pPr>
        <w:ind w:firstLine="480"/>
      </w:pPr>
      <w:r>
        <w:t>（2）公路运输发生泄漏，事故处理中，区域内土壤将受到污染，有被污染的处置材料（如砂土等）及消防废水产生。将刮取受污染的表土及被污染的处置材料（如砂土）委托具有资质的危险废物处置单位对其处理。消防废水用罐车送至附近城市污水处理厂处理达标后排放。</w:t>
      </w:r>
    </w:p>
    <w:p>
      <w:pPr>
        <w:pStyle w:val="4"/>
        <w:spacing w:before="156" w:after="156"/>
      </w:pPr>
      <w:bookmarkStart w:id="163" w:name="_Toc84844326"/>
      <w:r>
        <w:rPr>
          <w:rFonts w:hint="eastAsia"/>
        </w:rPr>
        <w:t>6.9.3应急处置措施</w:t>
      </w:r>
      <w:bookmarkEnd w:id="163"/>
    </w:p>
    <w:p>
      <w:pPr>
        <w:ind w:firstLine="480"/>
        <w:sectPr>
          <w:pgSz w:w="11906" w:h="16838"/>
          <w:pgMar w:top="1440" w:right="1800" w:bottom="1440" w:left="1800" w:header="851" w:footer="992" w:gutter="0"/>
          <w:cols w:space="425" w:num="1"/>
          <w:docGrid w:type="lines" w:linePitch="312" w:charSpace="0"/>
        </w:sectPr>
      </w:pPr>
      <w:r>
        <w:rPr>
          <w:rFonts w:hint="eastAsia"/>
        </w:rPr>
        <w:t>拟建项目运行过程中，涉及使用多种易燃、有毒物质，根据各种物质的不同理化及毒理性质，分别提出各类物料事故状况下的应急处置措施和消防措施，见表6.9-1。</w:t>
      </w:r>
    </w:p>
    <w:p>
      <w:pPr>
        <w:pStyle w:val="41"/>
      </w:pPr>
      <w:r>
        <w:rPr>
          <w:rFonts w:hint="eastAsia"/>
        </w:rPr>
        <w:t>表6.9-1  各类物料应急处置措施及消防措施</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5"/>
        <w:gridCol w:w="5448"/>
        <w:gridCol w:w="5403"/>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435" w:type="pct"/>
            <w:shd w:val="clear" w:color="auto" w:fill="auto"/>
            <w:vAlign w:val="center"/>
          </w:tcPr>
          <w:p>
            <w:pPr>
              <w:pStyle w:val="42"/>
              <w:rPr>
                <w:sz w:val="18"/>
                <w:szCs w:val="18"/>
              </w:rPr>
            </w:pPr>
            <w:r>
              <w:rPr>
                <w:sz w:val="18"/>
                <w:szCs w:val="18"/>
              </w:rPr>
              <w:t>物料名称</w:t>
            </w:r>
          </w:p>
        </w:tc>
        <w:tc>
          <w:tcPr>
            <w:tcW w:w="1950" w:type="pct"/>
            <w:shd w:val="clear" w:color="auto" w:fill="auto"/>
            <w:vAlign w:val="center"/>
          </w:tcPr>
          <w:p>
            <w:pPr>
              <w:pStyle w:val="42"/>
              <w:rPr>
                <w:sz w:val="18"/>
                <w:szCs w:val="18"/>
              </w:rPr>
            </w:pPr>
            <w:r>
              <w:rPr>
                <w:sz w:val="18"/>
                <w:szCs w:val="18"/>
              </w:rPr>
              <w:t>应急处置措施</w:t>
            </w:r>
          </w:p>
        </w:tc>
        <w:tc>
          <w:tcPr>
            <w:tcW w:w="1934" w:type="pct"/>
            <w:vAlign w:val="center"/>
          </w:tcPr>
          <w:p>
            <w:pPr>
              <w:pStyle w:val="42"/>
              <w:rPr>
                <w:sz w:val="18"/>
                <w:szCs w:val="18"/>
              </w:rPr>
            </w:pPr>
            <w:r>
              <w:rPr>
                <w:rFonts w:hint="eastAsia"/>
                <w:sz w:val="18"/>
                <w:szCs w:val="18"/>
              </w:rPr>
              <w:t>防护措施</w:t>
            </w:r>
          </w:p>
        </w:tc>
        <w:tc>
          <w:tcPr>
            <w:tcW w:w="681" w:type="pct"/>
            <w:shd w:val="clear" w:color="auto" w:fill="auto"/>
            <w:vAlign w:val="center"/>
          </w:tcPr>
          <w:p>
            <w:pPr>
              <w:pStyle w:val="42"/>
              <w:rPr>
                <w:sz w:val="18"/>
                <w:szCs w:val="18"/>
              </w:rPr>
            </w:pPr>
            <w:r>
              <w:rPr>
                <w:sz w:val="18"/>
                <w:szCs w:val="18"/>
              </w:rPr>
              <w:t>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rFonts w:hint="eastAsia"/>
                <w:sz w:val="18"/>
                <w:szCs w:val="18"/>
              </w:rPr>
              <w:t>天然气（甲烷）</w:t>
            </w:r>
          </w:p>
        </w:tc>
        <w:tc>
          <w:tcPr>
            <w:tcW w:w="1950" w:type="pct"/>
            <w:shd w:val="clear" w:color="auto" w:fill="auto"/>
            <w:vAlign w:val="center"/>
          </w:tcPr>
          <w:p>
            <w:pPr>
              <w:pStyle w:val="42"/>
              <w:rPr>
                <w:sz w:val="18"/>
                <w:szCs w:val="18"/>
              </w:rPr>
            </w:pPr>
            <w:r>
              <w:rPr>
                <w:rFonts w:hint="eastAsia"/>
                <w:sz w:val="18"/>
                <w:szCs w:val="18"/>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c>
          <w:tcPr>
            <w:tcW w:w="1934" w:type="pct"/>
            <w:vAlign w:val="center"/>
          </w:tcPr>
          <w:p>
            <w:pPr>
              <w:pStyle w:val="42"/>
              <w:jc w:val="left"/>
              <w:rPr>
                <w:sz w:val="18"/>
                <w:szCs w:val="18"/>
              </w:rPr>
            </w:pPr>
            <w:r>
              <w:rPr>
                <w:rFonts w:hint="eastAsia"/>
                <w:sz w:val="18"/>
                <w:szCs w:val="18"/>
              </w:rPr>
              <w:t>呼吸系统防护：一般不需要特殊防护，但建议特殊情况下，佩带自吸过滤式防毒面具(半面罩)。</w:t>
            </w:r>
          </w:p>
          <w:p>
            <w:pPr>
              <w:pStyle w:val="42"/>
              <w:jc w:val="left"/>
              <w:rPr>
                <w:sz w:val="18"/>
                <w:szCs w:val="18"/>
              </w:rPr>
            </w:pPr>
            <w:r>
              <w:rPr>
                <w:rFonts w:hint="eastAsia"/>
                <w:sz w:val="18"/>
                <w:szCs w:val="18"/>
              </w:rPr>
              <w:t>眼睛防护：一般不需要特别防护，高浓度接触时可戴安全防护眼镜。</w:t>
            </w:r>
          </w:p>
          <w:p>
            <w:pPr>
              <w:pStyle w:val="42"/>
              <w:jc w:val="left"/>
              <w:rPr>
                <w:sz w:val="18"/>
                <w:szCs w:val="18"/>
              </w:rPr>
            </w:pPr>
            <w:r>
              <w:rPr>
                <w:rFonts w:hint="eastAsia"/>
                <w:sz w:val="18"/>
                <w:szCs w:val="18"/>
              </w:rPr>
              <w:t>身体防护：穿防静电工作服。</w:t>
            </w:r>
          </w:p>
          <w:p>
            <w:pPr>
              <w:pStyle w:val="42"/>
              <w:jc w:val="left"/>
              <w:rPr>
                <w:sz w:val="18"/>
                <w:szCs w:val="18"/>
              </w:rPr>
            </w:pPr>
            <w:r>
              <w:rPr>
                <w:rFonts w:hint="eastAsia"/>
                <w:sz w:val="18"/>
                <w:szCs w:val="18"/>
              </w:rPr>
              <w:t>手防护：戴一般作业防护手套。</w:t>
            </w:r>
          </w:p>
          <w:p>
            <w:pPr>
              <w:pStyle w:val="42"/>
              <w:jc w:val="left"/>
              <w:rPr>
                <w:sz w:val="18"/>
                <w:szCs w:val="18"/>
              </w:rPr>
            </w:pPr>
            <w:r>
              <w:rPr>
                <w:rFonts w:hint="eastAsia"/>
                <w:sz w:val="18"/>
                <w:szCs w:val="18"/>
              </w:rPr>
              <w:t>其它：工作现场严禁吸烟。避免长期反复接触。进入罐、限制性空间或其它高浓度区作业，须有人监护。</w:t>
            </w:r>
          </w:p>
        </w:tc>
        <w:tc>
          <w:tcPr>
            <w:tcW w:w="681" w:type="pct"/>
            <w:shd w:val="clear" w:color="auto" w:fill="auto"/>
            <w:vAlign w:val="center"/>
          </w:tcPr>
          <w:p>
            <w:pPr>
              <w:pStyle w:val="42"/>
              <w:rPr>
                <w:sz w:val="18"/>
                <w:szCs w:val="18"/>
              </w:rPr>
            </w:pPr>
            <w:r>
              <w:rPr>
                <w:rFonts w:hint="eastAsia"/>
                <w:sz w:val="18"/>
                <w:szCs w:val="18"/>
              </w:rPr>
              <w:t>切断气源。若不能立即切断气源，则不允许熄灭正在燃烧的气体。喷水冷却容器，可能的话将容器从火场移至空旷处。灭火剂：雾状水、泡沫、二氧化碳、干粉。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rFonts w:hint="eastAsia"/>
                <w:sz w:val="18"/>
                <w:szCs w:val="18"/>
              </w:rPr>
              <w:t>氨</w:t>
            </w:r>
          </w:p>
        </w:tc>
        <w:tc>
          <w:tcPr>
            <w:tcW w:w="1950" w:type="pct"/>
            <w:shd w:val="clear" w:color="auto" w:fill="auto"/>
            <w:vAlign w:val="center"/>
          </w:tcPr>
          <w:p>
            <w:pPr>
              <w:pStyle w:val="42"/>
              <w:rPr>
                <w:sz w:val="18"/>
                <w:szCs w:val="18"/>
              </w:rPr>
            </w:pPr>
            <w:r>
              <w:rPr>
                <w:rFonts w:hint="eastAsia"/>
                <w:sz w:val="18"/>
                <w:szCs w:val="18"/>
              </w:rPr>
              <w:t>迅速撤离泄漏污染区人员至上风处，并立即进行隔离150米，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c>
          <w:tcPr>
            <w:tcW w:w="1934" w:type="pct"/>
            <w:vAlign w:val="center"/>
          </w:tcPr>
          <w:p>
            <w:pPr>
              <w:pStyle w:val="42"/>
              <w:rPr>
                <w:sz w:val="18"/>
                <w:szCs w:val="18"/>
              </w:rPr>
            </w:pPr>
            <w:r>
              <w:rPr>
                <w:rFonts w:hint="eastAsia"/>
                <w:sz w:val="18"/>
                <w:szCs w:val="18"/>
              </w:rPr>
              <w:t>呼吸系统防护：空气中浓度超标时，建议佩戴过滤式防毒面具(半面罩)。紧急事态抢救或撤离时，必须佩戴空气呼吸器。</w:t>
            </w:r>
          </w:p>
          <w:p>
            <w:pPr>
              <w:pStyle w:val="42"/>
              <w:jc w:val="both"/>
              <w:rPr>
                <w:sz w:val="18"/>
                <w:szCs w:val="18"/>
              </w:rPr>
            </w:pPr>
            <w:r>
              <w:rPr>
                <w:rFonts w:hint="eastAsia"/>
                <w:sz w:val="18"/>
                <w:szCs w:val="18"/>
              </w:rPr>
              <w:t>眼睛防护：戴化学安全防护眼镜。</w:t>
            </w:r>
          </w:p>
          <w:p>
            <w:pPr>
              <w:pStyle w:val="42"/>
              <w:jc w:val="both"/>
              <w:rPr>
                <w:sz w:val="18"/>
                <w:szCs w:val="18"/>
              </w:rPr>
            </w:pPr>
            <w:r>
              <w:rPr>
                <w:rFonts w:hint="eastAsia"/>
                <w:sz w:val="18"/>
                <w:szCs w:val="18"/>
              </w:rPr>
              <w:t>身体防护：穿防静电工作服。</w:t>
            </w:r>
          </w:p>
          <w:p>
            <w:pPr>
              <w:pStyle w:val="42"/>
              <w:jc w:val="both"/>
              <w:rPr>
                <w:sz w:val="18"/>
                <w:szCs w:val="18"/>
              </w:rPr>
            </w:pPr>
            <w:r>
              <w:rPr>
                <w:rFonts w:hint="eastAsia"/>
                <w:sz w:val="18"/>
                <w:szCs w:val="18"/>
              </w:rPr>
              <w:t>手防护：戴橡胶手套。</w:t>
            </w:r>
          </w:p>
          <w:p>
            <w:pPr>
              <w:pStyle w:val="42"/>
              <w:rPr>
                <w:sz w:val="18"/>
                <w:szCs w:val="18"/>
              </w:rPr>
            </w:pPr>
            <w:r>
              <w:rPr>
                <w:rFonts w:hint="eastAsia"/>
                <w:sz w:val="18"/>
                <w:szCs w:val="18"/>
              </w:rPr>
              <w:t>其它：工作现场严禁吸烟、进食和饮水。工作毕，淋浴更衣。保持良好的卫生习惯。</w:t>
            </w:r>
          </w:p>
        </w:tc>
        <w:tc>
          <w:tcPr>
            <w:tcW w:w="681" w:type="pct"/>
            <w:shd w:val="clear" w:color="auto" w:fill="auto"/>
            <w:vAlign w:val="center"/>
          </w:tcPr>
          <w:p>
            <w:pPr>
              <w:pStyle w:val="42"/>
              <w:rPr>
                <w:sz w:val="18"/>
                <w:szCs w:val="18"/>
              </w:rPr>
            </w:pPr>
            <w:r>
              <w:rPr>
                <w:rFonts w:hint="eastAsia"/>
                <w:sz w:val="18"/>
                <w:szCs w:val="18"/>
              </w:rPr>
              <w:t>切断气源。若不能立即切断气源，则不允许熄灭正在燃烧的气体。喷水冷却容器，可能的话将容器从火场移至空旷处。灭火剂：雾状水、抗溶性泡沫、二氧化碳、砂土。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rFonts w:hint="eastAsia"/>
                <w:sz w:val="18"/>
                <w:szCs w:val="18"/>
              </w:rPr>
              <w:t>氢气</w:t>
            </w:r>
          </w:p>
        </w:tc>
        <w:tc>
          <w:tcPr>
            <w:tcW w:w="1950" w:type="pct"/>
            <w:shd w:val="clear" w:color="auto" w:fill="auto"/>
            <w:vAlign w:val="center"/>
          </w:tcPr>
          <w:p>
            <w:pPr>
              <w:pStyle w:val="42"/>
              <w:rPr>
                <w:sz w:val="18"/>
                <w:szCs w:val="18"/>
              </w:rPr>
            </w:pPr>
            <w:r>
              <w:rPr>
                <w:rFonts w:hint="eastAsia"/>
                <w:sz w:val="18"/>
                <w:szCs w:val="18"/>
              </w:rPr>
              <w:t>迅速撤离泄漏污染区人员至上风处，并进行隔离，严格限制出入。切断火源。建议应急处理人员戴自给正压式呼吸器，穿消防防护服。尽可能切断泄漏源。合理通风，加速扩散。如有可能，将漏出气用排风机送至空旷地方或装设适当喷头烧掉，漏气容器要妥善处理，修复、检验后再用。</w:t>
            </w:r>
          </w:p>
        </w:tc>
        <w:tc>
          <w:tcPr>
            <w:tcW w:w="1934" w:type="pct"/>
            <w:vAlign w:val="center"/>
          </w:tcPr>
          <w:p>
            <w:pPr>
              <w:pStyle w:val="42"/>
              <w:jc w:val="left"/>
              <w:rPr>
                <w:sz w:val="18"/>
                <w:szCs w:val="18"/>
              </w:rPr>
            </w:pPr>
            <w:r>
              <w:rPr>
                <w:rFonts w:hint="eastAsia"/>
                <w:sz w:val="18"/>
                <w:szCs w:val="18"/>
              </w:rPr>
              <w:t>呼吸系统防护：一般不需要特别防护，高浓度接触时可佩带空气呼吸器。</w:t>
            </w:r>
          </w:p>
          <w:p>
            <w:pPr>
              <w:pStyle w:val="42"/>
              <w:jc w:val="left"/>
              <w:rPr>
                <w:sz w:val="18"/>
                <w:szCs w:val="18"/>
              </w:rPr>
            </w:pPr>
            <w:r>
              <w:rPr>
                <w:rFonts w:hint="eastAsia"/>
                <w:sz w:val="18"/>
                <w:szCs w:val="18"/>
              </w:rPr>
              <w:t>眼睛防护：一般不需要特别防护。</w:t>
            </w:r>
          </w:p>
          <w:p>
            <w:pPr>
              <w:pStyle w:val="42"/>
              <w:jc w:val="left"/>
              <w:rPr>
                <w:sz w:val="18"/>
                <w:szCs w:val="18"/>
              </w:rPr>
            </w:pPr>
            <w:r>
              <w:rPr>
                <w:rFonts w:hint="eastAsia"/>
                <w:sz w:val="18"/>
                <w:szCs w:val="18"/>
              </w:rPr>
              <w:t>身体防护：穿防静电工作服。</w:t>
            </w:r>
          </w:p>
          <w:p>
            <w:pPr>
              <w:pStyle w:val="42"/>
              <w:jc w:val="left"/>
              <w:rPr>
                <w:sz w:val="18"/>
                <w:szCs w:val="18"/>
              </w:rPr>
            </w:pPr>
            <w:r>
              <w:rPr>
                <w:rFonts w:hint="eastAsia"/>
                <w:sz w:val="18"/>
                <w:szCs w:val="18"/>
              </w:rPr>
              <w:t>手防护：戴一般作业防护手套。</w:t>
            </w:r>
          </w:p>
          <w:p>
            <w:pPr>
              <w:pStyle w:val="42"/>
              <w:jc w:val="left"/>
              <w:rPr>
                <w:sz w:val="18"/>
                <w:szCs w:val="18"/>
              </w:rPr>
            </w:pPr>
            <w:r>
              <w:rPr>
                <w:rFonts w:hint="eastAsia"/>
                <w:sz w:val="18"/>
                <w:szCs w:val="18"/>
              </w:rPr>
              <w:t>其它：工作现场严禁吸烟。避免高浓度吸入。进入罐、限制性空间或其它高浓度区作业，须有人监护。</w:t>
            </w:r>
          </w:p>
        </w:tc>
        <w:tc>
          <w:tcPr>
            <w:tcW w:w="681" w:type="pct"/>
            <w:shd w:val="clear" w:color="auto" w:fill="auto"/>
            <w:vAlign w:val="center"/>
          </w:tcPr>
          <w:p>
            <w:pPr>
              <w:pStyle w:val="42"/>
              <w:rPr>
                <w:sz w:val="18"/>
                <w:szCs w:val="18"/>
              </w:rPr>
            </w:pPr>
            <w:r>
              <w:rPr>
                <w:rFonts w:hint="eastAsia"/>
                <w:sz w:val="18"/>
                <w:szCs w:val="18"/>
              </w:rPr>
              <w:t>切断气源。若不能立即切断气源，则不允许熄灭正在燃烧的气体。喷水冷却容器，可能的话将容器从火场移至空旷处。灭火剂：雾状水、泡沫、二氧化碳、干粉。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rFonts w:hint="eastAsia"/>
                <w:sz w:val="18"/>
                <w:szCs w:val="18"/>
              </w:rPr>
              <w:t>二氧化碳</w:t>
            </w:r>
          </w:p>
        </w:tc>
        <w:tc>
          <w:tcPr>
            <w:tcW w:w="1950" w:type="pct"/>
            <w:shd w:val="clear" w:color="auto" w:fill="auto"/>
            <w:vAlign w:val="center"/>
          </w:tcPr>
          <w:p>
            <w:pPr>
              <w:pStyle w:val="42"/>
              <w:rPr>
                <w:sz w:val="18"/>
                <w:szCs w:val="18"/>
              </w:rPr>
            </w:pPr>
            <w:r>
              <w:rPr>
                <w:rFonts w:hint="eastAsia"/>
                <w:sz w:val="18"/>
                <w:szCs w:val="18"/>
              </w:rPr>
              <w:t>迅速撤离泄漏污染区人员至上风处，并进行隔离，严格限制出入。建议应急处理人员戴自给正压式呼吸器，穿一般作业工作服。尽可能切断泄漏源。合理通风，加速扩散。如有可能，即时使用。漏气容器要妥善处理，修复、检验后再用。</w:t>
            </w:r>
          </w:p>
        </w:tc>
        <w:tc>
          <w:tcPr>
            <w:tcW w:w="1934" w:type="pct"/>
            <w:vAlign w:val="center"/>
          </w:tcPr>
          <w:p>
            <w:pPr>
              <w:pStyle w:val="42"/>
              <w:jc w:val="left"/>
              <w:rPr>
                <w:sz w:val="18"/>
                <w:szCs w:val="18"/>
              </w:rPr>
            </w:pPr>
            <w:r>
              <w:rPr>
                <w:rFonts w:hint="eastAsia"/>
                <w:sz w:val="18"/>
                <w:szCs w:val="18"/>
              </w:rPr>
              <w:t>呼吸系统防护：一般不需特殊防护。高浓度接触可佩戴空气呼吸器。</w:t>
            </w:r>
          </w:p>
          <w:p>
            <w:pPr>
              <w:pStyle w:val="42"/>
              <w:jc w:val="left"/>
              <w:rPr>
                <w:sz w:val="18"/>
                <w:szCs w:val="18"/>
              </w:rPr>
            </w:pPr>
            <w:r>
              <w:rPr>
                <w:rFonts w:hint="eastAsia"/>
                <w:sz w:val="18"/>
                <w:szCs w:val="18"/>
              </w:rPr>
              <w:t>眼睛防护：一般不需特殊防护。</w:t>
            </w:r>
          </w:p>
          <w:p>
            <w:pPr>
              <w:pStyle w:val="42"/>
              <w:jc w:val="left"/>
              <w:rPr>
                <w:sz w:val="18"/>
                <w:szCs w:val="18"/>
              </w:rPr>
            </w:pPr>
            <w:r>
              <w:rPr>
                <w:rFonts w:hint="eastAsia"/>
                <w:sz w:val="18"/>
                <w:szCs w:val="18"/>
              </w:rPr>
              <w:t>身体防护：穿一般作业工作服。</w:t>
            </w:r>
          </w:p>
          <w:p>
            <w:pPr>
              <w:pStyle w:val="42"/>
              <w:jc w:val="left"/>
              <w:rPr>
                <w:sz w:val="18"/>
                <w:szCs w:val="18"/>
              </w:rPr>
            </w:pPr>
            <w:r>
              <w:rPr>
                <w:rFonts w:hint="eastAsia"/>
                <w:sz w:val="18"/>
                <w:szCs w:val="18"/>
              </w:rPr>
              <w:t>手防护：戴一般作业防护手套。</w:t>
            </w:r>
          </w:p>
          <w:p>
            <w:pPr>
              <w:pStyle w:val="42"/>
              <w:jc w:val="left"/>
              <w:rPr>
                <w:sz w:val="18"/>
                <w:szCs w:val="18"/>
              </w:rPr>
            </w:pPr>
            <w:r>
              <w:rPr>
                <w:rFonts w:hint="eastAsia"/>
                <w:sz w:val="18"/>
                <w:szCs w:val="18"/>
              </w:rPr>
              <w:t>其它：避免高浓度吸入。进入罐、限制性空间或其它高浓度区作业，须有人监护。</w:t>
            </w:r>
          </w:p>
        </w:tc>
        <w:tc>
          <w:tcPr>
            <w:tcW w:w="681" w:type="pct"/>
            <w:shd w:val="clear" w:color="auto" w:fill="auto"/>
            <w:vAlign w:val="center"/>
          </w:tcPr>
          <w:p>
            <w:pPr>
              <w:pStyle w:val="42"/>
              <w:rPr>
                <w:sz w:val="18"/>
                <w:szCs w:val="18"/>
              </w:rPr>
            </w:pPr>
            <w:r>
              <w:rPr>
                <w:rFonts w:hint="eastAsia"/>
                <w:sz w:val="18"/>
                <w:szCs w:val="18"/>
              </w:rPr>
              <w:t>本品不燃。切断气源。喷水冷却容器，可能的话将容器从火场移至空旷处。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rFonts w:hint="eastAsia"/>
                <w:sz w:val="18"/>
                <w:szCs w:val="18"/>
              </w:rPr>
              <w:t>一氧化碳</w:t>
            </w:r>
          </w:p>
        </w:tc>
        <w:tc>
          <w:tcPr>
            <w:tcW w:w="1950" w:type="pct"/>
            <w:shd w:val="clear" w:color="auto" w:fill="auto"/>
            <w:vAlign w:val="center"/>
          </w:tcPr>
          <w:p>
            <w:pPr>
              <w:pStyle w:val="42"/>
              <w:rPr>
                <w:sz w:val="18"/>
                <w:szCs w:val="18"/>
              </w:rPr>
            </w:pPr>
            <w:r>
              <w:rPr>
                <w:rFonts w:hint="eastAsia"/>
                <w:sz w:val="18"/>
                <w:szCs w:val="18"/>
              </w:rPr>
              <w:t>迅速撤离泄漏污染区人员至上风处，并立即隔离150m，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tc>
        <w:tc>
          <w:tcPr>
            <w:tcW w:w="1934" w:type="pct"/>
            <w:vAlign w:val="center"/>
          </w:tcPr>
          <w:p>
            <w:pPr>
              <w:pStyle w:val="42"/>
              <w:jc w:val="left"/>
              <w:rPr>
                <w:sz w:val="18"/>
                <w:szCs w:val="18"/>
              </w:rPr>
            </w:pPr>
            <w:r>
              <w:rPr>
                <w:rFonts w:hint="eastAsia"/>
                <w:sz w:val="18"/>
                <w:szCs w:val="18"/>
              </w:rPr>
              <w:t>呼吸系统防护：空气中浓度超标时，佩带自吸过渡式防毒面具(半面罩)。紧急事态抢救或撤离时，建议佩带空气呼吸器、一氧化碳过滤式自救器。</w:t>
            </w:r>
          </w:p>
          <w:p>
            <w:pPr>
              <w:pStyle w:val="42"/>
              <w:jc w:val="left"/>
              <w:rPr>
                <w:sz w:val="18"/>
                <w:szCs w:val="18"/>
              </w:rPr>
            </w:pPr>
            <w:r>
              <w:rPr>
                <w:rFonts w:hint="eastAsia"/>
                <w:sz w:val="18"/>
                <w:szCs w:val="18"/>
              </w:rPr>
              <w:t>眼睛防护：一般不需要特别防护，高浓度接触时可戴安全防护眼睛。</w:t>
            </w:r>
          </w:p>
          <w:p>
            <w:pPr>
              <w:pStyle w:val="42"/>
              <w:jc w:val="left"/>
              <w:rPr>
                <w:sz w:val="18"/>
                <w:szCs w:val="18"/>
              </w:rPr>
            </w:pPr>
            <w:r>
              <w:rPr>
                <w:rFonts w:hint="eastAsia"/>
                <w:sz w:val="18"/>
                <w:szCs w:val="18"/>
              </w:rPr>
              <w:t>身体防护：穿防静电工作服。</w:t>
            </w:r>
          </w:p>
          <w:p>
            <w:pPr>
              <w:pStyle w:val="42"/>
              <w:jc w:val="left"/>
              <w:rPr>
                <w:sz w:val="18"/>
                <w:szCs w:val="18"/>
              </w:rPr>
            </w:pPr>
            <w:r>
              <w:rPr>
                <w:rFonts w:hint="eastAsia"/>
                <w:sz w:val="18"/>
                <w:szCs w:val="18"/>
              </w:rPr>
              <w:t>手防护：戴一般作业防护手套。</w:t>
            </w:r>
          </w:p>
          <w:p>
            <w:pPr>
              <w:pStyle w:val="42"/>
              <w:jc w:val="left"/>
              <w:rPr>
                <w:sz w:val="18"/>
                <w:szCs w:val="18"/>
              </w:rPr>
            </w:pPr>
            <w:r>
              <w:rPr>
                <w:rFonts w:hint="eastAsia"/>
                <w:sz w:val="18"/>
                <w:szCs w:val="18"/>
              </w:rPr>
              <w:t xml:space="preserve">  其它：工作现场严禁吸烟。实行就业前和定期的体验。避免高浓度吸入。进入罐、限制性空间或其它高浓度区作业，须有人监护。</w:t>
            </w:r>
          </w:p>
        </w:tc>
        <w:tc>
          <w:tcPr>
            <w:tcW w:w="681" w:type="pct"/>
            <w:shd w:val="clear" w:color="auto" w:fill="auto"/>
            <w:vAlign w:val="center"/>
          </w:tcPr>
          <w:p>
            <w:pPr>
              <w:pStyle w:val="42"/>
              <w:rPr>
                <w:sz w:val="18"/>
                <w:szCs w:val="18"/>
              </w:rPr>
            </w:pPr>
            <w:r>
              <w:rPr>
                <w:rFonts w:hint="eastAsia"/>
                <w:sz w:val="18"/>
                <w:szCs w:val="18"/>
              </w:rPr>
              <w:t>切断气源。若不能立即切断气源，则不允许熄灭正在燃烧的气体。喷水冷却容器，可能的话将容器从火场移至空旷处。灭火剂：雾状水、泡沫、二氧化碳、干粉。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5" w:type="pct"/>
            <w:shd w:val="clear" w:color="auto" w:fill="auto"/>
            <w:vAlign w:val="center"/>
          </w:tcPr>
          <w:p>
            <w:pPr>
              <w:pStyle w:val="42"/>
              <w:rPr>
                <w:sz w:val="18"/>
                <w:szCs w:val="18"/>
              </w:rPr>
            </w:pPr>
            <w:r>
              <w:rPr>
                <w:sz w:val="18"/>
                <w:szCs w:val="18"/>
              </w:rPr>
              <w:t>甲醇</w:t>
            </w:r>
          </w:p>
        </w:tc>
        <w:tc>
          <w:tcPr>
            <w:tcW w:w="1950" w:type="pct"/>
            <w:shd w:val="clear" w:color="auto" w:fill="auto"/>
            <w:vAlign w:val="center"/>
          </w:tcPr>
          <w:p>
            <w:pPr>
              <w:pStyle w:val="42"/>
              <w:rPr>
                <w:sz w:val="18"/>
                <w:szCs w:val="18"/>
              </w:rPr>
            </w:pPr>
            <w:r>
              <w:rPr>
                <w:sz w:val="18"/>
                <w:szCs w:val="18"/>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c>
          <w:tcPr>
            <w:tcW w:w="1934" w:type="pct"/>
            <w:vAlign w:val="center"/>
          </w:tcPr>
          <w:p>
            <w:pPr>
              <w:pStyle w:val="42"/>
              <w:jc w:val="left"/>
              <w:rPr>
                <w:sz w:val="18"/>
                <w:szCs w:val="18"/>
              </w:rPr>
            </w:pPr>
            <w:r>
              <w:rPr>
                <w:rFonts w:hint="eastAsia"/>
                <w:sz w:val="18"/>
                <w:szCs w:val="18"/>
              </w:rPr>
              <w:t>呼吸系统防护：可能接触其蒸气时，应该佩戴过滤式防毒面罩(半面罩)。紧急事态抢救或撤离时，建议佩戴空气呼吸器。</w:t>
            </w:r>
          </w:p>
          <w:p>
            <w:pPr>
              <w:pStyle w:val="42"/>
              <w:jc w:val="left"/>
              <w:rPr>
                <w:sz w:val="18"/>
                <w:szCs w:val="18"/>
              </w:rPr>
            </w:pPr>
            <w:r>
              <w:rPr>
                <w:rFonts w:hint="eastAsia"/>
                <w:sz w:val="18"/>
                <w:szCs w:val="18"/>
              </w:rPr>
              <w:t>眼睛防护：戴化学安全防护眼镜。</w:t>
            </w:r>
          </w:p>
          <w:p>
            <w:pPr>
              <w:pStyle w:val="42"/>
              <w:jc w:val="left"/>
              <w:rPr>
                <w:sz w:val="18"/>
                <w:szCs w:val="18"/>
              </w:rPr>
            </w:pPr>
            <w:r>
              <w:rPr>
                <w:rFonts w:hint="eastAsia"/>
                <w:sz w:val="18"/>
                <w:szCs w:val="18"/>
              </w:rPr>
              <w:t>身体防护：穿防静电工作服。</w:t>
            </w:r>
          </w:p>
          <w:p>
            <w:pPr>
              <w:pStyle w:val="42"/>
              <w:jc w:val="left"/>
              <w:rPr>
                <w:sz w:val="18"/>
                <w:szCs w:val="18"/>
              </w:rPr>
            </w:pPr>
            <w:r>
              <w:rPr>
                <w:rFonts w:hint="eastAsia"/>
                <w:sz w:val="18"/>
                <w:szCs w:val="18"/>
              </w:rPr>
              <w:t>手防护：戴橡胶手套。</w:t>
            </w:r>
          </w:p>
          <w:p>
            <w:pPr>
              <w:pStyle w:val="42"/>
              <w:jc w:val="left"/>
              <w:rPr>
                <w:sz w:val="18"/>
                <w:szCs w:val="18"/>
              </w:rPr>
            </w:pPr>
            <w:r>
              <w:rPr>
                <w:rFonts w:hint="eastAsia"/>
                <w:sz w:val="18"/>
                <w:szCs w:val="18"/>
              </w:rPr>
              <w:t>其它：工作现场禁止吸烟、进食和饮水。工作毕，淋浴更衣。实行就业前和定期的体检。</w:t>
            </w:r>
          </w:p>
        </w:tc>
        <w:tc>
          <w:tcPr>
            <w:tcW w:w="681" w:type="pct"/>
            <w:shd w:val="clear" w:color="auto" w:fill="auto"/>
            <w:vAlign w:val="center"/>
          </w:tcPr>
          <w:p>
            <w:pPr>
              <w:pStyle w:val="42"/>
              <w:rPr>
                <w:sz w:val="18"/>
                <w:szCs w:val="18"/>
              </w:rPr>
            </w:pPr>
            <w:r>
              <w:rPr>
                <w:rFonts w:hint="eastAsia"/>
                <w:sz w:val="18"/>
                <w:szCs w:val="18"/>
              </w:rPr>
              <w:t>尽可能将容器从火场移至空旷处。喷水保持火场容器冷却，直至灭火结束。处在火场中的容器若已变色或从安全泄压装置中产生声音，必须马上撤离。灭火剂：抗溶性泡沫、干粉、二氧化碳、砂土。</w:t>
            </w:r>
          </w:p>
        </w:tc>
      </w:tr>
    </w:tbl>
    <w:p>
      <w:pPr>
        <w:pStyle w:val="41"/>
        <w:sectPr>
          <w:pgSz w:w="16838" w:h="11906" w:orient="landscape"/>
          <w:pgMar w:top="1800" w:right="1440" w:bottom="1800" w:left="1440" w:header="851" w:footer="992" w:gutter="0"/>
          <w:cols w:space="425" w:num="1"/>
          <w:docGrid w:type="lines" w:linePitch="326" w:charSpace="0"/>
        </w:sectPr>
      </w:pPr>
    </w:p>
    <w:p>
      <w:pPr>
        <w:pStyle w:val="4"/>
        <w:spacing w:before="156" w:after="156"/>
        <w:rPr>
          <w:rFonts w:eastAsiaTheme="minorEastAsia"/>
        </w:rPr>
      </w:pPr>
      <w:bookmarkStart w:id="164" w:name="_Toc84844327"/>
      <w:r>
        <w:rPr>
          <w:rFonts w:hint="eastAsia"/>
        </w:rPr>
        <w:t>6.9.4</w:t>
      </w:r>
      <w:r>
        <w:rPr>
          <w:rFonts w:eastAsiaTheme="minorEastAsia"/>
        </w:rPr>
        <w:t>环境应急监测</w:t>
      </w:r>
      <w:bookmarkEnd w:id="164"/>
    </w:p>
    <w:p>
      <w:pPr>
        <w:ind w:firstLine="480"/>
      </w:pPr>
      <w:r>
        <w:rPr>
          <w:rFonts w:hint="eastAsia"/>
        </w:rPr>
        <w:t>（1）长寿区生态环境监测站应急监测能力</w:t>
      </w:r>
    </w:p>
    <w:p>
      <w:pPr>
        <w:ind w:firstLine="480"/>
      </w:pPr>
      <w:r>
        <w:rPr>
          <w:rFonts w:hint="eastAsia"/>
        </w:rPr>
        <w:t>长寿区生态环境监测站属国家二级环境监测站，现有编制人员30余人，其中高级工程师4人、工程师6人，持证人员24人。配备有原子吸收分光光度计、气相色谱仪、双道原子荧光分光光度计、离子色谱仪、紫外可见分光光度计、COD测定仪、DO测定仪、多功能水质分析仪、纯水机、大气自动采样仪、烟尘烟气测试仪、噪声自动监测仪、应急监测设备、无菌实验室、监测车等监测仪器设备256台（套）。</w:t>
      </w:r>
    </w:p>
    <w:p>
      <w:pPr>
        <w:ind w:firstLine="480"/>
      </w:pPr>
      <w:r>
        <w:rPr>
          <w:rFonts w:hint="eastAsia"/>
        </w:rPr>
        <w:t>监测站开展的主要业务有：气和废气、水和废水、生物、固废、物理等5大类的环境质量监测、污染源监督性监测、环境污染事故及纠纷仲裁监测、环评现状监测、排污收费监测、室内空气质量监测和其它服务性监测，通过“双认证”（资质、计量）的项目共计344项（其中计量194项、资质150项）。</w:t>
      </w:r>
    </w:p>
    <w:p>
      <w:pPr>
        <w:ind w:firstLine="480"/>
      </w:pPr>
      <w:r>
        <w:rPr>
          <w:rFonts w:hint="eastAsia"/>
        </w:rPr>
        <w:t>长寿区生态环境监测站建立了环境应急监测系统，制定了应急监测预案，落实了相关责任人员。根据长寿区生态环境监测站的设备、人员配置，当发生风险事故时，长寿区生态环境监测站能够进行风险应急监测。</w:t>
      </w:r>
    </w:p>
    <w:p>
      <w:pPr>
        <w:ind w:firstLine="480"/>
      </w:pPr>
      <w:r>
        <w:rPr>
          <w:rFonts w:hint="eastAsia"/>
        </w:rPr>
        <w:t>（2）应急监测方案</w:t>
      </w:r>
    </w:p>
    <w:p>
      <w:pPr>
        <w:ind w:firstLine="480"/>
      </w:pPr>
      <w:r>
        <w:rPr>
          <w:rFonts w:hint="eastAsia"/>
        </w:rPr>
        <w:t>厂区发生事故，采取应急措施后，能严防事故废水排入长江，不考虑水监测方案。应根据事故波及范围确定监测方案，监测人员应在有必要的防护措施和保证安全的情况下进入处理现场采样。此外，监测方案应根据事故的具体情况由指挥部作调整和安排。评价仅提出原则要求，见表6.9-2。</w:t>
      </w:r>
    </w:p>
    <w:p>
      <w:pPr>
        <w:ind w:firstLine="480"/>
      </w:pPr>
      <w:r>
        <w:rPr>
          <w:rFonts w:hint="eastAsia"/>
        </w:rPr>
        <w:t>采样分析：长寿区生态环境监测站负责事故区域环境空气、地表水的监测采样分析及突发性排放的废水监测分析。</w:t>
      </w:r>
    </w:p>
    <w:p>
      <w:pPr>
        <w:pStyle w:val="41"/>
      </w:pPr>
      <w:r>
        <w:rPr>
          <w:rFonts w:hint="eastAsia"/>
        </w:rPr>
        <w:t>表6.9-2 应急监测方案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902"/>
        <w:gridCol w:w="1844"/>
        <w:gridCol w:w="2170"/>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shd w:val="clear" w:color="auto" w:fill="FFFFFF" w:themeFill="background1"/>
            <w:vAlign w:val="center"/>
          </w:tcPr>
          <w:p>
            <w:pPr>
              <w:pStyle w:val="42"/>
            </w:pPr>
            <w:r>
              <w:t>类别</w:t>
            </w:r>
          </w:p>
        </w:tc>
        <w:tc>
          <w:tcPr>
            <w:tcW w:w="1116" w:type="pct"/>
            <w:shd w:val="clear" w:color="auto" w:fill="FFFFFF" w:themeFill="background1"/>
            <w:vAlign w:val="center"/>
          </w:tcPr>
          <w:p>
            <w:pPr>
              <w:pStyle w:val="42"/>
            </w:pPr>
            <w:r>
              <w:t>事故点</w:t>
            </w:r>
          </w:p>
        </w:tc>
        <w:tc>
          <w:tcPr>
            <w:tcW w:w="1082" w:type="pct"/>
            <w:shd w:val="clear" w:color="auto" w:fill="FFFFFF" w:themeFill="background1"/>
            <w:vAlign w:val="center"/>
          </w:tcPr>
          <w:p>
            <w:pPr>
              <w:pStyle w:val="42"/>
            </w:pPr>
            <w:r>
              <w:t>监测点</w:t>
            </w:r>
          </w:p>
        </w:tc>
        <w:tc>
          <w:tcPr>
            <w:tcW w:w="1273" w:type="pct"/>
            <w:shd w:val="clear" w:color="auto" w:fill="FFFFFF" w:themeFill="background1"/>
            <w:vAlign w:val="center"/>
          </w:tcPr>
          <w:p>
            <w:pPr>
              <w:pStyle w:val="42"/>
            </w:pPr>
            <w:r>
              <w:t>监测频率</w:t>
            </w:r>
          </w:p>
        </w:tc>
        <w:tc>
          <w:tcPr>
            <w:tcW w:w="1168" w:type="pct"/>
            <w:shd w:val="clear" w:color="auto" w:fill="FFFFFF" w:themeFill="background1"/>
            <w:vAlign w:val="center"/>
          </w:tcPr>
          <w:p>
            <w:pPr>
              <w:pStyle w:val="42"/>
            </w:pPr>
            <w: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pPr>
              <w:pStyle w:val="42"/>
            </w:pPr>
            <w:r>
              <w:t>环境</w:t>
            </w:r>
          </w:p>
          <w:p>
            <w:pPr>
              <w:pStyle w:val="42"/>
            </w:pPr>
            <w:r>
              <w:t>空气</w:t>
            </w:r>
          </w:p>
        </w:tc>
        <w:tc>
          <w:tcPr>
            <w:tcW w:w="1116" w:type="pct"/>
            <w:tcBorders>
              <w:bottom w:val="single" w:color="auto" w:sz="4" w:space="0"/>
            </w:tcBorders>
            <w:vAlign w:val="center"/>
          </w:tcPr>
          <w:p>
            <w:pPr>
              <w:pStyle w:val="42"/>
            </w:pPr>
            <w:r>
              <w:rPr>
                <w:rFonts w:hint="eastAsia"/>
              </w:rPr>
              <w:t>合成氨装置区、二氧化碳回收装置区或液氨输送</w:t>
            </w:r>
            <w:r>
              <w:t>管道泄漏、火灾、爆炸</w:t>
            </w:r>
          </w:p>
        </w:tc>
        <w:tc>
          <w:tcPr>
            <w:tcW w:w="1082" w:type="pct"/>
            <w:vAlign w:val="center"/>
          </w:tcPr>
          <w:p>
            <w:pPr>
              <w:pStyle w:val="42"/>
            </w:pPr>
            <w:r>
              <w:t>泄漏点周围敏感点（居民、学校、医院等）布设</w:t>
            </w:r>
          </w:p>
        </w:tc>
        <w:tc>
          <w:tcPr>
            <w:tcW w:w="1273" w:type="pct"/>
            <w:vAlign w:val="center"/>
          </w:tcPr>
          <w:p>
            <w:pPr>
              <w:pStyle w:val="42"/>
            </w:pPr>
            <w:r>
              <w:t>事故初期，采样 1次/30min；随后根据空气中有害物浓度降低监测频率，按1h、2h等采样</w:t>
            </w:r>
          </w:p>
        </w:tc>
        <w:tc>
          <w:tcPr>
            <w:tcW w:w="1168" w:type="pct"/>
            <w:tcBorders>
              <w:bottom w:val="single" w:color="auto" w:sz="4" w:space="0"/>
            </w:tcBorders>
            <w:vAlign w:val="center"/>
          </w:tcPr>
          <w:p>
            <w:pPr>
              <w:pStyle w:val="42"/>
            </w:pPr>
            <w:r>
              <w:rPr>
                <w:rFonts w:hint="eastAsia"/>
              </w:rPr>
              <w:t>NH</w:t>
            </w:r>
            <w:r>
              <w:rPr>
                <w:rFonts w:hint="eastAsia"/>
                <w:vertAlign w:val="subscript"/>
              </w:rPr>
              <w:t>3</w:t>
            </w:r>
            <w:r>
              <w:rPr>
                <w:rFonts w:hint="eastAsia"/>
              </w:rPr>
              <w:t>、CO</w:t>
            </w:r>
            <w:r>
              <w:t>等（监测因子根据事故物料而定）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pPr>
              <w:pStyle w:val="42"/>
            </w:pPr>
            <w:r>
              <w:rPr>
                <w:rFonts w:hint="eastAsia"/>
              </w:rPr>
              <w:t>地表水</w:t>
            </w:r>
          </w:p>
        </w:tc>
        <w:tc>
          <w:tcPr>
            <w:tcW w:w="1116" w:type="pct"/>
            <w:tcBorders>
              <w:bottom w:val="single" w:color="auto" w:sz="4" w:space="0"/>
            </w:tcBorders>
            <w:vAlign w:val="center"/>
          </w:tcPr>
          <w:p>
            <w:pPr>
              <w:pStyle w:val="42"/>
            </w:pPr>
            <w:r>
              <w:rPr>
                <w:rFonts w:hint="eastAsia"/>
              </w:rPr>
              <w:t>天然气、液氨等输送事故</w:t>
            </w:r>
          </w:p>
        </w:tc>
        <w:tc>
          <w:tcPr>
            <w:tcW w:w="1082" w:type="pct"/>
            <w:vAlign w:val="center"/>
          </w:tcPr>
          <w:p>
            <w:pPr>
              <w:pStyle w:val="42"/>
            </w:pPr>
            <w:r>
              <w:t>对水体设3～5条监控断面，按100m、500m、1000m、2000m、4000m设置</w:t>
            </w:r>
          </w:p>
        </w:tc>
        <w:tc>
          <w:tcPr>
            <w:tcW w:w="1273" w:type="pct"/>
            <w:vAlign w:val="center"/>
          </w:tcPr>
          <w:p>
            <w:pPr>
              <w:pStyle w:val="42"/>
            </w:pPr>
            <w:r>
              <w:t>采样1次/30min；1h向指挥部报数据1次</w:t>
            </w:r>
          </w:p>
        </w:tc>
        <w:tc>
          <w:tcPr>
            <w:tcW w:w="1168" w:type="pct"/>
            <w:tcBorders>
              <w:bottom w:val="single" w:color="auto" w:sz="4" w:space="0"/>
            </w:tcBorders>
            <w:vAlign w:val="center"/>
          </w:tcPr>
          <w:p>
            <w:pPr>
              <w:pStyle w:val="42"/>
            </w:pPr>
            <w:r>
              <w:t>pH、COD、NH</w:t>
            </w:r>
            <w:r>
              <w:rPr>
                <w:vertAlign w:val="subscript"/>
              </w:rPr>
              <w:t>3</w:t>
            </w:r>
            <w:r>
              <w:t>-N、等（监测因子根据运输物料而定）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pPr>
              <w:pStyle w:val="42"/>
            </w:pPr>
            <w:r>
              <w:t>土壤</w:t>
            </w:r>
          </w:p>
        </w:tc>
        <w:tc>
          <w:tcPr>
            <w:tcW w:w="4639" w:type="pct"/>
            <w:gridSpan w:val="4"/>
            <w:vAlign w:val="center"/>
          </w:tcPr>
          <w:p>
            <w:pPr>
              <w:pStyle w:val="42"/>
            </w:pPr>
            <w:r>
              <w:t>事故后期应对污染的土壤、生物进行环境影响评估</w:t>
            </w:r>
          </w:p>
        </w:tc>
      </w:tr>
    </w:tbl>
    <w:p>
      <w:pPr>
        <w:pStyle w:val="4"/>
        <w:spacing w:before="156" w:after="156"/>
      </w:pPr>
      <w:bookmarkStart w:id="165" w:name="_Toc84844328"/>
      <w:r>
        <w:rPr>
          <w:rFonts w:hint="eastAsia"/>
        </w:rPr>
        <w:t>6.9.5应急预案编制要求</w:t>
      </w:r>
      <w:bookmarkEnd w:id="165"/>
    </w:p>
    <w:p>
      <w:pPr>
        <w:ind w:firstLine="480"/>
      </w:pPr>
      <w:r>
        <w:rPr>
          <w:rFonts w:hint="eastAsia"/>
        </w:rPr>
        <w:t>（1）应急预案管理要求</w:t>
      </w:r>
    </w:p>
    <w:p>
      <w:pPr>
        <w:ind w:firstLine="480"/>
      </w:pPr>
      <w:r>
        <w:rPr>
          <w:rFonts w:hint="eastAsia"/>
        </w:rPr>
        <w:t>2015年4月，原环境保护部发布了《突发环境事件应急管理办法》（环境保护部令第34号）。“办法”制定的目的，主要是为了预防和减少突发环境事件的发生，控制、减轻和消除突发环境事件引起的危害，规范突发环境事件应急管理工作，保障公众生命安全、环境安全和财产安全。</w:t>
      </w:r>
    </w:p>
    <w:p>
      <w:pPr>
        <w:ind w:firstLine="480"/>
      </w:pPr>
      <w:r>
        <w:rPr>
          <w:rFonts w:hint="eastAsia"/>
        </w:rPr>
        <w:t>“办法”突出了企业事业单位的环境安全主体责任。明确了企业事业单位应对本单位的环境安全承担主体责任，具体体现在日常管理和事件应对两个层次十项具体责任。在日常管理方面，企业事业单位应当开展突发环境事件风险评估、健全突发环境事件风险防控措施、排查治理环境安全隐患、制定突发环境事件应急预案并备案、演练、加强环境应急能力保障建设；在事件应对方面，企业事业单位应立即采取有效措施处理，及时通报可能受到危害的单位和居民，并向所在地环境保护主管部门报告、接受调查处理以及对所造成的损害依法承担责任。</w:t>
      </w:r>
    </w:p>
    <w:p>
      <w:pPr>
        <w:ind w:firstLine="480"/>
      </w:pPr>
      <w:r>
        <w:rPr>
          <w:rFonts w:hint="eastAsia"/>
        </w:rPr>
        <w:t>（2）应急预案评审要求</w:t>
      </w:r>
    </w:p>
    <w:p>
      <w:pPr>
        <w:ind w:firstLine="480"/>
      </w:pPr>
      <w:r>
        <w:rPr>
          <w:rFonts w:hint="eastAsia"/>
        </w:rPr>
        <w:t>2018年1月，原环境保护部发布了《企业事业单位突发环境事件应急预案评审工作指南（试行）》。“指南”规定了企业组织评审突发环境事件应急预案的基本要求、评审内容、评审方法、评审程序，供企业自行组织评审时参照使用。请各地结合实际，加强宣传、培训、指导,切实发挥评审作用，推动企业不断提升预案质量。</w:t>
      </w:r>
    </w:p>
    <w:p>
      <w:pPr>
        <w:ind w:firstLine="480"/>
      </w:pPr>
      <w:r>
        <w:rPr>
          <w:rFonts w:hint="eastAsia"/>
        </w:rPr>
        <w:t>（3）应急预案编制要求</w:t>
      </w:r>
    </w:p>
    <w:p>
      <w:pPr>
        <w:ind w:firstLine="480"/>
      </w:pPr>
      <w:r>
        <w:rPr>
          <w:rFonts w:hint="eastAsia"/>
        </w:rPr>
        <w:t>本评价要求，拟建项目在建成后、完成竣工环境保护验收之前，应及时修订企业突发环境事件应急预案，并严格按照《企业事业单位突发环境事件应急预案评审工作指南（试行）》要求，组织开始应急预案。最终，将应急预案报重庆市长寿区生态环境局备案。</w:t>
      </w:r>
    </w:p>
    <w:p>
      <w:pPr>
        <w:ind w:firstLine="480"/>
        <w:rPr>
          <w:rFonts w:eastAsiaTheme="minorEastAsia"/>
        </w:rPr>
      </w:pPr>
      <w:r>
        <w:rPr>
          <w:rFonts w:hint="eastAsia"/>
        </w:rPr>
        <w:t>（4）</w:t>
      </w:r>
      <w:r>
        <w:rPr>
          <w:rFonts w:eastAsiaTheme="minorEastAsia"/>
        </w:rPr>
        <w:t>区域应急预案</w:t>
      </w:r>
    </w:p>
    <w:p>
      <w:pPr>
        <w:ind w:firstLine="480"/>
        <w:rPr>
          <w:rFonts w:eastAsiaTheme="minorEastAsia"/>
        </w:rPr>
      </w:pPr>
      <w:r>
        <w:rPr>
          <w:rFonts w:eastAsiaTheme="minorEastAsia"/>
        </w:rPr>
        <w:t>经开区编制了“园区应急预案”，设有专业消防队伍，重庆市</w:t>
      </w:r>
      <w:r>
        <w:rPr>
          <w:rFonts w:hint="eastAsia" w:eastAsiaTheme="minorEastAsia"/>
        </w:rPr>
        <w:t>生态环境</w:t>
      </w:r>
      <w:r>
        <w:rPr>
          <w:rFonts w:eastAsiaTheme="minorEastAsia"/>
        </w:rPr>
        <w:t>局编制了“处置化学恐怖袭击事件应急实施方案”，这些将有利于公司与区域、流域联合演练和事故应急求援，防止事故的扩大。</w:t>
      </w:r>
    </w:p>
    <w:p>
      <w:pPr>
        <w:ind w:firstLine="480"/>
        <w:rPr>
          <w:rFonts w:eastAsiaTheme="minorEastAsia"/>
        </w:rPr>
      </w:pPr>
      <w:r>
        <w:rPr>
          <w:rFonts w:eastAsiaTheme="minorEastAsia"/>
        </w:rPr>
        <w:t>企业严格按照《化工建设项目环境保护设计规范》（GB50483-2009）等要求建设应急设施；在项目投入试生产前，按照《石油化工企业环境应急预案编制指南》（环办[2010]10号）、《突发环境事件应急预案管理暂行办法》(环发[2010]113号)的要求将企业应急预案报市、区各级</w:t>
      </w:r>
      <w:r>
        <w:rPr>
          <w:rFonts w:hint="eastAsia" w:eastAsiaTheme="minorEastAsia"/>
        </w:rPr>
        <w:t>生态</w:t>
      </w:r>
      <w:r>
        <w:rPr>
          <w:rFonts w:eastAsiaTheme="minorEastAsia"/>
        </w:rPr>
        <w:t>环境保护行政主管部门备案备查；建立环境风险应急信息系统，并与周边企业、园区以及当地政府形成区域联控（联动）机制，有效防范因污染物事故排放或安全生产事故可能引发的环境风险。</w:t>
      </w:r>
    </w:p>
    <w:p>
      <w:pPr>
        <w:ind w:firstLine="480"/>
      </w:pPr>
      <w:r>
        <w:rPr>
          <w:rFonts w:hint="eastAsia"/>
        </w:rPr>
        <w:t>企业应急预案应与园区的《突发环境事件应急预案》实施对接及联动。</w:t>
      </w:r>
    </w:p>
    <w:p>
      <w:pPr>
        <w:pStyle w:val="3"/>
        <w:spacing w:before="156" w:after="156"/>
      </w:pPr>
      <w:bookmarkStart w:id="166" w:name="_Toc84844329"/>
      <w:r>
        <w:rPr>
          <w:rFonts w:hint="eastAsia"/>
        </w:rPr>
        <w:t>6.10风险防范措施及估算投资</w:t>
      </w:r>
      <w:bookmarkEnd w:id="166"/>
    </w:p>
    <w:p>
      <w:pPr>
        <w:ind w:firstLine="480"/>
      </w:pPr>
      <w:r>
        <w:rPr>
          <w:rFonts w:hint="eastAsia"/>
        </w:rPr>
        <w:t>拟建项目风险防范措施及投资估算见表6.10-1。</w:t>
      </w:r>
    </w:p>
    <w:p>
      <w:pPr>
        <w:pStyle w:val="41"/>
      </w:pPr>
      <w:r>
        <w:rPr>
          <w:rFonts w:hint="eastAsia"/>
        </w:rPr>
        <w:t>表6.10-1  风险防范措施及投资估算一览表</w:t>
      </w:r>
    </w:p>
    <w:tbl>
      <w:tblPr>
        <w:tblStyle w:val="33"/>
        <w:tblW w:w="513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10"/>
        <w:gridCol w:w="1984"/>
        <w:gridCol w:w="995"/>
        <w:gridCol w:w="2972"/>
        <w:gridCol w:w="1419"/>
        <w:gridCol w:w="8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sz w:val="18"/>
                <w:szCs w:val="18"/>
              </w:rPr>
              <w:t>序号</w:t>
            </w:r>
          </w:p>
        </w:tc>
        <w:tc>
          <w:tcPr>
            <w:tcW w:w="1133" w:type="pct"/>
            <w:vAlign w:val="center"/>
          </w:tcPr>
          <w:p>
            <w:pPr>
              <w:pStyle w:val="42"/>
              <w:rPr>
                <w:sz w:val="18"/>
                <w:szCs w:val="18"/>
              </w:rPr>
            </w:pPr>
            <w:r>
              <w:rPr>
                <w:sz w:val="18"/>
                <w:szCs w:val="18"/>
              </w:rPr>
              <w:t>风险防范措施</w:t>
            </w:r>
          </w:p>
        </w:tc>
        <w:tc>
          <w:tcPr>
            <w:tcW w:w="568" w:type="pct"/>
            <w:vAlign w:val="center"/>
          </w:tcPr>
          <w:p>
            <w:pPr>
              <w:pStyle w:val="42"/>
              <w:rPr>
                <w:sz w:val="18"/>
                <w:szCs w:val="18"/>
              </w:rPr>
            </w:pPr>
            <w:r>
              <w:rPr>
                <w:sz w:val="18"/>
                <w:szCs w:val="18"/>
              </w:rPr>
              <w:t>数量</w:t>
            </w:r>
          </w:p>
          <w:p>
            <w:pPr>
              <w:pStyle w:val="42"/>
              <w:rPr>
                <w:sz w:val="18"/>
                <w:szCs w:val="18"/>
              </w:rPr>
            </w:pPr>
            <w:r>
              <w:rPr>
                <w:sz w:val="18"/>
                <w:szCs w:val="18"/>
              </w:rPr>
              <w:t>（个</w:t>
            </w:r>
            <w:r>
              <w:rPr>
                <w:rFonts w:hint="eastAsia"/>
                <w:sz w:val="18"/>
                <w:szCs w:val="18"/>
              </w:rPr>
              <w:t>/套</w:t>
            </w:r>
            <w:r>
              <w:rPr>
                <w:sz w:val="18"/>
                <w:szCs w:val="18"/>
              </w:rPr>
              <w:t>）</w:t>
            </w:r>
          </w:p>
        </w:tc>
        <w:tc>
          <w:tcPr>
            <w:tcW w:w="1697" w:type="pct"/>
            <w:vAlign w:val="center"/>
          </w:tcPr>
          <w:p>
            <w:pPr>
              <w:pStyle w:val="42"/>
              <w:rPr>
                <w:sz w:val="18"/>
                <w:szCs w:val="18"/>
              </w:rPr>
            </w:pPr>
            <w:r>
              <w:rPr>
                <w:sz w:val="18"/>
                <w:szCs w:val="18"/>
              </w:rPr>
              <w:t>规格要求</w:t>
            </w:r>
          </w:p>
        </w:tc>
        <w:tc>
          <w:tcPr>
            <w:tcW w:w="810" w:type="pct"/>
            <w:vAlign w:val="center"/>
          </w:tcPr>
          <w:p>
            <w:pPr>
              <w:pStyle w:val="42"/>
              <w:rPr>
                <w:sz w:val="18"/>
                <w:szCs w:val="18"/>
              </w:rPr>
            </w:pPr>
            <w:r>
              <w:rPr>
                <w:sz w:val="18"/>
                <w:szCs w:val="18"/>
              </w:rPr>
              <w:t>作用</w:t>
            </w:r>
          </w:p>
        </w:tc>
        <w:tc>
          <w:tcPr>
            <w:tcW w:w="501" w:type="pct"/>
            <w:vAlign w:val="center"/>
          </w:tcPr>
          <w:p>
            <w:pPr>
              <w:pStyle w:val="42"/>
              <w:rPr>
                <w:sz w:val="18"/>
                <w:szCs w:val="18"/>
              </w:rPr>
            </w:pPr>
            <w:r>
              <w:rPr>
                <w:rFonts w:hint="eastAsia"/>
                <w:sz w:val="18"/>
                <w:szCs w:val="18"/>
              </w:rPr>
              <w:t>投资</w:t>
            </w:r>
          </w:p>
          <w:p>
            <w:pPr>
              <w:pStyle w:val="42"/>
              <w:rPr>
                <w:sz w:val="18"/>
                <w:szCs w:val="18"/>
              </w:rPr>
            </w:pPr>
            <w:r>
              <w:rPr>
                <w:rFonts w:hint="eastAsia"/>
                <w:sz w:val="18"/>
                <w:szCs w:val="18"/>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一</w:t>
            </w:r>
          </w:p>
        </w:tc>
        <w:tc>
          <w:tcPr>
            <w:tcW w:w="4709" w:type="pct"/>
            <w:gridSpan w:val="5"/>
            <w:vAlign w:val="center"/>
          </w:tcPr>
          <w:p>
            <w:pPr>
              <w:pStyle w:val="42"/>
              <w:rPr>
                <w:sz w:val="18"/>
                <w:szCs w:val="18"/>
              </w:rPr>
            </w:pPr>
            <w:r>
              <w:rPr>
                <w:rFonts w:hint="eastAsia"/>
                <w:sz w:val="18"/>
                <w:szCs w:val="18"/>
              </w:rPr>
              <w:t>生产装置区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1</w:t>
            </w:r>
          </w:p>
        </w:tc>
        <w:tc>
          <w:tcPr>
            <w:tcW w:w="1133" w:type="pct"/>
            <w:vAlign w:val="center"/>
          </w:tcPr>
          <w:p>
            <w:pPr>
              <w:pStyle w:val="42"/>
              <w:rPr>
                <w:sz w:val="18"/>
                <w:szCs w:val="18"/>
              </w:rPr>
            </w:pPr>
            <w:r>
              <w:rPr>
                <w:rFonts w:hint="eastAsia"/>
                <w:sz w:val="18"/>
                <w:szCs w:val="18"/>
              </w:rPr>
              <w:t>设置NH</w:t>
            </w:r>
            <w:r>
              <w:rPr>
                <w:rFonts w:hint="eastAsia"/>
                <w:sz w:val="18"/>
                <w:szCs w:val="18"/>
                <w:vertAlign w:val="subscript"/>
              </w:rPr>
              <w:t>3</w:t>
            </w:r>
            <w:r>
              <w:rPr>
                <w:rFonts w:hint="eastAsia"/>
                <w:sz w:val="18"/>
                <w:szCs w:val="18"/>
              </w:rPr>
              <w:t>、CO、甲烷、氢气等</w:t>
            </w:r>
            <w:r>
              <w:rPr>
                <w:sz w:val="18"/>
                <w:szCs w:val="18"/>
              </w:rPr>
              <w:t>有毒</w:t>
            </w:r>
            <w:r>
              <w:rPr>
                <w:rFonts w:hint="eastAsia"/>
                <w:sz w:val="18"/>
                <w:szCs w:val="18"/>
              </w:rPr>
              <w:t>有害</w:t>
            </w:r>
            <w:r>
              <w:rPr>
                <w:sz w:val="18"/>
                <w:szCs w:val="18"/>
              </w:rPr>
              <w:t>、可燃气体</w:t>
            </w:r>
            <w:r>
              <w:rPr>
                <w:rFonts w:hint="eastAsia"/>
                <w:sz w:val="18"/>
                <w:szCs w:val="18"/>
              </w:rPr>
              <w:t>探测</w:t>
            </w:r>
            <w:r>
              <w:rPr>
                <w:sz w:val="18"/>
                <w:szCs w:val="18"/>
              </w:rPr>
              <w:t>报警</w:t>
            </w:r>
            <w:r>
              <w:rPr>
                <w:rFonts w:hint="eastAsia"/>
                <w:sz w:val="18"/>
                <w:szCs w:val="18"/>
              </w:rPr>
              <w:t>装置</w:t>
            </w:r>
          </w:p>
        </w:tc>
        <w:tc>
          <w:tcPr>
            <w:tcW w:w="568" w:type="pct"/>
            <w:vAlign w:val="center"/>
          </w:tcPr>
          <w:p>
            <w:pPr>
              <w:pStyle w:val="42"/>
              <w:rPr>
                <w:sz w:val="18"/>
                <w:szCs w:val="18"/>
              </w:rPr>
            </w:pPr>
            <w:r>
              <w:rPr>
                <w:rFonts w:hint="eastAsia"/>
                <w:sz w:val="18"/>
                <w:szCs w:val="18"/>
              </w:rPr>
              <w:t>若干</w:t>
            </w:r>
          </w:p>
        </w:tc>
        <w:tc>
          <w:tcPr>
            <w:tcW w:w="1697" w:type="pct"/>
            <w:vAlign w:val="center"/>
          </w:tcPr>
          <w:p>
            <w:pPr>
              <w:pStyle w:val="42"/>
              <w:rPr>
                <w:sz w:val="18"/>
                <w:szCs w:val="18"/>
              </w:rPr>
            </w:pPr>
            <w:r>
              <w:rPr>
                <w:sz w:val="18"/>
                <w:szCs w:val="18"/>
              </w:rPr>
              <w:t>与</w:t>
            </w:r>
            <w:r>
              <w:rPr>
                <w:rFonts w:hint="eastAsia"/>
                <w:sz w:val="18"/>
                <w:szCs w:val="18"/>
              </w:rPr>
              <w:t>厂区</w:t>
            </w:r>
            <w:r>
              <w:rPr>
                <w:sz w:val="18"/>
                <w:szCs w:val="18"/>
              </w:rPr>
              <w:t>报警系统联动</w:t>
            </w:r>
          </w:p>
        </w:tc>
        <w:tc>
          <w:tcPr>
            <w:tcW w:w="810" w:type="pct"/>
            <w:vAlign w:val="center"/>
          </w:tcPr>
          <w:p>
            <w:pPr>
              <w:pStyle w:val="42"/>
              <w:rPr>
                <w:sz w:val="18"/>
                <w:szCs w:val="18"/>
              </w:rPr>
            </w:pPr>
            <w:r>
              <w:rPr>
                <w:sz w:val="18"/>
                <w:szCs w:val="18"/>
              </w:rPr>
              <w:t>及时发现泄漏，及时处理</w:t>
            </w:r>
          </w:p>
        </w:tc>
        <w:tc>
          <w:tcPr>
            <w:tcW w:w="501" w:type="pct"/>
            <w:vAlign w:val="center"/>
          </w:tcPr>
          <w:p>
            <w:pPr>
              <w:pStyle w:val="42"/>
              <w:rPr>
                <w:sz w:val="18"/>
                <w:szCs w:val="18"/>
              </w:rPr>
            </w:pPr>
            <w:r>
              <w:rPr>
                <w:rFonts w:hint="eastAsia"/>
                <w:sz w:val="18"/>
                <w:szCs w:val="1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2</w:t>
            </w:r>
          </w:p>
        </w:tc>
        <w:tc>
          <w:tcPr>
            <w:tcW w:w="1133" w:type="pct"/>
            <w:vAlign w:val="center"/>
          </w:tcPr>
          <w:p>
            <w:pPr>
              <w:pStyle w:val="42"/>
              <w:rPr>
                <w:sz w:val="18"/>
                <w:szCs w:val="18"/>
              </w:rPr>
            </w:pPr>
            <w:r>
              <w:rPr>
                <w:rFonts w:hint="eastAsia"/>
                <w:sz w:val="18"/>
                <w:szCs w:val="18"/>
              </w:rPr>
              <w:t>合成氨装置区和二氧化碳回收装置区设置围堤和导流设施</w:t>
            </w:r>
          </w:p>
        </w:tc>
        <w:tc>
          <w:tcPr>
            <w:tcW w:w="568" w:type="pct"/>
            <w:vAlign w:val="center"/>
          </w:tcPr>
          <w:p>
            <w:pPr>
              <w:pStyle w:val="42"/>
              <w:rPr>
                <w:sz w:val="18"/>
                <w:szCs w:val="18"/>
              </w:rPr>
            </w:pPr>
            <w:r>
              <w:rPr>
                <w:rFonts w:hint="eastAsia"/>
                <w:sz w:val="18"/>
                <w:szCs w:val="18"/>
              </w:rPr>
              <w:t>2</w:t>
            </w:r>
          </w:p>
        </w:tc>
        <w:tc>
          <w:tcPr>
            <w:tcW w:w="1697" w:type="pct"/>
            <w:vAlign w:val="center"/>
          </w:tcPr>
          <w:p>
            <w:pPr>
              <w:pStyle w:val="42"/>
              <w:rPr>
                <w:sz w:val="18"/>
                <w:szCs w:val="18"/>
              </w:rPr>
            </w:pPr>
            <w:r>
              <w:rPr>
                <w:rFonts w:hint="eastAsia"/>
                <w:sz w:val="18"/>
                <w:szCs w:val="18"/>
              </w:rPr>
              <w:t>围堤和导流设施均防腐、防渗处理</w:t>
            </w:r>
          </w:p>
        </w:tc>
        <w:tc>
          <w:tcPr>
            <w:tcW w:w="810" w:type="pct"/>
            <w:vAlign w:val="center"/>
          </w:tcPr>
          <w:p>
            <w:pPr>
              <w:pStyle w:val="42"/>
              <w:rPr>
                <w:sz w:val="18"/>
                <w:szCs w:val="18"/>
              </w:rPr>
            </w:pPr>
            <w:r>
              <w:rPr>
                <w:rFonts w:hint="eastAsia"/>
                <w:sz w:val="18"/>
                <w:szCs w:val="18"/>
              </w:rPr>
              <w:t>有效收集泄漏的物料</w:t>
            </w:r>
          </w:p>
        </w:tc>
        <w:tc>
          <w:tcPr>
            <w:tcW w:w="501" w:type="pct"/>
            <w:vAlign w:val="center"/>
          </w:tcPr>
          <w:p>
            <w:pPr>
              <w:pStyle w:val="42"/>
              <w:rPr>
                <w:sz w:val="18"/>
                <w:szCs w:val="18"/>
              </w:rPr>
            </w:pPr>
            <w:r>
              <w:rPr>
                <w:rFonts w:hint="eastAsia"/>
                <w:sz w:val="18"/>
                <w:szCs w:val="18"/>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3</w:t>
            </w:r>
          </w:p>
        </w:tc>
        <w:tc>
          <w:tcPr>
            <w:tcW w:w="1133" w:type="pct"/>
            <w:vAlign w:val="center"/>
          </w:tcPr>
          <w:p>
            <w:pPr>
              <w:pStyle w:val="42"/>
              <w:rPr>
                <w:sz w:val="18"/>
                <w:szCs w:val="18"/>
              </w:rPr>
            </w:pPr>
            <w:r>
              <w:rPr>
                <w:rFonts w:hint="eastAsia"/>
                <w:sz w:val="18"/>
                <w:szCs w:val="18"/>
              </w:rPr>
              <w:t>合成氨装置区设置水喷淋装置</w:t>
            </w:r>
          </w:p>
        </w:tc>
        <w:tc>
          <w:tcPr>
            <w:tcW w:w="568" w:type="pct"/>
            <w:vAlign w:val="center"/>
          </w:tcPr>
          <w:p>
            <w:pPr>
              <w:pStyle w:val="42"/>
              <w:rPr>
                <w:sz w:val="18"/>
                <w:szCs w:val="18"/>
              </w:rPr>
            </w:pPr>
            <w:r>
              <w:rPr>
                <w:rFonts w:hint="eastAsia"/>
                <w:sz w:val="18"/>
                <w:szCs w:val="18"/>
              </w:rPr>
              <w:t>1</w:t>
            </w:r>
          </w:p>
        </w:tc>
        <w:tc>
          <w:tcPr>
            <w:tcW w:w="1697" w:type="pct"/>
            <w:vAlign w:val="center"/>
          </w:tcPr>
          <w:p>
            <w:pPr>
              <w:pStyle w:val="42"/>
              <w:rPr>
                <w:sz w:val="18"/>
                <w:szCs w:val="18"/>
              </w:rPr>
            </w:pPr>
            <w:r>
              <w:rPr>
                <w:rFonts w:hint="eastAsia"/>
                <w:sz w:val="18"/>
                <w:szCs w:val="18"/>
              </w:rPr>
              <w:t>/</w:t>
            </w:r>
          </w:p>
        </w:tc>
        <w:tc>
          <w:tcPr>
            <w:tcW w:w="810" w:type="pct"/>
            <w:vAlign w:val="center"/>
          </w:tcPr>
          <w:p>
            <w:pPr>
              <w:pStyle w:val="42"/>
              <w:rPr>
                <w:sz w:val="18"/>
                <w:szCs w:val="18"/>
              </w:rPr>
            </w:pPr>
            <w:r>
              <w:rPr>
                <w:rFonts w:hint="eastAsia"/>
                <w:sz w:val="18"/>
                <w:szCs w:val="18"/>
              </w:rPr>
              <w:t>吸收、处理事故性泄漏的氨气</w:t>
            </w:r>
          </w:p>
        </w:tc>
        <w:tc>
          <w:tcPr>
            <w:tcW w:w="501" w:type="pct"/>
            <w:vAlign w:val="center"/>
          </w:tcPr>
          <w:p>
            <w:pPr>
              <w:pStyle w:val="42"/>
              <w:rPr>
                <w:sz w:val="18"/>
                <w:szCs w:val="18"/>
              </w:rPr>
            </w:pPr>
            <w:r>
              <w:rPr>
                <w:rFonts w:hint="eastAsia"/>
                <w:sz w:val="18"/>
                <w:szCs w:val="18"/>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二</w:t>
            </w:r>
          </w:p>
        </w:tc>
        <w:tc>
          <w:tcPr>
            <w:tcW w:w="4709" w:type="pct"/>
            <w:gridSpan w:val="5"/>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储罐区和液氨输送管道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4</w:t>
            </w:r>
          </w:p>
        </w:tc>
        <w:tc>
          <w:tcPr>
            <w:tcW w:w="1133" w:type="pct"/>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储罐安全阀</w:t>
            </w:r>
          </w:p>
        </w:tc>
        <w:tc>
          <w:tcPr>
            <w:tcW w:w="568" w:type="pct"/>
            <w:vAlign w:val="center"/>
          </w:tcPr>
          <w:p>
            <w:pPr>
              <w:pStyle w:val="42"/>
              <w:rPr>
                <w:sz w:val="18"/>
                <w:szCs w:val="18"/>
              </w:rPr>
            </w:pPr>
            <w:r>
              <w:rPr>
                <w:rFonts w:hint="eastAsia"/>
                <w:sz w:val="18"/>
                <w:szCs w:val="18"/>
              </w:rPr>
              <w:t>3</w:t>
            </w:r>
          </w:p>
        </w:tc>
        <w:tc>
          <w:tcPr>
            <w:tcW w:w="1697" w:type="pct"/>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储罐配套设置安全阀</w:t>
            </w:r>
          </w:p>
        </w:tc>
        <w:tc>
          <w:tcPr>
            <w:tcW w:w="810" w:type="pct"/>
            <w:vAlign w:val="center"/>
          </w:tcPr>
          <w:p>
            <w:pPr>
              <w:pStyle w:val="42"/>
              <w:rPr>
                <w:sz w:val="18"/>
                <w:szCs w:val="18"/>
              </w:rPr>
            </w:pPr>
            <w:r>
              <w:rPr>
                <w:rFonts w:hint="eastAsia"/>
                <w:sz w:val="18"/>
                <w:szCs w:val="18"/>
              </w:rPr>
              <w:t>控制储罐压力</w:t>
            </w:r>
          </w:p>
        </w:tc>
        <w:tc>
          <w:tcPr>
            <w:tcW w:w="501" w:type="pct"/>
            <w:vAlign w:val="center"/>
          </w:tcPr>
          <w:p>
            <w:pPr>
              <w:pStyle w:val="42"/>
              <w:rPr>
                <w:sz w:val="18"/>
                <w:szCs w:val="18"/>
              </w:rPr>
            </w:pPr>
            <w:r>
              <w:rPr>
                <w:rFonts w:hint="eastAsia"/>
                <w:sz w:val="18"/>
                <w:szCs w:val="18"/>
              </w:rPr>
              <w:t>计入设备费用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5</w:t>
            </w:r>
          </w:p>
        </w:tc>
        <w:tc>
          <w:tcPr>
            <w:tcW w:w="1133" w:type="pct"/>
            <w:vAlign w:val="center"/>
          </w:tcPr>
          <w:p>
            <w:pPr>
              <w:pStyle w:val="42"/>
              <w:rPr>
                <w:sz w:val="18"/>
                <w:szCs w:val="18"/>
              </w:rPr>
            </w:pPr>
            <w:r>
              <w:rPr>
                <w:rFonts w:hint="eastAsia"/>
                <w:sz w:val="18"/>
                <w:szCs w:val="18"/>
              </w:rPr>
              <w:t>液氨管道压力监控系统</w:t>
            </w:r>
          </w:p>
        </w:tc>
        <w:tc>
          <w:tcPr>
            <w:tcW w:w="568" w:type="pct"/>
            <w:vAlign w:val="center"/>
          </w:tcPr>
          <w:p>
            <w:pPr>
              <w:pStyle w:val="42"/>
              <w:rPr>
                <w:sz w:val="18"/>
                <w:szCs w:val="18"/>
              </w:rPr>
            </w:pPr>
            <w:r>
              <w:rPr>
                <w:rFonts w:hint="eastAsia"/>
                <w:sz w:val="18"/>
                <w:szCs w:val="18"/>
              </w:rPr>
              <w:t>1</w:t>
            </w:r>
          </w:p>
        </w:tc>
        <w:tc>
          <w:tcPr>
            <w:tcW w:w="1697" w:type="pct"/>
            <w:vAlign w:val="center"/>
          </w:tcPr>
          <w:p>
            <w:pPr>
              <w:pStyle w:val="42"/>
              <w:rPr>
                <w:sz w:val="18"/>
                <w:szCs w:val="18"/>
              </w:rPr>
            </w:pPr>
            <w:r>
              <w:rPr>
                <w:rFonts w:hint="eastAsia"/>
                <w:sz w:val="18"/>
                <w:szCs w:val="18"/>
              </w:rPr>
              <w:t>液氨输送管道设压力监控系统，泄漏后压力下降，可根据泄漏点位置，通过切断两侧阀门，另外管线设计有氮置换排放口，可将管线中的液氨置换排放至氨火炬系统，以控制和处置管道泄漏影响。</w:t>
            </w:r>
          </w:p>
        </w:tc>
        <w:tc>
          <w:tcPr>
            <w:tcW w:w="810" w:type="pct"/>
            <w:vAlign w:val="center"/>
          </w:tcPr>
          <w:p>
            <w:pPr>
              <w:pStyle w:val="42"/>
              <w:rPr>
                <w:sz w:val="18"/>
                <w:szCs w:val="18"/>
              </w:rPr>
            </w:pPr>
            <w:r>
              <w:rPr>
                <w:rFonts w:hint="eastAsia"/>
                <w:sz w:val="18"/>
                <w:szCs w:val="18"/>
              </w:rPr>
              <w:t>第一时间发现泄漏，控制泄漏影响。</w:t>
            </w:r>
          </w:p>
        </w:tc>
        <w:tc>
          <w:tcPr>
            <w:tcW w:w="501" w:type="pct"/>
            <w:vAlign w:val="center"/>
          </w:tcPr>
          <w:p>
            <w:pPr>
              <w:pStyle w:val="42"/>
              <w:rPr>
                <w:sz w:val="18"/>
                <w:szCs w:val="18"/>
              </w:rPr>
            </w:pPr>
            <w:r>
              <w:rPr>
                <w:rFonts w:hint="eastAsia"/>
                <w:sz w:val="18"/>
                <w:szCs w:val="18"/>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三</w:t>
            </w:r>
          </w:p>
        </w:tc>
        <w:tc>
          <w:tcPr>
            <w:tcW w:w="4709" w:type="pct"/>
            <w:gridSpan w:val="5"/>
            <w:vAlign w:val="center"/>
          </w:tcPr>
          <w:p>
            <w:pPr>
              <w:pStyle w:val="42"/>
              <w:rPr>
                <w:sz w:val="18"/>
                <w:szCs w:val="18"/>
              </w:rPr>
            </w:pPr>
            <w:r>
              <w:rPr>
                <w:rFonts w:hint="eastAsia"/>
                <w:sz w:val="18"/>
                <w:szCs w:val="18"/>
              </w:rPr>
              <w:t>其他防范措施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8" w:hRule="atLeast"/>
          <w:jc w:val="center"/>
        </w:trPr>
        <w:tc>
          <w:tcPr>
            <w:tcW w:w="291" w:type="pct"/>
            <w:vAlign w:val="center"/>
          </w:tcPr>
          <w:p>
            <w:pPr>
              <w:pStyle w:val="42"/>
              <w:rPr>
                <w:sz w:val="18"/>
                <w:szCs w:val="18"/>
              </w:rPr>
            </w:pPr>
            <w:r>
              <w:rPr>
                <w:rFonts w:hint="eastAsia"/>
                <w:sz w:val="18"/>
                <w:szCs w:val="18"/>
              </w:rPr>
              <w:t>6</w:t>
            </w:r>
          </w:p>
        </w:tc>
        <w:tc>
          <w:tcPr>
            <w:tcW w:w="1133" w:type="pct"/>
            <w:vAlign w:val="center"/>
          </w:tcPr>
          <w:p>
            <w:pPr>
              <w:pStyle w:val="42"/>
              <w:rPr>
                <w:sz w:val="18"/>
                <w:szCs w:val="18"/>
              </w:rPr>
            </w:pPr>
            <w:r>
              <w:rPr>
                <w:rFonts w:hint="eastAsia"/>
                <w:sz w:val="18"/>
                <w:szCs w:val="18"/>
              </w:rPr>
              <w:t>事故应急池</w:t>
            </w:r>
          </w:p>
        </w:tc>
        <w:tc>
          <w:tcPr>
            <w:tcW w:w="568" w:type="pct"/>
            <w:vAlign w:val="center"/>
          </w:tcPr>
          <w:p>
            <w:pPr>
              <w:pStyle w:val="42"/>
              <w:rPr>
                <w:sz w:val="18"/>
                <w:szCs w:val="18"/>
              </w:rPr>
            </w:pPr>
            <w:r>
              <w:rPr>
                <w:rFonts w:hint="eastAsia"/>
                <w:sz w:val="18"/>
                <w:szCs w:val="18"/>
              </w:rPr>
              <w:t>1</w:t>
            </w:r>
          </w:p>
        </w:tc>
        <w:tc>
          <w:tcPr>
            <w:tcW w:w="1697" w:type="pct"/>
            <w:vAlign w:val="center"/>
          </w:tcPr>
          <w:p>
            <w:pPr>
              <w:pStyle w:val="42"/>
              <w:rPr>
                <w:sz w:val="18"/>
                <w:szCs w:val="18"/>
              </w:rPr>
            </w:pPr>
            <w:r>
              <w:rPr>
                <w:rFonts w:hint="eastAsia"/>
                <w:sz w:val="18"/>
                <w:szCs w:val="18"/>
              </w:rPr>
              <w:t>有效容积1850m</w:t>
            </w:r>
            <w:r>
              <w:rPr>
                <w:rFonts w:hint="eastAsia"/>
                <w:sz w:val="18"/>
                <w:szCs w:val="18"/>
                <w:vertAlign w:val="superscript"/>
              </w:rPr>
              <w:t>3</w:t>
            </w:r>
            <w:r>
              <w:rPr>
                <w:rFonts w:hint="eastAsia"/>
                <w:sz w:val="18"/>
                <w:szCs w:val="18"/>
              </w:rPr>
              <w:t>，</w:t>
            </w:r>
            <w:r>
              <w:rPr>
                <w:sz w:val="18"/>
                <w:szCs w:val="18"/>
              </w:rPr>
              <w:t>各生产</w:t>
            </w:r>
            <w:r>
              <w:rPr>
                <w:rFonts w:hint="eastAsia"/>
                <w:sz w:val="18"/>
                <w:szCs w:val="18"/>
              </w:rPr>
              <w:t>装置区围堤、</w:t>
            </w:r>
            <w:r>
              <w:rPr>
                <w:sz w:val="18"/>
                <w:szCs w:val="18"/>
              </w:rPr>
              <w:t>初期雨水沟</w:t>
            </w:r>
            <w:r>
              <w:rPr>
                <w:rFonts w:hint="eastAsia"/>
                <w:sz w:val="18"/>
                <w:szCs w:val="18"/>
              </w:rPr>
              <w:t>等</w:t>
            </w:r>
            <w:r>
              <w:rPr>
                <w:sz w:val="18"/>
                <w:szCs w:val="18"/>
              </w:rPr>
              <w:t>均与事故池相连，并设有雨污</w:t>
            </w:r>
            <w:r>
              <w:rPr>
                <w:rFonts w:hint="eastAsia"/>
                <w:sz w:val="18"/>
                <w:szCs w:val="18"/>
              </w:rPr>
              <w:t>切换</w:t>
            </w:r>
            <w:r>
              <w:rPr>
                <w:sz w:val="18"/>
                <w:szCs w:val="18"/>
              </w:rPr>
              <w:t xml:space="preserve">阀 </w:t>
            </w:r>
          </w:p>
        </w:tc>
        <w:tc>
          <w:tcPr>
            <w:tcW w:w="810" w:type="pct"/>
            <w:vAlign w:val="center"/>
          </w:tcPr>
          <w:p>
            <w:pPr>
              <w:pStyle w:val="42"/>
              <w:rPr>
                <w:sz w:val="18"/>
                <w:szCs w:val="18"/>
              </w:rPr>
            </w:pPr>
            <w:r>
              <w:rPr>
                <w:rFonts w:hint="eastAsia"/>
                <w:sz w:val="18"/>
                <w:szCs w:val="18"/>
              </w:rPr>
              <w:t>有效收集事故废水，</w:t>
            </w:r>
            <w:r>
              <w:rPr>
                <w:sz w:val="18"/>
                <w:szCs w:val="18"/>
              </w:rPr>
              <w:t>确保事故排污水在第一时间得到收集、处理。</w:t>
            </w:r>
          </w:p>
        </w:tc>
        <w:tc>
          <w:tcPr>
            <w:tcW w:w="501" w:type="pct"/>
            <w:vAlign w:val="center"/>
          </w:tcPr>
          <w:p>
            <w:pPr>
              <w:pStyle w:val="42"/>
              <w:rPr>
                <w:sz w:val="18"/>
                <w:szCs w:val="18"/>
              </w:rPr>
            </w:pPr>
            <w:r>
              <w:rPr>
                <w:rFonts w:hint="eastAsia"/>
                <w:sz w:val="18"/>
                <w:szCs w:val="18"/>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1" w:type="pct"/>
            <w:vAlign w:val="center"/>
          </w:tcPr>
          <w:p>
            <w:pPr>
              <w:pStyle w:val="42"/>
              <w:rPr>
                <w:sz w:val="18"/>
                <w:szCs w:val="18"/>
              </w:rPr>
            </w:pPr>
            <w:r>
              <w:rPr>
                <w:rFonts w:hint="eastAsia"/>
                <w:sz w:val="18"/>
                <w:szCs w:val="18"/>
              </w:rPr>
              <w:t>7</w:t>
            </w:r>
          </w:p>
        </w:tc>
        <w:tc>
          <w:tcPr>
            <w:tcW w:w="1133" w:type="pct"/>
            <w:vAlign w:val="center"/>
          </w:tcPr>
          <w:p>
            <w:pPr>
              <w:pStyle w:val="42"/>
              <w:rPr>
                <w:sz w:val="18"/>
                <w:szCs w:val="18"/>
              </w:rPr>
            </w:pPr>
            <w:r>
              <w:rPr>
                <w:rFonts w:hint="eastAsia"/>
                <w:sz w:val="18"/>
                <w:szCs w:val="18"/>
              </w:rPr>
              <w:t>风险防范制度</w:t>
            </w:r>
          </w:p>
        </w:tc>
        <w:tc>
          <w:tcPr>
            <w:tcW w:w="568" w:type="pct"/>
            <w:vAlign w:val="center"/>
          </w:tcPr>
          <w:p>
            <w:pPr>
              <w:pStyle w:val="42"/>
              <w:rPr>
                <w:sz w:val="18"/>
                <w:szCs w:val="18"/>
              </w:rPr>
            </w:pPr>
            <w:r>
              <w:rPr>
                <w:rFonts w:hint="eastAsia"/>
                <w:sz w:val="18"/>
                <w:szCs w:val="18"/>
              </w:rPr>
              <w:t>/</w:t>
            </w:r>
          </w:p>
        </w:tc>
        <w:tc>
          <w:tcPr>
            <w:tcW w:w="1697" w:type="pct"/>
            <w:vAlign w:val="center"/>
          </w:tcPr>
          <w:p>
            <w:pPr>
              <w:pStyle w:val="42"/>
              <w:rPr>
                <w:sz w:val="18"/>
                <w:szCs w:val="18"/>
              </w:rPr>
            </w:pPr>
            <w:r>
              <w:rPr>
                <w:sz w:val="18"/>
                <w:szCs w:val="18"/>
              </w:rPr>
              <w:t>制定有应急预案</w:t>
            </w:r>
            <w:r>
              <w:rPr>
                <w:rFonts w:hint="eastAsia"/>
                <w:sz w:val="18"/>
                <w:szCs w:val="18"/>
              </w:rPr>
              <w:t>并</w:t>
            </w:r>
            <w:r>
              <w:rPr>
                <w:sz w:val="18"/>
                <w:szCs w:val="18"/>
              </w:rPr>
              <w:t>落实制度；配备有应急</w:t>
            </w:r>
            <w:r>
              <w:rPr>
                <w:rFonts w:hint="eastAsia"/>
                <w:sz w:val="18"/>
                <w:szCs w:val="18"/>
              </w:rPr>
              <w:t>救援物资；设置危险物质特性、应急处置措施及警示的标志</w:t>
            </w:r>
          </w:p>
        </w:tc>
        <w:tc>
          <w:tcPr>
            <w:tcW w:w="810" w:type="pct"/>
            <w:vAlign w:val="center"/>
          </w:tcPr>
          <w:p>
            <w:pPr>
              <w:pStyle w:val="42"/>
              <w:rPr>
                <w:sz w:val="18"/>
                <w:szCs w:val="18"/>
              </w:rPr>
            </w:pPr>
            <w:r>
              <w:rPr>
                <w:rFonts w:hint="eastAsia"/>
                <w:sz w:val="18"/>
                <w:szCs w:val="18"/>
              </w:rPr>
              <w:t>事故状态下及时开展救援工作</w:t>
            </w:r>
          </w:p>
        </w:tc>
        <w:tc>
          <w:tcPr>
            <w:tcW w:w="501" w:type="pct"/>
            <w:vAlign w:val="center"/>
          </w:tcPr>
          <w:p>
            <w:pPr>
              <w:pStyle w:val="42"/>
              <w:rPr>
                <w:sz w:val="18"/>
                <w:szCs w:val="18"/>
              </w:rPr>
            </w:pPr>
            <w:r>
              <w:rPr>
                <w:rFonts w:hint="eastAsia"/>
                <w:sz w:val="18"/>
                <w:szCs w:val="1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499" w:type="pct"/>
            <w:gridSpan w:val="5"/>
            <w:vAlign w:val="center"/>
          </w:tcPr>
          <w:p>
            <w:pPr>
              <w:pStyle w:val="42"/>
              <w:rPr>
                <w:sz w:val="18"/>
                <w:szCs w:val="18"/>
              </w:rPr>
            </w:pPr>
            <w:r>
              <w:rPr>
                <w:rFonts w:hint="eastAsia"/>
                <w:sz w:val="18"/>
                <w:szCs w:val="18"/>
              </w:rPr>
              <w:t>合计</w:t>
            </w:r>
          </w:p>
        </w:tc>
        <w:tc>
          <w:tcPr>
            <w:tcW w:w="501" w:type="pct"/>
            <w:vAlign w:val="center"/>
          </w:tcPr>
          <w:p>
            <w:pPr>
              <w:pStyle w:val="42"/>
              <w:rPr>
                <w:sz w:val="18"/>
                <w:szCs w:val="18"/>
              </w:rPr>
            </w:pPr>
            <w:r>
              <w:rPr>
                <w:rFonts w:hint="eastAsia"/>
                <w:sz w:val="18"/>
                <w:szCs w:val="18"/>
              </w:rPr>
              <w:t>75</w:t>
            </w:r>
          </w:p>
        </w:tc>
      </w:tr>
    </w:tbl>
    <w:p>
      <w:pPr>
        <w:pStyle w:val="3"/>
        <w:spacing w:before="156" w:after="156"/>
      </w:pPr>
      <w:bookmarkStart w:id="167" w:name="_Toc84844330"/>
      <w:r>
        <w:rPr>
          <w:rFonts w:hint="eastAsia"/>
        </w:rPr>
        <w:t>6.11评价结论与建议</w:t>
      </w:r>
      <w:bookmarkEnd w:id="167"/>
    </w:p>
    <w:p>
      <w:pPr>
        <w:ind w:firstLine="480"/>
      </w:pPr>
      <w:r>
        <w:t>（1）项目危险因素</w:t>
      </w:r>
    </w:p>
    <w:p>
      <w:pPr>
        <w:ind w:firstLine="480"/>
      </w:pPr>
      <w:r>
        <w:rPr>
          <w:rFonts w:hint="eastAsia"/>
        </w:rPr>
        <w:t>拟建项目涉及的危险化学品主要有：甲烷、甲醇、NH</w:t>
      </w:r>
      <w:r>
        <w:rPr>
          <w:rFonts w:hint="eastAsia"/>
          <w:vertAlign w:val="subscript"/>
        </w:rPr>
        <w:t>3</w:t>
      </w:r>
      <w:r>
        <w:rPr>
          <w:rFonts w:hint="eastAsia"/>
        </w:rPr>
        <w:t>、H</w:t>
      </w:r>
      <w:r>
        <w:rPr>
          <w:rFonts w:hint="eastAsia"/>
          <w:vertAlign w:val="subscript"/>
        </w:rPr>
        <w:t>2</w:t>
      </w:r>
      <w:r>
        <w:rPr>
          <w:rFonts w:hint="eastAsia"/>
        </w:rPr>
        <w:t>、一氧化碳和二氧化碳等危险化学品，但不涉及剧毒化学品，且均不具有致畸性、致癌性、致敏性和致突变性。其中，甲烷、氨、甲醇等属于《建设项目环境风险评价技术导则》（HJ169-2018）附录B中有临界量的重点关注的危险物质。</w:t>
      </w:r>
    </w:p>
    <w:p>
      <w:pPr>
        <w:ind w:firstLine="480"/>
        <w:rPr>
          <w:rFonts w:eastAsiaTheme="minorEastAsia"/>
        </w:rPr>
      </w:pPr>
      <w:r>
        <w:rPr>
          <w:rFonts w:hint="eastAsia"/>
        </w:rPr>
        <w:t>本工程环境风险源主要为装置区、物料管道、</w:t>
      </w:r>
      <w:r>
        <w:rPr>
          <w:rFonts w:hint="eastAsia" w:eastAsiaTheme="minorEastAsia"/>
        </w:rPr>
        <w:t>废水处理站和危废暂存间等</w:t>
      </w:r>
      <w:r>
        <w:rPr>
          <w:rFonts w:eastAsiaTheme="minorEastAsia"/>
        </w:rPr>
        <w:t>。</w:t>
      </w:r>
    </w:p>
    <w:p>
      <w:pPr>
        <w:ind w:firstLine="480"/>
      </w:pPr>
      <w:r>
        <w:t>经统计，</w:t>
      </w:r>
      <w:r>
        <w:rPr>
          <w:rFonts w:hint="eastAsia"/>
        </w:rPr>
        <w:t>拟建项目Q=8.027，属于1≤Q＜10；</w:t>
      </w:r>
      <w:r>
        <w:t>本项目</w:t>
      </w:r>
      <w:r>
        <w:rPr>
          <w:rFonts w:hint="eastAsia"/>
        </w:rPr>
        <w:t>生产过程中涉及</w:t>
      </w:r>
      <w:r>
        <w:t>合成氨工艺</w:t>
      </w:r>
      <w:r>
        <w:rPr>
          <w:rFonts w:hint="eastAsia"/>
        </w:rPr>
        <w:t>和氧化工艺各1套，并且涉及高温、高压设备，全厂M=55，以M1表示。</w:t>
      </w:r>
    </w:p>
    <w:p>
      <w:pPr>
        <w:ind w:firstLine="480"/>
      </w:pPr>
      <w:r>
        <w:rPr>
          <w:rFonts w:hint="eastAsia"/>
        </w:rPr>
        <w:t>拟建项目</w:t>
      </w:r>
      <w:r>
        <w:rPr>
          <w:rFonts w:hint="eastAsia" w:eastAsiaTheme="minorEastAsia"/>
        </w:rPr>
        <w:t>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w:t>
      </w:r>
    </w:p>
    <w:p>
      <w:pPr>
        <w:ind w:firstLine="480"/>
      </w:pPr>
      <w:r>
        <w:t>（2）环境敏感性</w:t>
      </w:r>
    </w:p>
    <w:p>
      <w:pPr>
        <w:ind w:firstLine="480"/>
        <w:rPr>
          <w:rFonts w:eastAsiaTheme="minorEastAsia"/>
        </w:rPr>
      </w:pPr>
      <w:r>
        <w:rPr>
          <w:rFonts w:eastAsiaTheme="minorEastAsia"/>
        </w:rPr>
        <w:fldChar w:fldCharType="begin"/>
      </w:r>
      <w:r>
        <w:rPr>
          <w:rFonts w:eastAsiaTheme="minorEastAsia"/>
        </w:rPr>
        <w:instrText xml:space="preserve"> </w:instrText>
      </w:r>
      <w:r>
        <w:rPr>
          <w:rFonts w:hint="eastAsia" w:eastAsiaTheme="minorEastAsia"/>
        </w:rPr>
        <w:instrText xml:space="preserve">eq \o\ac(○,</w:instrText>
      </w:r>
      <w:r>
        <w:rPr>
          <w:rFonts w:hint="eastAsia" w:eastAsiaTheme="minorEastAsia"/>
          <w:position w:val="3"/>
          <w:sz w:val="16"/>
        </w:rPr>
        <w:instrText xml:space="preserve">1</w:instrText>
      </w:r>
      <w:r>
        <w:rPr>
          <w:rFonts w:hint="eastAsia" w:eastAsiaTheme="minorEastAsia"/>
        </w:rPr>
        <w:instrText xml:space="preserve">)</w:instrText>
      </w:r>
      <w:r>
        <w:rPr>
          <w:rFonts w:eastAsiaTheme="minorEastAsia"/>
        </w:rPr>
        <w:fldChar w:fldCharType="end"/>
      </w:r>
      <w:r>
        <w:rPr>
          <w:rFonts w:eastAsiaTheme="minorEastAsia"/>
        </w:rPr>
        <w:t>大气环境敏感程度分级</w:t>
      </w:r>
      <w:r>
        <w:rPr>
          <w:rFonts w:hint="eastAsia" w:eastAsiaTheme="minorEastAsia"/>
        </w:rPr>
        <w:t>：</w:t>
      </w:r>
      <w:r>
        <w:rPr>
          <w:rFonts w:eastAsiaTheme="minorEastAsia"/>
        </w:rPr>
        <w:t>拟建项目环境敏感目标为周边5km范围内居住区、医疗卫生、文化教育、科研、行政办公等机构人口总数大于5万人，敏感程度为E1。</w:t>
      </w:r>
    </w:p>
    <w:p>
      <w:pPr>
        <w:ind w:firstLine="480"/>
        <w:rPr>
          <w:rFonts w:eastAsiaTheme="minorEastAsia"/>
        </w:rPr>
      </w:pPr>
      <w:r>
        <w:rPr>
          <w:rFonts w:eastAsiaTheme="minorEastAsia"/>
        </w:rPr>
        <w:fldChar w:fldCharType="begin"/>
      </w:r>
      <w:r>
        <w:rPr>
          <w:rFonts w:eastAsiaTheme="minorEastAsia"/>
        </w:rPr>
        <w:instrText xml:space="preserve"> </w:instrText>
      </w:r>
      <w:r>
        <w:rPr>
          <w:rFonts w:hint="eastAsia" w:eastAsiaTheme="minorEastAsia"/>
        </w:rPr>
        <w:instrText xml:space="preserve">eq \o\ac(○,</w:instrText>
      </w:r>
      <w:r>
        <w:rPr>
          <w:rFonts w:hint="eastAsia" w:eastAsiaTheme="minorEastAsia"/>
          <w:position w:val="3"/>
          <w:sz w:val="16"/>
        </w:rPr>
        <w:instrText xml:space="preserve">2</w:instrText>
      </w:r>
      <w:r>
        <w:rPr>
          <w:rFonts w:hint="eastAsia" w:eastAsiaTheme="minorEastAsia"/>
        </w:rPr>
        <w:instrText xml:space="preserve">)</w:instrText>
      </w:r>
      <w:r>
        <w:rPr>
          <w:rFonts w:eastAsiaTheme="minorEastAsia"/>
        </w:rPr>
        <w:fldChar w:fldCharType="end"/>
      </w:r>
      <w:r>
        <w:rPr>
          <w:rFonts w:eastAsiaTheme="minorEastAsia"/>
        </w:rPr>
        <w:t>地表水环境敏感程度分级</w:t>
      </w:r>
      <w:r>
        <w:rPr>
          <w:rFonts w:hint="eastAsia" w:eastAsiaTheme="minorEastAsia"/>
        </w:rPr>
        <w:t>：</w:t>
      </w:r>
      <w:r>
        <w:rPr>
          <w:rFonts w:eastAsiaTheme="minorEastAsia"/>
        </w:rPr>
        <w:t>拟建项目</w:t>
      </w:r>
      <w:r>
        <w:rPr>
          <w:rFonts w:hint="eastAsia" w:eastAsiaTheme="minorEastAsia"/>
        </w:rPr>
        <w:t>最终受纳水体</w:t>
      </w:r>
      <w:r>
        <w:rPr>
          <w:rFonts w:eastAsiaTheme="minorEastAsia"/>
        </w:rPr>
        <w:t>长江为III类水域，按地表水功能敏感性分区为较敏感F2。中法水务排放口位于长江重庆段四大家鱼国家级水产种质资源保护区，按地表水环境敏感目标分级为S1。依据事故情况下危险物质泄漏到水体的排放点受纳地表水体功能敏感性，与下游环境敏感目标情况，地表水环境敏感程度为E1。</w:t>
      </w:r>
    </w:p>
    <w:p>
      <w:pPr>
        <w:ind w:firstLine="480"/>
        <w:rPr>
          <w:rFonts w:eastAsiaTheme="minorEastAsia"/>
        </w:rPr>
      </w:pPr>
      <w:r>
        <w:rPr>
          <w:rFonts w:eastAsiaTheme="minorEastAsia"/>
        </w:rPr>
        <w:fldChar w:fldCharType="begin"/>
      </w:r>
      <w:r>
        <w:rPr>
          <w:rFonts w:eastAsiaTheme="minorEastAsia"/>
        </w:rPr>
        <w:instrText xml:space="preserve"> </w:instrText>
      </w:r>
      <w:r>
        <w:rPr>
          <w:rFonts w:hint="eastAsia" w:eastAsiaTheme="minorEastAsia"/>
        </w:rPr>
        <w:instrText xml:space="preserve">eq \o\ac(○,</w:instrText>
      </w:r>
      <w:r>
        <w:rPr>
          <w:rFonts w:hint="eastAsia" w:eastAsiaTheme="minorEastAsia"/>
          <w:position w:val="3"/>
          <w:sz w:val="16"/>
        </w:rPr>
        <w:instrText xml:space="preserve">3</w:instrText>
      </w:r>
      <w:r>
        <w:rPr>
          <w:rFonts w:hint="eastAsia" w:eastAsiaTheme="minorEastAsia"/>
        </w:rPr>
        <w:instrText xml:space="preserve">)</w:instrText>
      </w:r>
      <w:r>
        <w:rPr>
          <w:rFonts w:eastAsiaTheme="minorEastAsia"/>
        </w:rPr>
        <w:fldChar w:fldCharType="end"/>
      </w:r>
      <w:r>
        <w:rPr>
          <w:rFonts w:eastAsiaTheme="minorEastAsia"/>
        </w:rPr>
        <w:t>地下水环境敏感程度分级</w:t>
      </w:r>
      <w:r>
        <w:rPr>
          <w:rFonts w:hint="eastAsia" w:eastAsiaTheme="minorEastAsia"/>
        </w:rPr>
        <w:t>：拟建项目所在厂区</w:t>
      </w:r>
      <w:r>
        <w:rPr>
          <w:rFonts w:eastAsiaTheme="minorEastAsia"/>
        </w:rPr>
        <w:t>周边区域不属于集中式饮用水源准保护区以及补给径流区，没有分散式饮用水水源地，没有特殊地下水资源，地下水功能敏感性为不敏感G3。岩土的渗透系数为0.401m/d，包气带防污性能为D1。依据地下水功能敏感性与包气带防污性能，地下水环境敏感程度为E2。</w:t>
      </w:r>
    </w:p>
    <w:p>
      <w:pPr>
        <w:ind w:firstLine="480"/>
        <w:rPr>
          <w:snapToGrid w:val="0"/>
        </w:rPr>
      </w:pPr>
      <w:r>
        <w:rPr>
          <w:snapToGrid w:val="0"/>
        </w:rPr>
        <w:t>（3）评价等级</w:t>
      </w:r>
    </w:p>
    <w:p>
      <w:pPr>
        <w:ind w:firstLine="480"/>
      </w:pPr>
      <w:r>
        <w:rPr>
          <w:rFonts w:hint="eastAsia" w:eastAsiaTheme="minorEastAsia"/>
        </w:rPr>
        <w:t>拟建项目</w:t>
      </w:r>
      <w:r>
        <w:rPr>
          <w:rFonts w:hint="eastAsia"/>
        </w:rPr>
        <w:t>大气环境风险评价等级为一级、地表水环境风险评价等级为一级、地下水环境风险评价等级为二级。</w:t>
      </w:r>
    </w:p>
    <w:p>
      <w:pPr>
        <w:ind w:firstLine="480"/>
      </w:pPr>
      <w:r>
        <w:t>（4）事故环境影响</w:t>
      </w:r>
    </w:p>
    <w:p>
      <w:pPr>
        <w:ind w:firstLine="480"/>
        <w:rPr>
          <w:rFonts w:eastAsiaTheme="minorEastAsia"/>
        </w:rPr>
      </w:pPr>
      <w:r>
        <w:rPr>
          <w:rFonts w:hint="eastAsia"/>
        </w:rPr>
        <w:t>由预测结果可知：液氨管道泄漏后，最不利气象条件下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155</w:t>
      </w:r>
      <w:r>
        <w:t>m；</w:t>
      </w:r>
      <w:r>
        <w:rPr>
          <w:rFonts w:hint="eastAsia"/>
        </w:rPr>
        <w:t>天然气（甲烷）发生火灾燃爆事故次生的CO扩散后最不利气象条件下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100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90</w:t>
      </w:r>
      <w:r>
        <w:rPr>
          <w:rFonts w:eastAsiaTheme="minorEastAsia"/>
        </w:rPr>
        <w:t>m</w:t>
      </w:r>
      <w:r>
        <w:rPr>
          <w:rFonts w:hint="eastAsia" w:eastAsiaTheme="minorEastAsia"/>
        </w:rPr>
        <w:t>。</w:t>
      </w:r>
    </w:p>
    <w:p>
      <w:pPr>
        <w:ind w:firstLine="480"/>
      </w:pPr>
      <w:r>
        <w:rPr>
          <w:rFonts w:hint="eastAsia" w:eastAsiaTheme="minorEastAsia"/>
        </w:rPr>
        <w:t>液氨管道泄漏，敏感点最大浓度出现在</w:t>
      </w:r>
      <w:r>
        <w:rPr>
          <w:rFonts w:hint="eastAsia"/>
        </w:rPr>
        <w:t>龙口村居民点</w:t>
      </w:r>
      <w:r>
        <w:rPr>
          <w:rFonts w:hint="eastAsia" w:eastAsiaTheme="minorEastAsia"/>
        </w:rPr>
        <w:t>，浓度为</w:t>
      </w:r>
      <w:r>
        <w:rPr>
          <w:rFonts w:hint="eastAsia"/>
        </w:rPr>
        <w:t xml:space="preserve">1.0640 </w:t>
      </w:r>
      <w:r>
        <w:rPr>
          <w:rFonts w:eastAsiaTheme="minorEastAsia"/>
        </w:rPr>
        <w:t>mg/m</w:t>
      </w:r>
      <w:r>
        <w:rPr>
          <w:rFonts w:eastAsiaTheme="minorEastAsia"/>
          <w:vertAlign w:val="superscript"/>
        </w:rPr>
        <w:t>3</w:t>
      </w:r>
      <w:r>
        <w:rPr>
          <w:rFonts w:eastAsiaTheme="minorEastAsia"/>
        </w:rPr>
        <w:t>，低于毒性终点浓度-1（</w:t>
      </w:r>
      <w:r>
        <w:rPr>
          <w:rFonts w:hint="eastAsia" w:eastAsiaTheme="minorEastAsia"/>
        </w:rPr>
        <w:t>770</w:t>
      </w:r>
      <w:r>
        <w:rPr>
          <w:rFonts w:eastAsiaTheme="minorEastAsia"/>
        </w:rPr>
        <w:t>mg/m</w:t>
      </w:r>
      <w:r>
        <w:rPr>
          <w:rFonts w:eastAsiaTheme="minorEastAsia"/>
          <w:vertAlign w:val="superscript"/>
        </w:rPr>
        <w:t>3</w:t>
      </w:r>
      <w:r>
        <w:rPr>
          <w:rFonts w:eastAsiaTheme="minorEastAsia"/>
        </w:rPr>
        <w:t>）和毒性终点浓度-2（</w:t>
      </w:r>
      <w:r>
        <w:rPr>
          <w:rFonts w:hint="eastAsia" w:eastAsiaTheme="minorEastAsia"/>
        </w:rPr>
        <w:t>110</w:t>
      </w:r>
      <w:r>
        <w:rPr>
          <w:rFonts w:eastAsiaTheme="minorEastAsia"/>
        </w:rPr>
        <w:t>mg/m</w:t>
      </w:r>
      <w:r>
        <w:rPr>
          <w:rFonts w:eastAsiaTheme="minorEastAsia"/>
          <w:vertAlign w:val="superscript"/>
        </w:rPr>
        <w:t>3</w:t>
      </w:r>
      <w:r>
        <w:rPr>
          <w:rFonts w:eastAsiaTheme="minorEastAsia"/>
        </w:rPr>
        <w:t>）；</w:t>
      </w:r>
      <w:r>
        <w:rPr>
          <w:rFonts w:hint="eastAsia"/>
        </w:rPr>
        <w:t>天然气（甲烷）</w:t>
      </w:r>
      <w:r>
        <w:rPr>
          <w:rFonts w:eastAsiaTheme="minorEastAsia"/>
        </w:rPr>
        <w:t>燃爆次生CO</w:t>
      </w:r>
      <w:r>
        <w:rPr>
          <w:rFonts w:hint="eastAsia" w:eastAsiaTheme="minorEastAsia"/>
        </w:rPr>
        <w:t>扩散</w:t>
      </w:r>
      <w:r>
        <w:rPr>
          <w:rFonts w:eastAsiaTheme="minorEastAsia"/>
        </w:rPr>
        <w:t>，敏感点最大浓度出现在</w:t>
      </w:r>
      <w:r>
        <w:t>长寿经开区管委会</w:t>
      </w:r>
      <w:r>
        <w:rPr>
          <w:rFonts w:eastAsiaTheme="minorEastAsia"/>
        </w:rPr>
        <w:t>，浓度为</w:t>
      </w:r>
      <w:r>
        <w:rPr>
          <w:rFonts w:hint="eastAsia"/>
        </w:rPr>
        <w:t xml:space="preserve">1.1145 </w:t>
      </w:r>
      <w:r>
        <w:rPr>
          <w:rFonts w:eastAsiaTheme="minorEastAsia"/>
        </w:rPr>
        <w:t>mg/m</w:t>
      </w:r>
      <w:r>
        <w:rPr>
          <w:rFonts w:eastAsiaTheme="minorEastAsia"/>
          <w:vertAlign w:val="superscript"/>
        </w:rPr>
        <w:t>3</w:t>
      </w:r>
      <w:r>
        <w:rPr>
          <w:rFonts w:eastAsiaTheme="minorEastAsia"/>
        </w:rPr>
        <w:t>，低于毒性终点浓度-1（380mg/m</w:t>
      </w:r>
      <w:r>
        <w:rPr>
          <w:rFonts w:eastAsiaTheme="minorEastAsia"/>
          <w:vertAlign w:val="superscript"/>
        </w:rPr>
        <w:t>3</w:t>
      </w:r>
      <w:r>
        <w:rPr>
          <w:rFonts w:eastAsiaTheme="minorEastAsia"/>
        </w:rPr>
        <w:t>）毒性终点浓度-2（95mg/m</w:t>
      </w:r>
      <w:r>
        <w:rPr>
          <w:rFonts w:eastAsiaTheme="minorEastAsia"/>
          <w:vertAlign w:val="superscript"/>
        </w:rPr>
        <w:t>3</w:t>
      </w:r>
      <w:r>
        <w:rPr>
          <w:rFonts w:eastAsiaTheme="minorEastAsia"/>
        </w:rPr>
        <w:t>））。</w:t>
      </w:r>
    </w:p>
    <w:p>
      <w:pPr>
        <w:ind w:firstLine="480"/>
      </w:pPr>
      <w:r>
        <w:t>拟建项目在事故状况下</w:t>
      </w:r>
      <w:r>
        <w:rPr>
          <w:rFonts w:hint="eastAsia"/>
        </w:rPr>
        <w:t>污水处理站调节池底部防渗层出现破损，高浓废水渗入污染地下水，污染物迁移100天、1000天及10年时，</w:t>
      </w:r>
      <w:r>
        <w:rPr>
          <w:rFonts w:eastAsiaTheme="minorEastAsia"/>
        </w:rPr>
        <w:t>将会对局部地下水造成污染</w:t>
      </w:r>
      <w:r>
        <w:rPr>
          <w:rFonts w:hint="eastAsia" w:eastAsiaTheme="minorEastAsia"/>
        </w:rPr>
        <w:t>，但是</w:t>
      </w:r>
      <w:r>
        <w:rPr>
          <w:rFonts w:hint="eastAsia"/>
        </w:rPr>
        <w:t>不会流入到长江，对长江的影响小；评价区域周边居民已全部使用自来水作为饮用水源，厂址区污染物的泄露也不会对周边居民饮用水水源的造成影响。</w:t>
      </w:r>
    </w:p>
    <w:p>
      <w:pPr>
        <w:ind w:firstLine="480"/>
        <w:rPr>
          <w:snapToGrid w:val="0"/>
        </w:rPr>
      </w:pPr>
      <w:r>
        <w:rPr>
          <w:snapToGrid w:val="0"/>
        </w:rPr>
        <w:t>（5）风险防范措施和应急预案</w:t>
      </w:r>
    </w:p>
    <w:p>
      <w:pPr>
        <w:ind w:firstLine="480"/>
        <w:rPr>
          <w:snapToGrid w:val="0"/>
        </w:rPr>
      </w:pPr>
      <w:r>
        <w:t>拟建项目制定了较为周全的风险事故防范措施</w:t>
      </w:r>
      <w:r>
        <w:rPr>
          <w:rFonts w:hint="eastAsia"/>
        </w:rPr>
        <w:t>，投产前编写环境风险</w:t>
      </w:r>
      <w:r>
        <w:t>应急预案，当发生风险事故时立即启动事故应急预案，能确保事故不扩大</w:t>
      </w:r>
      <w:r>
        <w:rPr>
          <w:rFonts w:hint="eastAsia"/>
        </w:rPr>
        <w:t>，按照评价提出的</w:t>
      </w:r>
      <w:r>
        <w:t>风险防范措施</w:t>
      </w:r>
      <w:r>
        <w:rPr>
          <w:rFonts w:hint="eastAsia"/>
        </w:rPr>
        <w:t>实施</w:t>
      </w:r>
      <w:r>
        <w:t>后，最大可信事故风险值小于化工行业可接受风险水平RL（8.33×10</w:t>
      </w:r>
      <w:r>
        <w:rPr>
          <w:vertAlign w:val="superscript"/>
        </w:rPr>
        <w:t>-5</w:t>
      </w:r>
      <w:r>
        <w:t>），虽存在一定风险，但在采取有效风险防范措施和应急预案后，风险处于环境可接受的水平。</w:t>
      </w:r>
    </w:p>
    <w:p>
      <w:pPr>
        <w:ind w:firstLine="480"/>
      </w:pPr>
      <w:r>
        <w:t>（</w:t>
      </w:r>
      <w:r>
        <w:rPr>
          <w:rFonts w:hint="eastAsia"/>
        </w:rPr>
        <w:t>6</w:t>
      </w:r>
      <w:r>
        <w:t>）环境风险评价自查表</w:t>
      </w:r>
    </w:p>
    <w:p>
      <w:pPr>
        <w:ind w:firstLine="480"/>
      </w:pPr>
      <w:r>
        <w:rPr>
          <w:rFonts w:hint="eastAsia"/>
        </w:rPr>
        <w:t>环境风险评价自查表详见下表6.11-1。</w:t>
      </w:r>
    </w:p>
    <w:p>
      <w:pPr>
        <w:ind w:firstLine="480"/>
      </w:pPr>
      <w:r>
        <w:rPr>
          <w:rFonts w:hint="eastAsia"/>
        </w:rPr>
        <w:t>（7）环境风险评价结论</w:t>
      </w:r>
    </w:p>
    <w:p>
      <w:pPr>
        <w:ind w:firstLine="480"/>
        <w:sectPr>
          <w:pgSz w:w="11906" w:h="16838"/>
          <w:pgMar w:top="1440" w:right="1800" w:bottom="1440" w:left="1800" w:header="851" w:footer="992" w:gutter="0"/>
          <w:cols w:space="425" w:num="1"/>
          <w:docGrid w:type="lines" w:linePitch="312" w:charSpace="0"/>
        </w:sectPr>
      </w:pPr>
      <w:r>
        <w:rPr>
          <w:rFonts w:hint="eastAsia"/>
        </w:rPr>
        <w:t>拟建项目在生产工艺装置、设备和生产管理等方面充分考虑了其环境风险。项目建成后，生产过程涉及到甲烷、氨、甲醇等重点关注的危险物质，潜存火灾、爆炸、泄漏中毒等风险，项目制定了较为周全的环境风险防范措施，并且在投产前制定环境风险应急预案。在采取严格的安全防护和风险防范措施后，建设项目可能出现的风险概率将大大减小，能将事故的环境风险降到最低，环境可以接受。</w:t>
      </w:r>
    </w:p>
    <w:p>
      <w:pPr>
        <w:pStyle w:val="41"/>
      </w:pPr>
      <w:r>
        <w:rPr>
          <w:rFonts w:hint="eastAsia"/>
        </w:rPr>
        <w:t xml:space="preserve">表6.11-1  </w:t>
      </w:r>
      <w:r>
        <w:t>环境风险评价自查表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7"/>
        <w:gridCol w:w="944"/>
        <w:gridCol w:w="677"/>
        <w:gridCol w:w="707"/>
        <w:gridCol w:w="52"/>
        <w:gridCol w:w="760"/>
        <w:gridCol w:w="364"/>
        <w:gridCol w:w="311"/>
        <w:gridCol w:w="439"/>
        <w:gridCol w:w="235"/>
        <w:gridCol w:w="512"/>
        <w:gridCol w:w="160"/>
        <w:gridCol w:w="554"/>
        <w:gridCol w:w="37"/>
        <w:gridCol w:w="338"/>
        <w:gridCol w:w="414"/>
        <w:gridCol w:w="599"/>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工作内容</w:t>
            </w:r>
          </w:p>
        </w:tc>
        <w:tc>
          <w:tcPr>
            <w:tcW w:w="4235" w:type="pct"/>
            <w:gridSpan w:val="16"/>
            <w:vAlign w:val="center"/>
          </w:tcPr>
          <w:p>
            <w:pPr>
              <w:pStyle w:val="42"/>
            </w:pPr>
            <w: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restart"/>
            <w:vAlign w:val="center"/>
          </w:tcPr>
          <w:p>
            <w:pPr>
              <w:pStyle w:val="42"/>
            </w:pPr>
            <w:r>
              <w:t>风险调查</w:t>
            </w:r>
          </w:p>
        </w:tc>
        <w:tc>
          <w:tcPr>
            <w:tcW w:w="568" w:type="pct"/>
            <w:vMerge w:val="restart"/>
            <w:vAlign w:val="center"/>
          </w:tcPr>
          <w:p>
            <w:pPr>
              <w:pStyle w:val="42"/>
            </w:pPr>
            <w:r>
              <w:t>危险物质</w:t>
            </w:r>
          </w:p>
        </w:tc>
        <w:tc>
          <w:tcPr>
            <w:tcW w:w="407" w:type="pct"/>
            <w:vAlign w:val="center"/>
          </w:tcPr>
          <w:p>
            <w:pPr>
              <w:pStyle w:val="42"/>
            </w:pPr>
            <w:r>
              <w:t>名称</w:t>
            </w:r>
          </w:p>
        </w:tc>
        <w:tc>
          <w:tcPr>
            <w:tcW w:w="456" w:type="pct"/>
            <w:gridSpan w:val="2"/>
            <w:vAlign w:val="center"/>
          </w:tcPr>
          <w:p>
            <w:pPr>
              <w:pStyle w:val="42"/>
            </w:pPr>
            <w:r>
              <w:rPr>
                <w:rFonts w:hint="eastAsia"/>
              </w:rPr>
              <w:t>氨</w:t>
            </w:r>
          </w:p>
        </w:tc>
        <w:tc>
          <w:tcPr>
            <w:tcW w:w="457" w:type="pct"/>
            <w:vAlign w:val="center"/>
          </w:tcPr>
          <w:p>
            <w:pPr>
              <w:pStyle w:val="42"/>
            </w:pPr>
            <w:r>
              <w:rPr>
                <w:rFonts w:hint="eastAsia"/>
              </w:rPr>
              <w:t>甲烷</w:t>
            </w:r>
          </w:p>
        </w:tc>
        <w:tc>
          <w:tcPr>
            <w:tcW w:w="406" w:type="pct"/>
            <w:gridSpan w:val="2"/>
            <w:vAlign w:val="center"/>
          </w:tcPr>
          <w:p>
            <w:pPr>
              <w:pStyle w:val="42"/>
            </w:pPr>
            <w:r>
              <w:rPr>
                <w:rFonts w:hint="eastAsia"/>
              </w:rPr>
              <w:t>甲醇</w:t>
            </w:r>
          </w:p>
        </w:tc>
        <w:tc>
          <w:tcPr>
            <w:tcW w:w="405" w:type="pct"/>
            <w:gridSpan w:val="2"/>
            <w:vAlign w:val="center"/>
          </w:tcPr>
          <w:p>
            <w:pPr>
              <w:pStyle w:val="42"/>
            </w:pPr>
            <w:r>
              <w:rPr>
                <w:rFonts w:hint="eastAsia"/>
              </w:rPr>
              <w:t>一氧化碳</w:t>
            </w:r>
          </w:p>
        </w:tc>
        <w:tc>
          <w:tcPr>
            <w:tcW w:w="404" w:type="pct"/>
            <w:gridSpan w:val="2"/>
            <w:vAlign w:val="center"/>
          </w:tcPr>
          <w:p>
            <w:pPr>
              <w:pStyle w:val="42"/>
            </w:pPr>
          </w:p>
        </w:tc>
        <w:tc>
          <w:tcPr>
            <w:tcW w:w="558" w:type="pct"/>
            <w:gridSpan w:val="3"/>
            <w:vAlign w:val="center"/>
          </w:tcPr>
          <w:p>
            <w:pPr>
              <w:pStyle w:val="42"/>
            </w:pPr>
          </w:p>
        </w:tc>
        <w:tc>
          <w:tcPr>
            <w:tcW w:w="609" w:type="pct"/>
            <w:gridSpan w:val="2"/>
            <w:vAlign w:val="center"/>
          </w:tcPr>
          <w:p>
            <w:pPr>
              <w:pStyle w:val="42"/>
            </w:pPr>
          </w:p>
        </w:tc>
        <w:tc>
          <w:tcPr>
            <w:tcW w:w="533"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Align w:val="center"/>
          </w:tcPr>
          <w:p>
            <w:pPr>
              <w:pStyle w:val="42"/>
            </w:pPr>
            <w:r>
              <w:t>存在总量/t</w:t>
            </w:r>
          </w:p>
        </w:tc>
        <w:tc>
          <w:tcPr>
            <w:tcW w:w="456" w:type="pct"/>
            <w:gridSpan w:val="2"/>
            <w:vAlign w:val="center"/>
          </w:tcPr>
          <w:p>
            <w:pPr>
              <w:pStyle w:val="42"/>
              <w:rPr>
                <w:kern w:val="0"/>
              </w:rPr>
            </w:pPr>
            <w:r>
              <w:rPr>
                <w:rFonts w:hint="eastAsia"/>
              </w:rPr>
              <w:t>29.76</w:t>
            </w:r>
          </w:p>
        </w:tc>
        <w:tc>
          <w:tcPr>
            <w:tcW w:w="457" w:type="pct"/>
            <w:vAlign w:val="center"/>
          </w:tcPr>
          <w:p>
            <w:pPr>
              <w:pStyle w:val="42"/>
            </w:pPr>
            <w:r>
              <w:rPr>
                <w:rFonts w:hint="eastAsia"/>
              </w:rPr>
              <w:t>6.09</w:t>
            </w:r>
          </w:p>
        </w:tc>
        <w:tc>
          <w:tcPr>
            <w:tcW w:w="406" w:type="pct"/>
            <w:gridSpan w:val="2"/>
            <w:vAlign w:val="center"/>
          </w:tcPr>
          <w:p>
            <w:pPr>
              <w:pStyle w:val="42"/>
            </w:pPr>
            <w:r>
              <w:rPr>
                <w:rFonts w:hint="eastAsia"/>
              </w:rPr>
              <w:t>0.01</w:t>
            </w:r>
          </w:p>
        </w:tc>
        <w:tc>
          <w:tcPr>
            <w:tcW w:w="405" w:type="pct"/>
            <w:gridSpan w:val="2"/>
            <w:vAlign w:val="center"/>
          </w:tcPr>
          <w:p>
            <w:pPr>
              <w:pStyle w:val="42"/>
            </w:pPr>
            <w:r>
              <w:rPr>
                <w:rFonts w:hint="eastAsia"/>
              </w:rPr>
              <w:t>11.02</w:t>
            </w:r>
          </w:p>
        </w:tc>
        <w:tc>
          <w:tcPr>
            <w:tcW w:w="404" w:type="pct"/>
            <w:gridSpan w:val="2"/>
            <w:vAlign w:val="center"/>
          </w:tcPr>
          <w:p>
            <w:pPr>
              <w:pStyle w:val="42"/>
            </w:pPr>
          </w:p>
        </w:tc>
        <w:tc>
          <w:tcPr>
            <w:tcW w:w="558" w:type="pct"/>
            <w:gridSpan w:val="3"/>
            <w:vAlign w:val="center"/>
          </w:tcPr>
          <w:p>
            <w:pPr>
              <w:pStyle w:val="42"/>
            </w:pPr>
          </w:p>
        </w:tc>
        <w:tc>
          <w:tcPr>
            <w:tcW w:w="609" w:type="pct"/>
            <w:gridSpan w:val="2"/>
            <w:vAlign w:val="center"/>
          </w:tcPr>
          <w:p>
            <w:pPr>
              <w:pStyle w:val="42"/>
            </w:pPr>
          </w:p>
        </w:tc>
        <w:tc>
          <w:tcPr>
            <w:tcW w:w="533" w:type="pct"/>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restart"/>
            <w:vAlign w:val="center"/>
          </w:tcPr>
          <w:p>
            <w:pPr>
              <w:pStyle w:val="42"/>
            </w:pPr>
            <w:r>
              <w:t>环境敏感性</w:t>
            </w:r>
          </w:p>
        </w:tc>
        <w:tc>
          <w:tcPr>
            <w:tcW w:w="407" w:type="pct"/>
            <w:vMerge w:val="restart"/>
            <w:vAlign w:val="center"/>
          </w:tcPr>
          <w:p>
            <w:pPr>
              <w:pStyle w:val="42"/>
            </w:pPr>
            <w:r>
              <w:t>大气</w:t>
            </w:r>
          </w:p>
        </w:tc>
        <w:tc>
          <w:tcPr>
            <w:tcW w:w="1724" w:type="pct"/>
            <w:gridSpan w:val="7"/>
            <w:vAlign w:val="center"/>
          </w:tcPr>
          <w:p>
            <w:pPr>
              <w:pStyle w:val="42"/>
            </w:pPr>
            <w:r>
              <w:t>500m范围内人口数  0 人</w:t>
            </w:r>
          </w:p>
        </w:tc>
        <w:tc>
          <w:tcPr>
            <w:tcW w:w="2104" w:type="pct"/>
            <w:gridSpan w:val="8"/>
            <w:vAlign w:val="center"/>
          </w:tcPr>
          <w:p>
            <w:pPr>
              <w:pStyle w:val="42"/>
            </w:pPr>
            <w:r>
              <w:t>5km范围内</w:t>
            </w:r>
            <w:r>
              <w:rPr>
                <w:rFonts w:hint="eastAsia"/>
              </w:rPr>
              <w:t>人口总数大于5万人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Merge w:val="continue"/>
            <w:vAlign w:val="center"/>
          </w:tcPr>
          <w:p>
            <w:pPr>
              <w:pStyle w:val="42"/>
            </w:pPr>
          </w:p>
        </w:tc>
        <w:tc>
          <w:tcPr>
            <w:tcW w:w="2935" w:type="pct"/>
            <w:gridSpan w:val="13"/>
            <w:vAlign w:val="center"/>
          </w:tcPr>
          <w:p>
            <w:pPr>
              <w:pStyle w:val="42"/>
            </w:pPr>
            <w:r>
              <w:t>每公里管段周边200m范围内人口数（最大）</w:t>
            </w:r>
          </w:p>
        </w:tc>
        <w:tc>
          <w:tcPr>
            <w:tcW w:w="893" w:type="pct"/>
            <w:gridSpan w:val="2"/>
            <w:vAlign w:val="center"/>
          </w:tcPr>
          <w:p>
            <w:pPr>
              <w:pStyle w:val="42"/>
            </w:pPr>
            <w: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Merge w:val="restart"/>
            <w:vAlign w:val="center"/>
          </w:tcPr>
          <w:p>
            <w:pPr>
              <w:pStyle w:val="42"/>
            </w:pPr>
            <w:r>
              <w:t>地表水</w:t>
            </w:r>
          </w:p>
        </w:tc>
        <w:tc>
          <w:tcPr>
            <w:tcW w:w="1132" w:type="pct"/>
            <w:gridSpan w:val="4"/>
            <w:vAlign w:val="center"/>
          </w:tcPr>
          <w:p>
            <w:pPr>
              <w:pStyle w:val="42"/>
            </w:pPr>
            <w:r>
              <w:t>地表水功能敏感性</w:t>
            </w:r>
          </w:p>
        </w:tc>
        <w:tc>
          <w:tcPr>
            <w:tcW w:w="900" w:type="pct"/>
            <w:gridSpan w:val="4"/>
            <w:vAlign w:val="center"/>
          </w:tcPr>
          <w:p>
            <w:pPr>
              <w:pStyle w:val="42"/>
            </w:pPr>
            <w:r>
              <w:t>F1□</w:t>
            </w:r>
          </w:p>
        </w:tc>
        <w:tc>
          <w:tcPr>
            <w:tcW w:w="903" w:type="pct"/>
            <w:gridSpan w:val="5"/>
            <w:vAlign w:val="center"/>
          </w:tcPr>
          <w:p>
            <w:pPr>
              <w:pStyle w:val="42"/>
            </w:pPr>
            <w:r>
              <w:t>F2</w:t>
            </w:r>
            <w:r>
              <w:rPr/>
              <w:sym w:font="Wingdings 2" w:char="0052"/>
            </w:r>
          </w:p>
        </w:tc>
        <w:tc>
          <w:tcPr>
            <w:tcW w:w="893" w:type="pct"/>
            <w:gridSpan w:val="2"/>
            <w:vAlign w:val="center"/>
          </w:tcPr>
          <w:p>
            <w:pPr>
              <w:pStyle w:val="42"/>
            </w:pPr>
            <w: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Merge w:val="continue"/>
            <w:vAlign w:val="center"/>
          </w:tcPr>
          <w:p>
            <w:pPr>
              <w:pStyle w:val="42"/>
            </w:pPr>
          </w:p>
        </w:tc>
        <w:tc>
          <w:tcPr>
            <w:tcW w:w="1132" w:type="pct"/>
            <w:gridSpan w:val="4"/>
            <w:vAlign w:val="center"/>
          </w:tcPr>
          <w:p>
            <w:pPr>
              <w:pStyle w:val="42"/>
            </w:pPr>
            <w:r>
              <w:t>环境敏感目标分级</w:t>
            </w:r>
          </w:p>
        </w:tc>
        <w:tc>
          <w:tcPr>
            <w:tcW w:w="900" w:type="pct"/>
            <w:gridSpan w:val="4"/>
            <w:vAlign w:val="center"/>
          </w:tcPr>
          <w:p>
            <w:pPr>
              <w:pStyle w:val="42"/>
            </w:pPr>
            <w:r>
              <w:t>S1</w:t>
            </w:r>
            <w:r>
              <w:rPr/>
              <w:sym w:font="Wingdings 2" w:char="0052"/>
            </w:r>
          </w:p>
        </w:tc>
        <w:tc>
          <w:tcPr>
            <w:tcW w:w="903" w:type="pct"/>
            <w:gridSpan w:val="5"/>
            <w:vAlign w:val="center"/>
          </w:tcPr>
          <w:p>
            <w:pPr>
              <w:pStyle w:val="42"/>
            </w:pPr>
            <w:r>
              <w:t>S2□</w:t>
            </w:r>
          </w:p>
        </w:tc>
        <w:tc>
          <w:tcPr>
            <w:tcW w:w="893" w:type="pct"/>
            <w:gridSpan w:val="2"/>
            <w:vAlign w:val="center"/>
          </w:tcPr>
          <w:p>
            <w:pPr>
              <w:pStyle w:val="42"/>
            </w:pPr>
            <w:r>
              <w:t>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Merge w:val="restart"/>
            <w:vAlign w:val="center"/>
          </w:tcPr>
          <w:p>
            <w:pPr>
              <w:pStyle w:val="42"/>
            </w:pPr>
            <w:r>
              <w:t>地下水</w:t>
            </w:r>
          </w:p>
        </w:tc>
        <w:tc>
          <w:tcPr>
            <w:tcW w:w="1132" w:type="pct"/>
            <w:gridSpan w:val="4"/>
            <w:vAlign w:val="center"/>
          </w:tcPr>
          <w:p>
            <w:pPr>
              <w:pStyle w:val="42"/>
            </w:pPr>
            <w:r>
              <w:t>地下水功能敏感性</w:t>
            </w:r>
          </w:p>
        </w:tc>
        <w:tc>
          <w:tcPr>
            <w:tcW w:w="900" w:type="pct"/>
            <w:gridSpan w:val="4"/>
            <w:vAlign w:val="center"/>
          </w:tcPr>
          <w:p>
            <w:pPr>
              <w:pStyle w:val="42"/>
            </w:pPr>
            <w:r>
              <w:t>G1□</w:t>
            </w:r>
          </w:p>
        </w:tc>
        <w:tc>
          <w:tcPr>
            <w:tcW w:w="903" w:type="pct"/>
            <w:gridSpan w:val="5"/>
            <w:vAlign w:val="center"/>
          </w:tcPr>
          <w:p>
            <w:pPr>
              <w:pStyle w:val="42"/>
            </w:pPr>
            <w:r>
              <w:t>G2□</w:t>
            </w:r>
          </w:p>
        </w:tc>
        <w:tc>
          <w:tcPr>
            <w:tcW w:w="893" w:type="pct"/>
            <w:gridSpan w:val="2"/>
            <w:vAlign w:val="center"/>
          </w:tcPr>
          <w:p>
            <w:pPr>
              <w:pStyle w:val="42"/>
            </w:pPr>
            <w:r>
              <w:t>G3</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07" w:type="pct"/>
            <w:vMerge w:val="continue"/>
            <w:vAlign w:val="center"/>
          </w:tcPr>
          <w:p>
            <w:pPr>
              <w:pStyle w:val="42"/>
            </w:pPr>
          </w:p>
        </w:tc>
        <w:tc>
          <w:tcPr>
            <w:tcW w:w="1132" w:type="pct"/>
            <w:gridSpan w:val="4"/>
            <w:vAlign w:val="center"/>
          </w:tcPr>
          <w:p>
            <w:pPr>
              <w:pStyle w:val="42"/>
            </w:pPr>
            <w:r>
              <w:t>包气带防污性能</w:t>
            </w:r>
          </w:p>
        </w:tc>
        <w:tc>
          <w:tcPr>
            <w:tcW w:w="900" w:type="pct"/>
            <w:gridSpan w:val="4"/>
            <w:vAlign w:val="center"/>
          </w:tcPr>
          <w:p>
            <w:pPr>
              <w:pStyle w:val="42"/>
            </w:pPr>
            <w:r>
              <w:t>D1</w:t>
            </w:r>
            <w:r>
              <w:rPr/>
              <w:sym w:font="Wingdings 2" w:char="0052"/>
            </w:r>
          </w:p>
        </w:tc>
        <w:tc>
          <w:tcPr>
            <w:tcW w:w="903" w:type="pct"/>
            <w:gridSpan w:val="5"/>
            <w:vAlign w:val="center"/>
          </w:tcPr>
          <w:p>
            <w:pPr>
              <w:pStyle w:val="42"/>
            </w:pPr>
            <w:r>
              <w:t>D2□</w:t>
            </w:r>
          </w:p>
        </w:tc>
        <w:tc>
          <w:tcPr>
            <w:tcW w:w="893" w:type="pct"/>
            <w:gridSpan w:val="2"/>
            <w:vAlign w:val="center"/>
          </w:tcPr>
          <w:p>
            <w:pPr>
              <w:pStyle w:val="42"/>
            </w:pPr>
            <w: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restart"/>
            <w:vAlign w:val="center"/>
          </w:tcPr>
          <w:p>
            <w:pPr>
              <w:pStyle w:val="42"/>
            </w:pPr>
            <w:r>
              <w:t>物质及工艺系统危险性</w:t>
            </w:r>
          </w:p>
        </w:tc>
        <w:tc>
          <w:tcPr>
            <w:tcW w:w="407" w:type="pct"/>
            <w:vAlign w:val="center"/>
          </w:tcPr>
          <w:p>
            <w:pPr>
              <w:pStyle w:val="42"/>
            </w:pPr>
            <w:r>
              <w:t>Q值</w:t>
            </w:r>
          </w:p>
        </w:tc>
        <w:tc>
          <w:tcPr>
            <w:tcW w:w="1132" w:type="pct"/>
            <w:gridSpan w:val="4"/>
            <w:vAlign w:val="center"/>
          </w:tcPr>
          <w:p>
            <w:pPr>
              <w:pStyle w:val="42"/>
            </w:pPr>
            <w:r>
              <w:t>Q&lt;1□</w:t>
            </w:r>
          </w:p>
        </w:tc>
        <w:tc>
          <w:tcPr>
            <w:tcW w:w="900" w:type="pct"/>
            <w:gridSpan w:val="4"/>
            <w:vAlign w:val="center"/>
          </w:tcPr>
          <w:p>
            <w:pPr>
              <w:pStyle w:val="42"/>
            </w:pPr>
            <w:r>
              <w:t>1≤Q&lt;10</w:t>
            </w:r>
            <w:r>
              <w:rPr/>
              <w:sym w:font="Wingdings 2" w:char="0052"/>
            </w:r>
          </w:p>
        </w:tc>
        <w:tc>
          <w:tcPr>
            <w:tcW w:w="903" w:type="pct"/>
            <w:gridSpan w:val="5"/>
            <w:vAlign w:val="center"/>
          </w:tcPr>
          <w:p>
            <w:pPr>
              <w:pStyle w:val="42"/>
            </w:pPr>
            <w:r>
              <w:t>10≤Q&lt;100□</w:t>
            </w:r>
          </w:p>
        </w:tc>
        <w:tc>
          <w:tcPr>
            <w:tcW w:w="893" w:type="pct"/>
            <w:gridSpan w:val="2"/>
            <w:vAlign w:val="center"/>
          </w:tcPr>
          <w:p>
            <w:pPr>
              <w:pStyle w:val="42"/>
            </w:pPr>
            <w: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continue"/>
            <w:vAlign w:val="center"/>
          </w:tcPr>
          <w:p>
            <w:pPr>
              <w:pStyle w:val="42"/>
            </w:pPr>
          </w:p>
        </w:tc>
        <w:tc>
          <w:tcPr>
            <w:tcW w:w="407" w:type="pct"/>
            <w:vAlign w:val="center"/>
          </w:tcPr>
          <w:p>
            <w:pPr>
              <w:pStyle w:val="42"/>
            </w:pPr>
            <w:r>
              <w:t>M值</w:t>
            </w:r>
          </w:p>
        </w:tc>
        <w:tc>
          <w:tcPr>
            <w:tcW w:w="1132" w:type="pct"/>
            <w:gridSpan w:val="4"/>
            <w:vAlign w:val="center"/>
          </w:tcPr>
          <w:p>
            <w:pPr>
              <w:pStyle w:val="42"/>
            </w:pPr>
            <w:r>
              <w:t>M1</w:t>
            </w:r>
            <w:r>
              <w:rPr/>
              <w:sym w:font="Wingdings 2" w:char="0052"/>
            </w:r>
          </w:p>
        </w:tc>
        <w:tc>
          <w:tcPr>
            <w:tcW w:w="900" w:type="pct"/>
            <w:gridSpan w:val="4"/>
            <w:vAlign w:val="center"/>
          </w:tcPr>
          <w:p>
            <w:pPr>
              <w:pStyle w:val="42"/>
            </w:pPr>
            <w:r>
              <w:t>M2□</w:t>
            </w:r>
          </w:p>
        </w:tc>
        <w:tc>
          <w:tcPr>
            <w:tcW w:w="903" w:type="pct"/>
            <w:gridSpan w:val="5"/>
            <w:vAlign w:val="center"/>
          </w:tcPr>
          <w:p>
            <w:pPr>
              <w:pStyle w:val="42"/>
            </w:pPr>
            <w:r>
              <w:t>M3□</w:t>
            </w:r>
          </w:p>
        </w:tc>
        <w:tc>
          <w:tcPr>
            <w:tcW w:w="893" w:type="pct"/>
            <w:gridSpan w:val="2"/>
            <w:vAlign w:val="center"/>
          </w:tcPr>
          <w:p>
            <w:pPr>
              <w:pStyle w:val="42"/>
            </w:pPr>
            <w: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continue"/>
            <w:vAlign w:val="center"/>
          </w:tcPr>
          <w:p>
            <w:pPr>
              <w:pStyle w:val="42"/>
            </w:pPr>
          </w:p>
        </w:tc>
        <w:tc>
          <w:tcPr>
            <w:tcW w:w="407" w:type="pct"/>
            <w:vAlign w:val="center"/>
          </w:tcPr>
          <w:p>
            <w:pPr>
              <w:pStyle w:val="42"/>
            </w:pPr>
            <w:r>
              <w:t>P值</w:t>
            </w:r>
          </w:p>
        </w:tc>
        <w:tc>
          <w:tcPr>
            <w:tcW w:w="1132" w:type="pct"/>
            <w:gridSpan w:val="4"/>
            <w:vAlign w:val="center"/>
          </w:tcPr>
          <w:p>
            <w:pPr>
              <w:pStyle w:val="42"/>
            </w:pPr>
            <w:r>
              <w:t>P1</w:t>
            </w:r>
            <w:r>
              <w:rPr/>
              <w:sym w:font="Wingdings 2" w:char="0052"/>
            </w:r>
          </w:p>
        </w:tc>
        <w:tc>
          <w:tcPr>
            <w:tcW w:w="900" w:type="pct"/>
            <w:gridSpan w:val="4"/>
            <w:vAlign w:val="center"/>
          </w:tcPr>
          <w:p>
            <w:pPr>
              <w:pStyle w:val="42"/>
            </w:pPr>
            <w:r>
              <w:t>P2□</w:t>
            </w:r>
          </w:p>
        </w:tc>
        <w:tc>
          <w:tcPr>
            <w:tcW w:w="903" w:type="pct"/>
            <w:gridSpan w:val="5"/>
            <w:vAlign w:val="center"/>
          </w:tcPr>
          <w:p>
            <w:pPr>
              <w:pStyle w:val="42"/>
            </w:pPr>
            <w:r>
              <w:t>P3□</w:t>
            </w:r>
          </w:p>
        </w:tc>
        <w:tc>
          <w:tcPr>
            <w:tcW w:w="893" w:type="pct"/>
            <w:gridSpan w:val="2"/>
            <w:vAlign w:val="center"/>
          </w:tcPr>
          <w:p>
            <w:pPr>
              <w:pStyle w:val="42"/>
            </w:pPr>
            <w: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restart"/>
            <w:vAlign w:val="center"/>
          </w:tcPr>
          <w:p>
            <w:pPr>
              <w:pStyle w:val="42"/>
            </w:pPr>
            <w:r>
              <w:t>环境敏感度</w:t>
            </w:r>
          </w:p>
        </w:tc>
        <w:tc>
          <w:tcPr>
            <w:tcW w:w="407" w:type="pct"/>
            <w:vAlign w:val="center"/>
          </w:tcPr>
          <w:p>
            <w:pPr>
              <w:pStyle w:val="42"/>
            </w:pPr>
            <w:r>
              <w:t>大气</w:t>
            </w:r>
          </w:p>
        </w:tc>
        <w:tc>
          <w:tcPr>
            <w:tcW w:w="1132" w:type="pct"/>
            <w:gridSpan w:val="4"/>
            <w:vAlign w:val="center"/>
          </w:tcPr>
          <w:p>
            <w:pPr>
              <w:pStyle w:val="42"/>
            </w:pPr>
            <w:r>
              <w:t>E1</w:t>
            </w:r>
            <w:r>
              <w:rPr/>
              <w:sym w:font="Wingdings 2" w:char="0052"/>
            </w:r>
          </w:p>
        </w:tc>
        <w:tc>
          <w:tcPr>
            <w:tcW w:w="1351" w:type="pct"/>
            <w:gridSpan w:val="7"/>
            <w:vAlign w:val="center"/>
          </w:tcPr>
          <w:p>
            <w:pPr>
              <w:pStyle w:val="42"/>
            </w:pPr>
            <w:r>
              <w:t>E2□</w:t>
            </w:r>
          </w:p>
        </w:tc>
        <w:tc>
          <w:tcPr>
            <w:tcW w:w="1345" w:type="pct"/>
            <w:gridSpan w:val="4"/>
            <w:vAlign w:val="center"/>
          </w:tcPr>
          <w:p>
            <w:pPr>
              <w:pStyle w:val="42"/>
            </w:pPr>
            <w: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continue"/>
            <w:vAlign w:val="center"/>
          </w:tcPr>
          <w:p>
            <w:pPr>
              <w:pStyle w:val="42"/>
            </w:pPr>
          </w:p>
        </w:tc>
        <w:tc>
          <w:tcPr>
            <w:tcW w:w="407" w:type="pct"/>
            <w:vAlign w:val="center"/>
          </w:tcPr>
          <w:p>
            <w:pPr>
              <w:pStyle w:val="42"/>
            </w:pPr>
            <w:r>
              <w:t>地表水</w:t>
            </w:r>
          </w:p>
        </w:tc>
        <w:tc>
          <w:tcPr>
            <w:tcW w:w="1132" w:type="pct"/>
            <w:gridSpan w:val="4"/>
            <w:vAlign w:val="center"/>
          </w:tcPr>
          <w:p>
            <w:pPr>
              <w:pStyle w:val="42"/>
            </w:pPr>
            <w:r>
              <w:t>E1</w:t>
            </w:r>
            <w:r>
              <w:rPr/>
              <w:sym w:font="Wingdings 2" w:char="0052"/>
            </w:r>
          </w:p>
        </w:tc>
        <w:tc>
          <w:tcPr>
            <w:tcW w:w="1351" w:type="pct"/>
            <w:gridSpan w:val="7"/>
            <w:vAlign w:val="center"/>
          </w:tcPr>
          <w:p>
            <w:pPr>
              <w:pStyle w:val="42"/>
            </w:pPr>
            <w:r>
              <w:t>E2□</w:t>
            </w:r>
          </w:p>
        </w:tc>
        <w:tc>
          <w:tcPr>
            <w:tcW w:w="1345" w:type="pct"/>
            <w:gridSpan w:val="4"/>
            <w:vAlign w:val="center"/>
          </w:tcPr>
          <w:p>
            <w:pPr>
              <w:pStyle w:val="42"/>
            </w:pPr>
            <w: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Merge w:val="continue"/>
            <w:vAlign w:val="center"/>
          </w:tcPr>
          <w:p>
            <w:pPr>
              <w:pStyle w:val="42"/>
            </w:pPr>
          </w:p>
        </w:tc>
        <w:tc>
          <w:tcPr>
            <w:tcW w:w="407" w:type="pct"/>
            <w:vAlign w:val="center"/>
          </w:tcPr>
          <w:p>
            <w:pPr>
              <w:pStyle w:val="42"/>
            </w:pPr>
            <w:r>
              <w:t>地下水</w:t>
            </w:r>
          </w:p>
        </w:tc>
        <w:tc>
          <w:tcPr>
            <w:tcW w:w="1132" w:type="pct"/>
            <w:gridSpan w:val="4"/>
            <w:vAlign w:val="center"/>
          </w:tcPr>
          <w:p>
            <w:pPr>
              <w:pStyle w:val="42"/>
            </w:pPr>
            <w:r>
              <w:t>E1□</w:t>
            </w:r>
          </w:p>
        </w:tc>
        <w:tc>
          <w:tcPr>
            <w:tcW w:w="1351" w:type="pct"/>
            <w:gridSpan w:val="7"/>
            <w:vAlign w:val="center"/>
          </w:tcPr>
          <w:p>
            <w:pPr>
              <w:pStyle w:val="42"/>
            </w:pPr>
            <w:r>
              <w:t>E2</w:t>
            </w:r>
            <w:r>
              <w:rPr/>
              <w:sym w:font="Wingdings 2" w:char="0052"/>
            </w:r>
          </w:p>
        </w:tc>
        <w:tc>
          <w:tcPr>
            <w:tcW w:w="1345" w:type="pct"/>
            <w:gridSpan w:val="4"/>
            <w:vAlign w:val="center"/>
          </w:tcPr>
          <w:p>
            <w:pPr>
              <w:pStyle w:val="42"/>
            </w:pPr>
            <w: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环境风险潜势</w:t>
            </w:r>
          </w:p>
        </w:tc>
        <w:tc>
          <w:tcPr>
            <w:tcW w:w="832" w:type="pct"/>
            <w:gridSpan w:val="2"/>
            <w:vAlign w:val="center"/>
          </w:tcPr>
          <w:p>
            <w:pPr>
              <w:pStyle w:val="42"/>
            </w:pPr>
            <w:r>
              <w:rPr>
                <w:rFonts w:hint="eastAsia" w:ascii="宋体" w:hAnsi="宋体" w:cs="宋体"/>
              </w:rPr>
              <w:t>Ⅳ</w:t>
            </w:r>
            <w:r>
              <w:t>+□</w:t>
            </w:r>
          </w:p>
        </w:tc>
        <w:tc>
          <w:tcPr>
            <w:tcW w:w="707" w:type="pct"/>
            <w:gridSpan w:val="3"/>
            <w:vAlign w:val="center"/>
          </w:tcPr>
          <w:p>
            <w:pPr>
              <w:pStyle w:val="42"/>
            </w:pPr>
            <w:r>
              <w:rPr>
                <w:rFonts w:hint="eastAsia" w:ascii="宋体" w:hAnsi="宋体" w:cs="宋体"/>
              </w:rPr>
              <w:t>Ⅳ</w:t>
            </w:r>
            <w:r>
              <w:rPr/>
              <w:sym w:font="Wingdings 2" w:char="0052"/>
            </w:r>
          </w:p>
        </w:tc>
        <w:tc>
          <w:tcPr>
            <w:tcW w:w="900" w:type="pct"/>
            <w:gridSpan w:val="4"/>
            <w:vAlign w:val="center"/>
          </w:tcPr>
          <w:p>
            <w:pPr>
              <w:pStyle w:val="42"/>
            </w:pPr>
            <w:r>
              <w:rPr>
                <w:rFonts w:hint="eastAsia" w:ascii="宋体" w:hAnsi="宋体" w:cs="宋体"/>
              </w:rPr>
              <w:t>Ⅲ</w:t>
            </w:r>
            <w:r>
              <w:t>□</w:t>
            </w:r>
          </w:p>
        </w:tc>
        <w:tc>
          <w:tcPr>
            <w:tcW w:w="903" w:type="pct"/>
            <w:gridSpan w:val="5"/>
            <w:vAlign w:val="center"/>
          </w:tcPr>
          <w:p>
            <w:pPr>
              <w:pStyle w:val="42"/>
            </w:pPr>
            <w:r>
              <w:rPr>
                <w:rFonts w:hint="eastAsia" w:ascii="宋体" w:hAnsi="宋体" w:cs="宋体"/>
              </w:rPr>
              <w:t>Ⅱ</w:t>
            </w:r>
            <w:bookmarkStart w:id="168" w:name="OLE_LINK40"/>
            <w:bookmarkStart w:id="169" w:name="OLE_LINK39"/>
            <w:r>
              <w:t>□</w:t>
            </w:r>
            <w:bookmarkEnd w:id="168"/>
            <w:bookmarkEnd w:id="169"/>
          </w:p>
        </w:tc>
        <w:tc>
          <w:tcPr>
            <w:tcW w:w="893" w:type="pct"/>
            <w:gridSpan w:val="2"/>
            <w:vAlign w:val="center"/>
          </w:tcPr>
          <w:p>
            <w:pPr>
              <w:pStyle w:val="42"/>
            </w:pPr>
            <w:r>
              <w:rPr>
                <w:rFonts w:eastAsia="MS Mincho"/>
              </w:rPr>
              <w:t>І</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评价等级</w:t>
            </w:r>
          </w:p>
        </w:tc>
        <w:tc>
          <w:tcPr>
            <w:tcW w:w="1539" w:type="pct"/>
            <w:gridSpan w:val="5"/>
            <w:vAlign w:val="center"/>
          </w:tcPr>
          <w:p>
            <w:pPr>
              <w:pStyle w:val="42"/>
            </w:pPr>
            <w:r>
              <w:t>一级</w:t>
            </w:r>
            <w:r>
              <w:rPr/>
              <w:sym w:font="Wingdings 2" w:char="0052"/>
            </w:r>
          </w:p>
        </w:tc>
        <w:tc>
          <w:tcPr>
            <w:tcW w:w="900" w:type="pct"/>
            <w:gridSpan w:val="4"/>
            <w:vAlign w:val="center"/>
          </w:tcPr>
          <w:p>
            <w:pPr>
              <w:pStyle w:val="42"/>
            </w:pPr>
            <w:r>
              <w:t>二级□</w:t>
            </w:r>
          </w:p>
        </w:tc>
        <w:tc>
          <w:tcPr>
            <w:tcW w:w="903" w:type="pct"/>
            <w:gridSpan w:val="5"/>
            <w:vAlign w:val="center"/>
          </w:tcPr>
          <w:p>
            <w:pPr>
              <w:pStyle w:val="42"/>
            </w:pPr>
            <w:r>
              <w:t>三级□</w:t>
            </w:r>
          </w:p>
        </w:tc>
        <w:tc>
          <w:tcPr>
            <w:tcW w:w="893" w:type="pct"/>
            <w:gridSpan w:val="2"/>
            <w:vAlign w:val="center"/>
          </w:tcPr>
          <w:p>
            <w:pPr>
              <w:pStyle w:val="42"/>
            </w:pPr>
            <w: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restart"/>
            <w:vAlign w:val="center"/>
          </w:tcPr>
          <w:p>
            <w:pPr>
              <w:pStyle w:val="42"/>
            </w:pPr>
            <w:r>
              <w:t>评价</w:t>
            </w:r>
          </w:p>
          <w:p>
            <w:pPr>
              <w:pStyle w:val="42"/>
            </w:pPr>
            <w:r>
              <w:t>因子</w:t>
            </w:r>
          </w:p>
        </w:tc>
        <w:tc>
          <w:tcPr>
            <w:tcW w:w="568" w:type="pct"/>
            <w:vAlign w:val="center"/>
          </w:tcPr>
          <w:p>
            <w:pPr>
              <w:pStyle w:val="42"/>
            </w:pPr>
            <w:r>
              <w:t>物质危险性</w:t>
            </w:r>
          </w:p>
        </w:tc>
        <w:tc>
          <w:tcPr>
            <w:tcW w:w="1990" w:type="pct"/>
            <w:gridSpan w:val="7"/>
            <w:vAlign w:val="center"/>
          </w:tcPr>
          <w:p>
            <w:pPr>
              <w:pStyle w:val="42"/>
            </w:pPr>
            <w:r>
              <w:t>有毒有害</w:t>
            </w:r>
            <w:r>
              <w:rPr/>
              <w:sym w:font="Wingdings 2" w:char="0052"/>
            </w:r>
          </w:p>
        </w:tc>
        <w:tc>
          <w:tcPr>
            <w:tcW w:w="2245" w:type="pct"/>
            <w:gridSpan w:val="9"/>
            <w:vAlign w:val="center"/>
          </w:tcPr>
          <w:p>
            <w:pPr>
              <w:pStyle w:val="42"/>
            </w:pPr>
            <w:r>
              <w:t>易燃易爆</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Align w:val="center"/>
          </w:tcPr>
          <w:p>
            <w:pPr>
              <w:pStyle w:val="42"/>
            </w:pPr>
            <w:r>
              <w:t>环境风险类型</w:t>
            </w:r>
          </w:p>
        </w:tc>
        <w:tc>
          <w:tcPr>
            <w:tcW w:w="1539" w:type="pct"/>
            <w:gridSpan w:val="5"/>
            <w:vAlign w:val="center"/>
          </w:tcPr>
          <w:p>
            <w:pPr>
              <w:pStyle w:val="42"/>
            </w:pPr>
            <w:r>
              <w:t>泄漏</w:t>
            </w:r>
            <w:r>
              <w:rPr/>
              <w:sym w:font="Wingdings 2" w:char="0052"/>
            </w:r>
          </w:p>
        </w:tc>
        <w:tc>
          <w:tcPr>
            <w:tcW w:w="2696" w:type="pct"/>
            <w:gridSpan w:val="11"/>
            <w:vAlign w:val="center"/>
          </w:tcPr>
          <w:p>
            <w:pPr>
              <w:pStyle w:val="42"/>
            </w:pPr>
            <w:r>
              <w:t>火灾、爆炸引发伴生/次生污染物排放</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Align w:val="center"/>
          </w:tcPr>
          <w:p>
            <w:pPr>
              <w:pStyle w:val="42"/>
            </w:pPr>
            <w:r>
              <w:t>影响途径</w:t>
            </w:r>
          </w:p>
        </w:tc>
        <w:tc>
          <w:tcPr>
            <w:tcW w:w="1539" w:type="pct"/>
            <w:gridSpan w:val="5"/>
            <w:vAlign w:val="center"/>
          </w:tcPr>
          <w:p>
            <w:pPr>
              <w:pStyle w:val="42"/>
            </w:pPr>
            <w:r>
              <w:t>大气</w:t>
            </w:r>
            <w:r>
              <w:rPr/>
              <w:sym w:font="Wingdings 2" w:char="0052"/>
            </w:r>
          </w:p>
        </w:tc>
        <w:tc>
          <w:tcPr>
            <w:tcW w:w="1329" w:type="pct"/>
            <w:gridSpan w:val="6"/>
            <w:vAlign w:val="center"/>
          </w:tcPr>
          <w:p>
            <w:pPr>
              <w:pStyle w:val="42"/>
            </w:pPr>
            <w:r>
              <w:t>地表水</w:t>
            </w:r>
            <w:r>
              <w:rPr/>
              <w:sym w:font="Wingdings 2" w:char="0052"/>
            </w:r>
          </w:p>
        </w:tc>
        <w:tc>
          <w:tcPr>
            <w:tcW w:w="1367" w:type="pct"/>
            <w:gridSpan w:val="5"/>
            <w:vAlign w:val="center"/>
          </w:tcPr>
          <w:p>
            <w:pPr>
              <w:pStyle w:val="42"/>
            </w:pPr>
            <w:r>
              <w:t>地下水</w:t>
            </w:r>
            <w: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事故情形分析</w:t>
            </w:r>
          </w:p>
        </w:tc>
        <w:tc>
          <w:tcPr>
            <w:tcW w:w="832" w:type="pct"/>
            <w:gridSpan w:val="2"/>
            <w:vAlign w:val="center"/>
          </w:tcPr>
          <w:p>
            <w:pPr>
              <w:pStyle w:val="42"/>
            </w:pPr>
            <w:r>
              <w:t>源强设定方法</w:t>
            </w:r>
          </w:p>
        </w:tc>
        <w:tc>
          <w:tcPr>
            <w:tcW w:w="707" w:type="pct"/>
            <w:gridSpan w:val="3"/>
            <w:vAlign w:val="center"/>
          </w:tcPr>
          <w:p>
            <w:pPr>
              <w:pStyle w:val="42"/>
            </w:pPr>
            <w:r>
              <w:t>计算方法</w:t>
            </w:r>
            <w:r>
              <w:rPr/>
              <w:sym w:font="Wingdings 2" w:char="0052"/>
            </w:r>
          </w:p>
        </w:tc>
        <w:tc>
          <w:tcPr>
            <w:tcW w:w="1329" w:type="pct"/>
            <w:gridSpan w:val="6"/>
            <w:vAlign w:val="center"/>
          </w:tcPr>
          <w:p>
            <w:pPr>
              <w:pStyle w:val="42"/>
            </w:pPr>
            <w:r>
              <w:t>经验估算法</w:t>
            </w:r>
            <w:r>
              <w:rPr/>
              <w:sym w:font="Wingdings 2" w:char="00A3"/>
            </w:r>
          </w:p>
        </w:tc>
        <w:tc>
          <w:tcPr>
            <w:tcW w:w="1367" w:type="pct"/>
            <w:gridSpan w:val="5"/>
            <w:vAlign w:val="center"/>
          </w:tcPr>
          <w:p>
            <w:pPr>
              <w:pStyle w:val="42"/>
            </w:pPr>
            <w: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restart"/>
            <w:vAlign w:val="center"/>
          </w:tcPr>
          <w:p>
            <w:pPr>
              <w:pStyle w:val="42"/>
            </w:pPr>
            <w:r>
              <w:t>风险预测与评价</w:t>
            </w:r>
          </w:p>
        </w:tc>
        <w:tc>
          <w:tcPr>
            <w:tcW w:w="568" w:type="pct"/>
            <w:vMerge w:val="restart"/>
            <w:vAlign w:val="center"/>
          </w:tcPr>
          <w:p>
            <w:pPr>
              <w:pStyle w:val="42"/>
            </w:pPr>
            <w:r>
              <w:t>大气</w:t>
            </w:r>
          </w:p>
        </w:tc>
        <w:tc>
          <w:tcPr>
            <w:tcW w:w="832" w:type="pct"/>
            <w:gridSpan w:val="2"/>
            <w:vAlign w:val="center"/>
          </w:tcPr>
          <w:p>
            <w:pPr>
              <w:pStyle w:val="42"/>
            </w:pPr>
            <w:r>
              <w:t>预测模型</w:t>
            </w:r>
          </w:p>
        </w:tc>
        <w:tc>
          <w:tcPr>
            <w:tcW w:w="707" w:type="pct"/>
            <w:gridSpan w:val="3"/>
            <w:vAlign w:val="center"/>
          </w:tcPr>
          <w:p>
            <w:pPr>
              <w:pStyle w:val="42"/>
            </w:pPr>
            <w:r>
              <w:t>SLAB</w:t>
            </w:r>
            <w:r>
              <w:rPr/>
              <w:sym w:font="Wingdings 2" w:char="0052"/>
            </w:r>
          </w:p>
        </w:tc>
        <w:tc>
          <w:tcPr>
            <w:tcW w:w="1329" w:type="pct"/>
            <w:gridSpan w:val="6"/>
            <w:vAlign w:val="center"/>
          </w:tcPr>
          <w:p>
            <w:pPr>
              <w:pStyle w:val="42"/>
            </w:pPr>
            <w:r>
              <w:t>AFTOX</w:t>
            </w:r>
            <w:r>
              <w:rPr/>
              <w:sym w:font="Wingdings 2" w:char="0052"/>
            </w:r>
          </w:p>
        </w:tc>
        <w:tc>
          <w:tcPr>
            <w:tcW w:w="1367" w:type="pct"/>
            <w:gridSpan w:val="5"/>
            <w:vAlign w:val="center"/>
          </w:tcPr>
          <w:p>
            <w:pPr>
              <w:pStyle w:val="42"/>
            </w:pPr>
            <w:r>
              <w:t>其他</w:t>
            </w:r>
            <w: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832" w:type="pct"/>
            <w:gridSpan w:val="2"/>
            <w:vMerge w:val="restart"/>
            <w:vAlign w:val="center"/>
          </w:tcPr>
          <w:p>
            <w:pPr>
              <w:pStyle w:val="42"/>
            </w:pPr>
            <w:r>
              <w:t>预测结果</w:t>
            </w:r>
          </w:p>
        </w:tc>
        <w:tc>
          <w:tcPr>
            <w:tcW w:w="3403" w:type="pct"/>
            <w:gridSpan w:val="14"/>
            <w:vAlign w:val="center"/>
          </w:tcPr>
          <w:p>
            <w:pPr>
              <w:pStyle w:val="42"/>
            </w:pPr>
            <w:r>
              <w:t>大气毒性终点浓度-1 最大影响范围</w:t>
            </w:r>
            <w:r>
              <w:rPr>
                <w:rFonts w:hint="eastAsia"/>
              </w:rPr>
              <w:t xml:space="preserve">  </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832" w:type="pct"/>
            <w:gridSpan w:val="2"/>
            <w:vMerge w:val="continue"/>
            <w:vAlign w:val="center"/>
          </w:tcPr>
          <w:p>
            <w:pPr>
              <w:pStyle w:val="42"/>
            </w:pPr>
          </w:p>
        </w:tc>
        <w:tc>
          <w:tcPr>
            <w:tcW w:w="3403" w:type="pct"/>
            <w:gridSpan w:val="14"/>
            <w:vAlign w:val="center"/>
          </w:tcPr>
          <w:p>
            <w:pPr>
              <w:pStyle w:val="42"/>
            </w:pPr>
            <w:r>
              <w:t>大气毒性终点浓度-2 最大影响范围</w:t>
            </w:r>
            <w:r>
              <w:rPr>
                <w:rFonts w:hint="eastAsia"/>
              </w:rPr>
              <w:t>155</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Align w:val="center"/>
          </w:tcPr>
          <w:p>
            <w:pPr>
              <w:pStyle w:val="42"/>
            </w:pPr>
            <w:r>
              <w:t>地表水</w:t>
            </w:r>
          </w:p>
        </w:tc>
        <w:tc>
          <w:tcPr>
            <w:tcW w:w="4235" w:type="pct"/>
            <w:gridSpan w:val="16"/>
            <w:vAlign w:val="center"/>
          </w:tcPr>
          <w:p>
            <w:pPr>
              <w:pStyle w:val="42"/>
            </w:pPr>
            <w:r>
              <w:t>最近环境敏感目标，到达时间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restart"/>
            <w:vAlign w:val="center"/>
          </w:tcPr>
          <w:p>
            <w:pPr>
              <w:pStyle w:val="42"/>
            </w:pPr>
            <w:r>
              <w:t>地下水</w:t>
            </w:r>
          </w:p>
        </w:tc>
        <w:tc>
          <w:tcPr>
            <w:tcW w:w="4235" w:type="pct"/>
            <w:gridSpan w:val="16"/>
            <w:vAlign w:val="center"/>
          </w:tcPr>
          <w:p>
            <w:pPr>
              <w:pStyle w:val="42"/>
            </w:pPr>
            <w: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97" w:type="pct"/>
            <w:vMerge w:val="continue"/>
            <w:vAlign w:val="center"/>
          </w:tcPr>
          <w:p>
            <w:pPr>
              <w:pStyle w:val="42"/>
            </w:pPr>
          </w:p>
        </w:tc>
        <w:tc>
          <w:tcPr>
            <w:tcW w:w="568" w:type="pct"/>
            <w:vMerge w:val="continue"/>
            <w:vAlign w:val="center"/>
          </w:tcPr>
          <w:p>
            <w:pPr>
              <w:pStyle w:val="42"/>
            </w:pPr>
          </w:p>
        </w:tc>
        <w:tc>
          <w:tcPr>
            <w:tcW w:w="4235" w:type="pct"/>
            <w:gridSpan w:val="16"/>
            <w:vAlign w:val="center"/>
          </w:tcPr>
          <w:p>
            <w:pPr>
              <w:pStyle w:val="42"/>
            </w:pPr>
            <w:r>
              <w:t>最近环境敏感目标，到达时间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重点风险</w:t>
            </w:r>
          </w:p>
          <w:p>
            <w:pPr>
              <w:pStyle w:val="42"/>
            </w:pPr>
            <w:r>
              <w:t>防范措施</w:t>
            </w:r>
          </w:p>
        </w:tc>
        <w:tc>
          <w:tcPr>
            <w:tcW w:w="4235" w:type="pct"/>
            <w:gridSpan w:val="16"/>
            <w:vAlign w:val="center"/>
          </w:tcPr>
          <w:p>
            <w:pPr>
              <w:pStyle w:val="42"/>
            </w:pPr>
            <w:r>
              <w:t>厂区事故池</w:t>
            </w:r>
            <w:r>
              <w:rPr>
                <w:rFonts w:hint="eastAsia"/>
              </w:rPr>
              <w:t>及雨污切换系统；</w:t>
            </w:r>
            <w:r>
              <w:rPr>
                <w:rFonts w:hint="eastAsia"/>
                <w:sz w:val="18"/>
                <w:szCs w:val="18"/>
              </w:rPr>
              <w:t>合成氨装置区和二氧化碳回收装置区设置围堤和导流设施，设置NH</w:t>
            </w:r>
            <w:r>
              <w:rPr>
                <w:rFonts w:hint="eastAsia"/>
                <w:sz w:val="18"/>
                <w:szCs w:val="18"/>
                <w:vertAlign w:val="subscript"/>
              </w:rPr>
              <w:t>3</w:t>
            </w:r>
            <w:r>
              <w:rPr>
                <w:rFonts w:hint="eastAsia"/>
                <w:sz w:val="18"/>
                <w:szCs w:val="18"/>
              </w:rPr>
              <w:t>、CO、甲烷、氢气等</w:t>
            </w:r>
            <w:r>
              <w:rPr>
                <w:sz w:val="18"/>
                <w:szCs w:val="18"/>
              </w:rPr>
              <w:t>有毒</w:t>
            </w:r>
            <w:r>
              <w:rPr>
                <w:rFonts w:hint="eastAsia"/>
                <w:sz w:val="18"/>
                <w:szCs w:val="18"/>
              </w:rPr>
              <w:t>有害</w:t>
            </w:r>
            <w:r>
              <w:rPr>
                <w:sz w:val="18"/>
                <w:szCs w:val="18"/>
              </w:rPr>
              <w:t>、可燃气体</w:t>
            </w:r>
            <w:r>
              <w:rPr>
                <w:rFonts w:hint="eastAsia"/>
                <w:sz w:val="18"/>
                <w:szCs w:val="18"/>
              </w:rPr>
              <w:t>探测</w:t>
            </w:r>
            <w:r>
              <w:rPr>
                <w:sz w:val="18"/>
                <w:szCs w:val="18"/>
              </w:rPr>
              <w:t>报警</w:t>
            </w:r>
            <w:r>
              <w:rPr>
                <w:rFonts w:hint="eastAsia"/>
                <w:sz w:val="18"/>
                <w:szCs w:val="18"/>
              </w:rPr>
              <w:t>装置，合成氨装置区设置水喷淋装置；液氨输送管道设压力监控系统，泄漏后压力下降，可根据泄漏点位置，通过切断两侧阀门，另外管线设计有氮置换排放口，可将管线中的液氨置换排放至氨火炬系统，以控制和处置管道泄漏影响；CO</w:t>
            </w:r>
            <w:r>
              <w:rPr>
                <w:rFonts w:hint="eastAsia"/>
                <w:sz w:val="18"/>
                <w:szCs w:val="18"/>
                <w:vertAlign w:val="subscript"/>
              </w:rPr>
              <w:t>2</w:t>
            </w:r>
            <w:r>
              <w:rPr>
                <w:rFonts w:hint="eastAsia"/>
                <w:sz w:val="18"/>
                <w:szCs w:val="18"/>
              </w:rPr>
              <w:t>储罐配套设置安全阀；</w:t>
            </w:r>
            <w:r>
              <w:rPr>
                <w:sz w:val="18"/>
                <w:szCs w:val="18"/>
              </w:rPr>
              <w:t>制定有应急预案</w:t>
            </w:r>
            <w:r>
              <w:rPr>
                <w:rFonts w:hint="eastAsia"/>
                <w:sz w:val="18"/>
                <w:szCs w:val="18"/>
              </w:rPr>
              <w:t>并</w:t>
            </w:r>
            <w:r>
              <w:rPr>
                <w:sz w:val="18"/>
                <w:szCs w:val="18"/>
              </w:rPr>
              <w:t>落实制度；配备有应急</w:t>
            </w:r>
            <w:r>
              <w:rPr>
                <w:rFonts w:hint="eastAsia"/>
                <w:sz w:val="18"/>
                <w:szCs w:val="18"/>
              </w:rPr>
              <w:t>救援物资；设置危险物质特性、应急处置措施及警示的标志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65" w:type="pct"/>
            <w:gridSpan w:val="2"/>
            <w:vAlign w:val="center"/>
          </w:tcPr>
          <w:p>
            <w:pPr>
              <w:pStyle w:val="42"/>
            </w:pPr>
            <w:r>
              <w:t>评价结论与建议</w:t>
            </w:r>
          </w:p>
        </w:tc>
        <w:tc>
          <w:tcPr>
            <w:tcW w:w="4235" w:type="pct"/>
            <w:gridSpan w:val="16"/>
            <w:vAlign w:val="center"/>
          </w:tcPr>
          <w:p>
            <w:pPr>
              <w:pStyle w:val="42"/>
            </w:pPr>
            <w:r>
              <w:t>综上所述，采取上述措施后，本项目环境风险可控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18"/>
            <w:vAlign w:val="center"/>
          </w:tcPr>
          <w:p>
            <w:pPr>
              <w:pStyle w:val="42"/>
            </w:pPr>
            <w:r>
              <w:t>注：“□”为勾选项，为填写项。</w:t>
            </w:r>
          </w:p>
        </w:tc>
      </w:tr>
    </w:tbl>
    <w:p>
      <w:pPr>
        <w:pStyle w:val="41"/>
      </w:pPr>
    </w:p>
    <w:p>
      <w:pPr>
        <w:ind w:firstLine="480"/>
        <w:sectPr>
          <w:pgSz w:w="11906" w:h="16838"/>
          <w:pgMar w:top="1440" w:right="1800" w:bottom="1440" w:left="1800" w:header="851" w:footer="992" w:gutter="0"/>
          <w:cols w:space="425" w:num="1"/>
          <w:docGrid w:type="lines" w:linePitch="326" w:charSpace="0"/>
        </w:sectPr>
      </w:pPr>
    </w:p>
    <w:p>
      <w:pPr>
        <w:pStyle w:val="2"/>
        <w:spacing w:before="163" w:after="163"/>
      </w:pPr>
      <w:bookmarkStart w:id="170" w:name="_Toc84844331"/>
      <w:r>
        <w:rPr>
          <w:rFonts w:hint="eastAsia"/>
        </w:rPr>
        <w:t>7污染防治措施及技术经济分析</w:t>
      </w:r>
      <w:bookmarkEnd w:id="170"/>
    </w:p>
    <w:p>
      <w:pPr>
        <w:pStyle w:val="3"/>
        <w:spacing w:before="163" w:after="163"/>
      </w:pPr>
      <w:bookmarkStart w:id="171" w:name="_Toc84844332"/>
      <w:r>
        <w:rPr>
          <w:rFonts w:hint="eastAsia"/>
        </w:rPr>
        <w:t>7.1污染防治措施</w:t>
      </w:r>
      <w:bookmarkEnd w:id="171"/>
    </w:p>
    <w:p>
      <w:pPr>
        <w:pStyle w:val="4"/>
        <w:spacing w:before="163" w:after="163"/>
      </w:pPr>
      <w:bookmarkStart w:id="172" w:name="_Toc84844333"/>
      <w:r>
        <w:rPr>
          <w:rFonts w:hint="eastAsia"/>
        </w:rPr>
        <w:t>7.1.1废水</w:t>
      </w:r>
      <w:bookmarkEnd w:id="172"/>
    </w:p>
    <w:p>
      <w:pPr>
        <w:ind w:firstLine="480"/>
      </w:pPr>
      <w:r>
        <w:rPr>
          <w:rFonts w:hint="eastAsia"/>
        </w:rPr>
        <w:t>（1）废水水质及处理方案</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hint="eastAsia"/>
        </w:rPr>
        <w:t>另外，拟建项目设热交换器，排水量约280.8m</w:t>
      </w:r>
      <w:r>
        <w:rPr>
          <w:rFonts w:hint="eastAsia"/>
          <w:vertAlign w:val="superscript"/>
        </w:rPr>
        <w:t>3</w:t>
      </w:r>
      <w:r>
        <w:rPr>
          <w:rFonts w:hint="eastAsia"/>
        </w:rPr>
        <w:t>/d，经清下水管网集中收集至厂区雨水总排口，经雨水排口排入园区雨水系统；脱盐水和循环冷却水依托恩力吉公司现有装置，脱盐水系统排水和循环水系统排水共计1081.03 m</w:t>
      </w:r>
      <w:r>
        <w:rPr>
          <w:rFonts w:hint="eastAsia"/>
          <w:vertAlign w:val="superscript"/>
        </w:rPr>
        <w:t>3</w:t>
      </w:r>
      <w:r>
        <w:rPr>
          <w:rFonts w:hint="eastAsia"/>
        </w:rPr>
        <w:t>/d，依托恩力吉公司现有清下水管网集中收集，排入园区雨水系统。</w:t>
      </w:r>
    </w:p>
    <w:p>
      <w:pPr>
        <w:ind w:firstLine="480"/>
      </w:pPr>
      <w:r>
        <w:rPr>
          <w:rFonts w:hint="eastAsia"/>
        </w:rPr>
        <w:t>（2）废水处理工艺</w:t>
      </w:r>
    </w:p>
    <w:p>
      <w:pPr>
        <w:ind w:firstLine="480"/>
      </w:pPr>
      <w:r>
        <w:rPr>
          <w:rFonts w:hint="eastAsia"/>
        </w:rPr>
        <w:t>拟建项目废水处理站采用“调节池+初沉池+SBR生化处理+二沉池”处理工艺。</w:t>
      </w:r>
    </w:p>
    <w:p>
      <w:pPr>
        <w:ind w:firstLine="480"/>
      </w:pPr>
      <w:r>
        <w:rPr>
          <w:rFonts w:hint="eastAsia"/>
        </w:rPr>
        <w:t>SBR：全称“序批式活性污泥法”，在同一反应池（器）中，按时间顺序由进水、曝气、沉淀、排水和待机五个基本工序组成的活性污泥污水处理方法。</w:t>
      </w:r>
    </w:p>
    <w:p>
      <w:pPr>
        <w:ind w:firstLine="480"/>
      </w:pPr>
      <w:r>
        <w:rPr>
          <w:rFonts w:hint="eastAsia"/>
        </w:rPr>
        <w:t>SBR相对于连续流系统具有以下优点：首先，这种反应器运行灵活简洁。它可以配合不同的进水水质调整运行模式。第二，SBR流态上属于完全混合，而在有机物降解方面却是时间上推流。因此为了达到较高去除率而只需调整反应时间。第三，SBR的沉淀阶段使泥水有效分离，出水悬浮物浓度低。</w:t>
      </w:r>
    </w:p>
    <w:p>
      <w:pPr>
        <w:ind w:firstLine="480"/>
      </w:pPr>
      <w:r>
        <w:rPr>
          <w:rFonts w:hint="eastAsia"/>
        </w:rPr>
        <w:t>拟建项目废水处理工艺流程详见下图7.1-1。</w:t>
      </w:r>
    </w:p>
    <w:p>
      <w:pPr>
        <w:pStyle w:val="41"/>
      </w:pPr>
      <w:r>
        <w:object>
          <v:shape id="_x0000_i1040" o:spt="75" type="#_x0000_t75" style="height:209.2pt;width:415pt;" o:ole="t" filled="f" coordsize="21600,21600">
            <v:path/>
            <v:fill on="f" focussize="0,0"/>
            <v:stroke/>
            <v:imagedata r:id="rId99" o:title=""/>
            <o:lock v:ext="edit" aspectratio="t"/>
            <w10:wrap type="none"/>
            <w10:anchorlock/>
          </v:shape>
          <o:OLEObject Type="Embed" ProgID="Visio.Drawing.11" ShapeID="_x0000_i1040" DrawAspect="Content" ObjectID="_1468075741" r:id="rId98">
            <o:LockedField>false</o:LockedField>
          </o:OLEObject>
        </w:object>
      </w:r>
    </w:p>
    <w:p>
      <w:pPr>
        <w:ind w:firstLine="480"/>
      </w:pPr>
      <w:r>
        <w:rPr>
          <w:rFonts w:hint="eastAsia"/>
        </w:rPr>
        <w:t>（3）废水处理站处理效果及达标排放分析</w:t>
      </w:r>
    </w:p>
    <w:p>
      <w:pPr>
        <w:ind w:firstLine="480"/>
      </w:pPr>
      <w:r>
        <w:rPr>
          <w:rFonts w:hint="eastAsia"/>
        </w:rPr>
        <w:t>拟建项目拟采用的废水处理工艺技术成熟，并且得到广泛应用，参照《序批式活性污泥法污水处理工程技术规范》（HJ577-2010），本工程污水处理站对各污染物去除率分析见下表7.1-1。</w:t>
      </w:r>
    </w:p>
    <w:p>
      <w:pPr>
        <w:pStyle w:val="41"/>
      </w:pPr>
      <w:r>
        <w:rPr>
          <w:rFonts w:hint="eastAsia"/>
        </w:rPr>
        <w:t>表7.1-1废水处理站主要处理单元对污染物的处理效果一览表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89"/>
        <w:gridCol w:w="1420"/>
        <w:gridCol w:w="972"/>
        <w:gridCol w:w="1045"/>
        <w:gridCol w:w="1052"/>
        <w:gridCol w:w="1137"/>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Align w:val="center"/>
          </w:tcPr>
          <w:p>
            <w:pPr>
              <w:pStyle w:val="42"/>
              <w:spacing w:line="300" w:lineRule="exact"/>
              <w:rPr>
                <w:snapToGrid w:val="0"/>
                <w:sz w:val="18"/>
                <w:szCs w:val="18"/>
              </w:rPr>
            </w:pPr>
            <w:r>
              <w:rPr>
                <w:rFonts w:hint="eastAsia"/>
                <w:snapToGrid w:val="0"/>
                <w:sz w:val="18"/>
                <w:szCs w:val="18"/>
              </w:rPr>
              <w:t>废水</w:t>
            </w:r>
          </w:p>
        </w:tc>
        <w:tc>
          <w:tcPr>
            <w:tcW w:w="580" w:type="pct"/>
            <w:vAlign w:val="center"/>
          </w:tcPr>
          <w:p>
            <w:pPr>
              <w:pStyle w:val="42"/>
              <w:spacing w:line="300" w:lineRule="exact"/>
              <w:rPr>
                <w:snapToGrid w:val="0"/>
                <w:sz w:val="18"/>
                <w:szCs w:val="18"/>
              </w:rPr>
            </w:pPr>
            <w:r>
              <w:rPr>
                <w:rFonts w:hint="eastAsia"/>
                <w:snapToGrid w:val="0"/>
                <w:sz w:val="18"/>
                <w:szCs w:val="18"/>
              </w:rPr>
              <w:t>处理工艺</w:t>
            </w:r>
          </w:p>
        </w:tc>
        <w:tc>
          <w:tcPr>
            <w:tcW w:w="833" w:type="pct"/>
            <w:vAlign w:val="center"/>
          </w:tcPr>
          <w:p>
            <w:pPr>
              <w:pStyle w:val="42"/>
              <w:spacing w:line="300" w:lineRule="exact"/>
              <w:rPr>
                <w:snapToGrid w:val="0"/>
                <w:sz w:val="18"/>
                <w:szCs w:val="18"/>
              </w:rPr>
            </w:pPr>
            <w:r>
              <w:rPr>
                <w:rFonts w:hint="eastAsia"/>
                <w:snapToGrid w:val="0"/>
                <w:sz w:val="18"/>
                <w:szCs w:val="18"/>
              </w:rPr>
              <w:t>污染物</w:t>
            </w:r>
          </w:p>
        </w:tc>
        <w:tc>
          <w:tcPr>
            <w:tcW w:w="570" w:type="pct"/>
            <w:vAlign w:val="center"/>
          </w:tcPr>
          <w:p>
            <w:pPr>
              <w:pStyle w:val="42"/>
              <w:spacing w:line="300" w:lineRule="exact"/>
              <w:rPr>
                <w:snapToGrid w:val="0"/>
                <w:sz w:val="18"/>
                <w:szCs w:val="18"/>
              </w:rPr>
            </w:pPr>
            <w:r>
              <w:rPr>
                <w:rFonts w:hint="eastAsia"/>
                <w:snapToGrid w:val="0"/>
                <w:sz w:val="18"/>
                <w:szCs w:val="18"/>
              </w:rPr>
              <w:t>COD</w:t>
            </w:r>
          </w:p>
        </w:tc>
        <w:tc>
          <w:tcPr>
            <w:tcW w:w="613" w:type="pct"/>
            <w:vAlign w:val="center"/>
          </w:tcPr>
          <w:p>
            <w:pPr>
              <w:pStyle w:val="42"/>
              <w:spacing w:line="300" w:lineRule="exact"/>
              <w:rPr>
                <w:snapToGrid w:val="0"/>
                <w:sz w:val="18"/>
                <w:szCs w:val="18"/>
              </w:rPr>
            </w:pPr>
            <w:r>
              <w:rPr>
                <w:rFonts w:hint="eastAsia"/>
                <w:snapToGrid w:val="0"/>
                <w:sz w:val="18"/>
                <w:szCs w:val="18"/>
              </w:rPr>
              <w:t>BOD</w:t>
            </w:r>
            <w:r>
              <w:rPr>
                <w:rFonts w:hint="eastAsia"/>
                <w:snapToGrid w:val="0"/>
                <w:sz w:val="18"/>
                <w:szCs w:val="18"/>
                <w:vertAlign w:val="subscript"/>
              </w:rPr>
              <w:t>5</w:t>
            </w:r>
          </w:p>
        </w:tc>
        <w:tc>
          <w:tcPr>
            <w:tcW w:w="617" w:type="pct"/>
            <w:vAlign w:val="center"/>
          </w:tcPr>
          <w:p>
            <w:pPr>
              <w:pStyle w:val="42"/>
              <w:spacing w:line="300" w:lineRule="exact"/>
              <w:rPr>
                <w:snapToGrid w:val="0"/>
                <w:sz w:val="18"/>
                <w:szCs w:val="18"/>
              </w:rPr>
            </w:pPr>
            <w:r>
              <w:rPr>
                <w:rFonts w:hint="eastAsia"/>
                <w:snapToGrid w:val="0"/>
                <w:sz w:val="18"/>
                <w:szCs w:val="18"/>
              </w:rPr>
              <w:t>SS</w:t>
            </w:r>
          </w:p>
        </w:tc>
        <w:tc>
          <w:tcPr>
            <w:tcW w:w="667" w:type="pct"/>
            <w:vAlign w:val="center"/>
          </w:tcPr>
          <w:p>
            <w:pPr>
              <w:pStyle w:val="42"/>
              <w:spacing w:line="300" w:lineRule="exact"/>
              <w:rPr>
                <w:snapToGrid w:val="0"/>
                <w:sz w:val="18"/>
                <w:szCs w:val="18"/>
              </w:rPr>
            </w:pPr>
            <w:r>
              <w:rPr>
                <w:rFonts w:hint="eastAsia"/>
                <w:snapToGrid w:val="0"/>
                <w:sz w:val="18"/>
                <w:szCs w:val="18"/>
              </w:rPr>
              <w:t>氨氮</w:t>
            </w:r>
          </w:p>
        </w:tc>
        <w:tc>
          <w:tcPr>
            <w:tcW w:w="556" w:type="pct"/>
            <w:vAlign w:val="center"/>
          </w:tcPr>
          <w:p>
            <w:pPr>
              <w:pStyle w:val="42"/>
              <w:spacing w:line="300" w:lineRule="exact"/>
              <w:rPr>
                <w:sz w:val="18"/>
                <w:szCs w:val="18"/>
              </w:rPr>
            </w:pPr>
            <w:r>
              <w:rPr>
                <w:rFonts w:hint="eastAsia"/>
                <w:sz w:val="18"/>
                <w:szCs w:val="18"/>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restart"/>
            <w:vAlign w:val="center"/>
          </w:tcPr>
          <w:p>
            <w:pPr>
              <w:pStyle w:val="42"/>
              <w:spacing w:line="300" w:lineRule="exact"/>
              <w:rPr>
                <w:snapToGrid w:val="0"/>
                <w:sz w:val="18"/>
                <w:szCs w:val="18"/>
              </w:rPr>
            </w:pPr>
            <w:r>
              <w:rPr>
                <w:rFonts w:hint="eastAsia"/>
                <w:snapToGrid w:val="0"/>
                <w:sz w:val="18"/>
                <w:szCs w:val="18"/>
              </w:rPr>
              <w:t>生活污水和地坪清洗水</w:t>
            </w:r>
          </w:p>
        </w:tc>
        <w:tc>
          <w:tcPr>
            <w:tcW w:w="580" w:type="pct"/>
            <w:vMerge w:val="restart"/>
            <w:vAlign w:val="center"/>
          </w:tcPr>
          <w:p>
            <w:pPr>
              <w:pStyle w:val="42"/>
              <w:spacing w:line="300" w:lineRule="exact"/>
              <w:rPr>
                <w:snapToGrid w:val="0"/>
                <w:sz w:val="18"/>
                <w:szCs w:val="18"/>
              </w:rPr>
            </w:pPr>
            <w:r>
              <w:rPr>
                <w:rFonts w:hint="eastAsia"/>
                <w:snapToGrid w:val="0"/>
                <w:sz w:val="18"/>
                <w:szCs w:val="18"/>
              </w:rPr>
              <w:t>沉淀+SBR生化处理</w:t>
            </w:r>
          </w:p>
        </w:tc>
        <w:tc>
          <w:tcPr>
            <w:tcW w:w="833" w:type="pct"/>
            <w:vAlign w:val="center"/>
          </w:tcPr>
          <w:p>
            <w:pPr>
              <w:pStyle w:val="42"/>
              <w:spacing w:line="300" w:lineRule="exact"/>
              <w:rPr>
                <w:snapToGrid w:val="0"/>
                <w:sz w:val="18"/>
                <w:szCs w:val="18"/>
              </w:rPr>
            </w:pPr>
            <w:r>
              <w:rPr>
                <w:rFonts w:hint="eastAsia"/>
                <w:snapToGrid w:val="0"/>
                <w:sz w:val="18"/>
                <w:szCs w:val="18"/>
              </w:rPr>
              <w:t>进水水质mg/L</w:t>
            </w:r>
          </w:p>
        </w:tc>
        <w:tc>
          <w:tcPr>
            <w:tcW w:w="570" w:type="pct"/>
            <w:vAlign w:val="center"/>
          </w:tcPr>
          <w:p>
            <w:pPr>
              <w:pStyle w:val="42"/>
              <w:spacing w:line="300" w:lineRule="exact"/>
              <w:rPr>
                <w:snapToGrid w:val="0"/>
                <w:sz w:val="18"/>
                <w:szCs w:val="18"/>
              </w:rPr>
            </w:pPr>
            <w:r>
              <w:rPr>
                <w:rFonts w:hint="eastAsia"/>
                <w:snapToGrid w:val="0"/>
                <w:sz w:val="18"/>
                <w:szCs w:val="18"/>
              </w:rPr>
              <w:t>693</w:t>
            </w:r>
          </w:p>
        </w:tc>
        <w:tc>
          <w:tcPr>
            <w:tcW w:w="613" w:type="pct"/>
            <w:vAlign w:val="center"/>
          </w:tcPr>
          <w:p>
            <w:pPr>
              <w:pStyle w:val="42"/>
              <w:spacing w:line="300" w:lineRule="exact"/>
              <w:rPr>
                <w:snapToGrid w:val="0"/>
                <w:sz w:val="18"/>
                <w:szCs w:val="18"/>
              </w:rPr>
            </w:pPr>
            <w:r>
              <w:rPr>
                <w:rFonts w:hint="eastAsia"/>
                <w:snapToGrid w:val="0"/>
                <w:sz w:val="18"/>
                <w:szCs w:val="18"/>
              </w:rPr>
              <w:t>223</w:t>
            </w:r>
          </w:p>
        </w:tc>
        <w:tc>
          <w:tcPr>
            <w:tcW w:w="617" w:type="pct"/>
            <w:vAlign w:val="center"/>
          </w:tcPr>
          <w:p>
            <w:pPr>
              <w:pStyle w:val="42"/>
              <w:spacing w:line="300" w:lineRule="exact"/>
              <w:rPr>
                <w:snapToGrid w:val="0"/>
                <w:sz w:val="18"/>
                <w:szCs w:val="18"/>
              </w:rPr>
            </w:pPr>
            <w:r>
              <w:rPr>
                <w:rFonts w:hint="eastAsia"/>
                <w:snapToGrid w:val="0"/>
                <w:sz w:val="18"/>
                <w:szCs w:val="18"/>
              </w:rPr>
              <w:t>323</w:t>
            </w:r>
          </w:p>
        </w:tc>
        <w:tc>
          <w:tcPr>
            <w:tcW w:w="667" w:type="pct"/>
            <w:vAlign w:val="center"/>
          </w:tcPr>
          <w:p>
            <w:pPr>
              <w:pStyle w:val="42"/>
              <w:spacing w:line="300" w:lineRule="exact"/>
              <w:rPr>
                <w:snapToGrid w:val="0"/>
                <w:sz w:val="18"/>
                <w:szCs w:val="18"/>
              </w:rPr>
            </w:pPr>
            <w:r>
              <w:rPr>
                <w:rFonts w:hint="eastAsia"/>
                <w:snapToGrid w:val="0"/>
                <w:sz w:val="18"/>
                <w:szCs w:val="18"/>
              </w:rPr>
              <w:t>51</w:t>
            </w:r>
          </w:p>
        </w:tc>
        <w:tc>
          <w:tcPr>
            <w:tcW w:w="556" w:type="pct"/>
            <w:vAlign w:val="center"/>
          </w:tcPr>
          <w:p>
            <w:pPr>
              <w:pStyle w:val="42"/>
              <w:spacing w:line="300" w:lineRule="exact"/>
              <w:rPr>
                <w:snapToGrid w:val="0"/>
                <w:sz w:val="18"/>
                <w:szCs w:val="18"/>
              </w:rPr>
            </w:pPr>
            <w:r>
              <w:rPr>
                <w:rFonts w:hint="eastAsia"/>
                <w:snapToGrid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continue"/>
            <w:vAlign w:val="center"/>
          </w:tcPr>
          <w:p>
            <w:pPr>
              <w:pStyle w:val="42"/>
              <w:spacing w:line="300" w:lineRule="exact"/>
              <w:rPr>
                <w:snapToGrid w:val="0"/>
                <w:sz w:val="18"/>
                <w:szCs w:val="18"/>
              </w:rPr>
            </w:pPr>
          </w:p>
        </w:tc>
        <w:tc>
          <w:tcPr>
            <w:tcW w:w="580" w:type="pct"/>
            <w:vMerge w:val="continue"/>
            <w:vAlign w:val="center"/>
          </w:tcPr>
          <w:p>
            <w:pPr>
              <w:pStyle w:val="42"/>
              <w:spacing w:line="300" w:lineRule="exact"/>
              <w:rPr>
                <w:snapToGrid w:val="0"/>
                <w:sz w:val="18"/>
                <w:szCs w:val="18"/>
              </w:rPr>
            </w:pPr>
          </w:p>
        </w:tc>
        <w:tc>
          <w:tcPr>
            <w:tcW w:w="833" w:type="pct"/>
            <w:vAlign w:val="center"/>
          </w:tcPr>
          <w:p>
            <w:pPr>
              <w:pStyle w:val="42"/>
              <w:spacing w:line="300" w:lineRule="exact"/>
              <w:rPr>
                <w:snapToGrid w:val="0"/>
                <w:sz w:val="18"/>
                <w:szCs w:val="18"/>
              </w:rPr>
            </w:pPr>
            <w:r>
              <w:rPr>
                <w:rFonts w:hint="eastAsia"/>
                <w:snapToGrid w:val="0"/>
                <w:sz w:val="18"/>
                <w:szCs w:val="18"/>
              </w:rPr>
              <w:t>去除效率%</w:t>
            </w:r>
          </w:p>
        </w:tc>
        <w:tc>
          <w:tcPr>
            <w:tcW w:w="570" w:type="pct"/>
            <w:vAlign w:val="center"/>
          </w:tcPr>
          <w:p>
            <w:pPr>
              <w:pStyle w:val="42"/>
              <w:spacing w:line="300" w:lineRule="exact"/>
              <w:rPr>
                <w:snapToGrid w:val="0"/>
                <w:sz w:val="18"/>
                <w:szCs w:val="18"/>
              </w:rPr>
            </w:pPr>
            <w:r>
              <w:rPr>
                <w:rFonts w:hint="eastAsia"/>
                <w:snapToGrid w:val="0"/>
                <w:sz w:val="18"/>
                <w:szCs w:val="18"/>
              </w:rPr>
              <w:t>80</w:t>
            </w:r>
          </w:p>
        </w:tc>
        <w:tc>
          <w:tcPr>
            <w:tcW w:w="613" w:type="pct"/>
            <w:vAlign w:val="center"/>
          </w:tcPr>
          <w:p>
            <w:pPr>
              <w:pStyle w:val="42"/>
              <w:spacing w:line="300" w:lineRule="exact"/>
              <w:rPr>
                <w:snapToGrid w:val="0"/>
                <w:sz w:val="18"/>
                <w:szCs w:val="18"/>
              </w:rPr>
            </w:pPr>
            <w:r>
              <w:rPr>
                <w:rFonts w:hint="eastAsia"/>
                <w:snapToGrid w:val="0"/>
                <w:sz w:val="18"/>
                <w:szCs w:val="18"/>
              </w:rPr>
              <w:t>80</w:t>
            </w:r>
          </w:p>
        </w:tc>
        <w:tc>
          <w:tcPr>
            <w:tcW w:w="617" w:type="pct"/>
            <w:vAlign w:val="center"/>
          </w:tcPr>
          <w:p>
            <w:pPr>
              <w:pStyle w:val="42"/>
              <w:spacing w:line="300" w:lineRule="exact"/>
              <w:rPr>
                <w:snapToGrid w:val="0"/>
                <w:sz w:val="18"/>
                <w:szCs w:val="18"/>
              </w:rPr>
            </w:pPr>
            <w:r>
              <w:rPr>
                <w:rFonts w:hint="eastAsia"/>
                <w:snapToGrid w:val="0"/>
                <w:sz w:val="18"/>
                <w:szCs w:val="18"/>
              </w:rPr>
              <w:t>85</w:t>
            </w:r>
          </w:p>
        </w:tc>
        <w:tc>
          <w:tcPr>
            <w:tcW w:w="667" w:type="pct"/>
            <w:vAlign w:val="center"/>
          </w:tcPr>
          <w:p>
            <w:pPr>
              <w:pStyle w:val="42"/>
              <w:spacing w:line="300" w:lineRule="exact"/>
              <w:rPr>
                <w:snapToGrid w:val="0"/>
                <w:sz w:val="18"/>
                <w:szCs w:val="18"/>
              </w:rPr>
            </w:pPr>
            <w:r>
              <w:rPr>
                <w:rFonts w:hint="eastAsia"/>
                <w:snapToGrid w:val="0"/>
                <w:sz w:val="18"/>
                <w:szCs w:val="18"/>
              </w:rPr>
              <w:t>85</w:t>
            </w:r>
          </w:p>
        </w:tc>
        <w:tc>
          <w:tcPr>
            <w:tcW w:w="556" w:type="pct"/>
            <w:vAlign w:val="center"/>
          </w:tcPr>
          <w:p>
            <w:pPr>
              <w:pStyle w:val="42"/>
              <w:spacing w:line="300" w:lineRule="exact"/>
              <w:rPr>
                <w:snapToGrid w:val="0"/>
                <w:sz w:val="18"/>
                <w:szCs w:val="18"/>
              </w:rPr>
            </w:pPr>
            <w:r>
              <w:rPr>
                <w:rFonts w:hint="eastAsia"/>
                <w:snapToGrid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continue"/>
            <w:vAlign w:val="center"/>
          </w:tcPr>
          <w:p>
            <w:pPr>
              <w:pStyle w:val="42"/>
              <w:spacing w:line="300" w:lineRule="exact"/>
              <w:rPr>
                <w:snapToGrid w:val="0"/>
                <w:sz w:val="18"/>
                <w:szCs w:val="18"/>
              </w:rPr>
            </w:pPr>
          </w:p>
        </w:tc>
        <w:tc>
          <w:tcPr>
            <w:tcW w:w="580" w:type="pct"/>
            <w:vMerge w:val="continue"/>
            <w:vAlign w:val="center"/>
          </w:tcPr>
          <w:p>
            <w:pPr>
              <w:pStyle w:val="42"/>
              <w:spacing w:line="300" w:lineRule="exact"/>
              <w:rPr>
                <w:snapToGrid w:val="0"/>
                <w:sz w:val="18"/>
                <w:szCs w:val="18"/>
              </w:rPr>
            </w:pPr>
          </w:p>
        </w:tc>
        <w:tc>
          <w:tcPr>
            <w:tcW w:w="833" w:type="pct"/>
            <w:vAlign w:val="center"/>
          </w:tcPr>
          <w:p>
            <w:pPr>
              <w:pStyle w:val="42"/>
              <w:spacing w:line="300" w:lineRule="exact"/>
              <w:rPr>
                <w:snapToGrid w:val="0"/>
                <w:sz w:val="18"/>
                <w:szCs w:val="18"/>
              </w:rPr>
            </w:pPr>
            <w:r>
              <w:rPr>
                <w:rFonts w:hint="eastAsia"/>
                <w:snapToGrid w:val="0"/>
                <w:sz w:val="18"/>
                <w:szCs w:val="18"/>
              </w:rPr>
              <w:t>出水水质mg/L</w:t>
            </w:r>
          </w:p>
        </w:tc>
        <w:tc>
          <w:tcPr>
            <w:tcW w:w="570" w:type="pct"/>
            <w:vAlign w:val="center"/>
          </w:tcPr>
          <w:p>
            <w:pPr>
              <w:pStyle w:val="42"/>
              <w:spacing w:line="300" w:lineRule="exact"/>
              <w:rPr>
                <w:snapToGrid w:val="0"/>
                <w:sz w:val="18"/>
                <w:szCs w:val="18"/>
              </w:rPr>
            </w:pPr>
            <w:r>
              <w:rPr>
                <w:rFonts w:hint="eastAsia"/>
                <w:snapToGrid w:val="0"/>
                <w:sz w:val="18"/>
                <w:szCs w:val="18"/>
              </w:rPr>
              <w:t>139</w:t>
            </w:r>
          </w:p>
        </w:tc>
        <w:tc>
          <w:tcPr>
            <w:tcW w:w="613" w:type="pct"/>
            <w:vAlign w:val="center"/>
          </w:tcPr>
          <w:p>
            <w:pPr>
              <w:pStyle w:val="42"/>
              <w:spacing w:line="300" w:lineRule="exact"/>
              <w:rPr>
                <w:snapToGrid w:val="0"/>
                <w:sz w:val="18"/>
                <w:szCs w:val="18"/>
              </w:rPr>
            </w:pPr>
            <w:r>
              <w:rPr>
                <w:rFonts w:hint="eastAsia"/>
                <w:snapToGrid w:val="0"/>
                <w:sz w:val="18"/>
                <w:szCs w:val="18"/>
              </w:rPr>
              <w:t>45</w:t>
            </w:r>
          </w:p>
        </w:tc>
        <w:tc>
          <w:tcPr>
            <w:tcW w:w="617" w:type="pct"/>
            <w:vAlign w:val="center"/>
          </w:tcPr>
          <w:p>
            <w:pPr>
              <w:pStyle w:val="42"/>
              <w:spacing w:line="300" w:lineRule="exact"/>
              <w:rPr>
                <w:snapToGrid w:val="0"/>
                <w:sz w:val="18"/>
                <w:szCs w:val="18"/>
              </w:rPr>
            </w:pPr>
            <w:r>
              <w:rPr>
                <w:rFonts w:hint="eastAsia"/>
                <w:snapToGrid w:val="0"/>
                <w:sz w:val="18"/>
                <w:szCs w:val="18"/>
              </w:rPr>
              <w:t>49</w:t>
            </w:r>
          </w:p>
        </w:tc>
        <w:tc>
          <w:tcPr>
            <w:tcW w:w="667" w:type="pct"/>
            <w:vAlign w:val="center"/>
          </w:tcPr>
          <w:p>
            <w:pPr>
              <w:pStyle w:val="42"/>
              <w:spacing w:line="300" w:lineRule="exact"/>
              <w:rPr>
                <w:snapToGrid w:val="0"/>
                <w:sz w:val="18"/>
                <w:szCs w:val="18"/>
              </w:rPr>
            </w:pPr>
            <w:r>
              <w:rPr>
                <w:rFonts w:hint="eastAsia"/>
                <w:snapToGrid w:val="0"/>
                <w:sz w:val="18"/>
                <w:szCs w:val="18"/>
              </w:rPr>
              <w:t>8</w:t>
            </w:r>
          </w:p>
        </w:tc>
        <w:tc>
          <w:tcPr>
            <w:tcW w:w="556" w:type="pct"/>
            <w:vAlign w:val="center"/>
          </w:tcPr>
          <w:p>
            <w:pPr>
              <w:pStyle w:val="42"/>
              <w:spacing w:line="300" w:lineRule="exact"/>
              <w:rPr>
                <w:snapToGrid w:val="0"/>
                <w:sz w:val="18"/>
                <w:szCs w:val="18"/>
              </w:rPr>
            </w:pPr>
            <w:r>
              <w:rPr>
                <w:rFonts w:hint="eastAsia"/>
                <w:snapToGrid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pct"/>
            <w:gridSpan w:val="3"/>
            <w:vAlign w:val="center"/>
          </w:tcPr>
          <w:p>
            <w:pPr>
              <w:pStyle w:val="42"/>
              <w:spacing w:line="300" w:lineRule="exact"/>
              <w:rPr>
                <w:snapToGrid w:val="0"/>
                <w:sz w:val="18"/>
                <w:szCs w:val="18"/>
              </w:rPr>
            </w:pPr>
            <w:r>
              <w:rPr>
                <w:rFonts w:hint="eastAsia"/>
                <w:snapToGrid w:val="0"/>
                <w:sz w:val="18"/>
                <w:szCs w:val="18"/>
              </w:rPr>
              <w:t>出水标准</w:t>
            </w:r>
          </w:p>
        </w:tc>
        <w:tc>
          <w:tcPr>
            <w:tcW w:w="570" w:type="pct"/>
            <w:vAlign w:val="center"/>
          </w:tcPr>
          <w:p>
            <w:pPr>
              <w:pStyle w:val="42"/>
              <w:spacing w:line="300" w:lineRule="exact"/>
              <w:rPr>
                <w:snapToGrid w:val="0"/>
                <w:sz w:val="18"/>
                <w:szCs w:val="18"/>
              </w:rPr>
            </w:pPr>
            <w:r>
              <w:rPr>
                <w:rFonts w:hint="eastAsia"/>
                <w:snapToGrid w:val="0"/>
                <w:sz w:val="18"/>
                <w:szCs w:val="18"/>
              </w:rPr>
              <w:t>200</w:t>
            </w:r>
          </w:p>
        </w:tc>
        <w:tc>
          <w:tcPr>
            <w:tcW w:w="613" w:type="pct"/>
            <w:vAlign w:val="center"/>
          </w:tcPr>
          <w:p>
            <w:pPr>
              <w:pStyle w:val="42"/>
              <w:spacing w:line="300" w:lineRule="exact"/>
              <w:rPr>
                <w:snapToGrid w:val="0"/>
                <w:sz w:val="18"/>
                <w:szCs w:val="18"/>
              </w:rPr>
            </w:pPr>
            <w:r>
              <w:rPr>
                <w:rFonts w:hint="eastAsia"/>
                <w:snapToGrid w:val="0"/>
                <w:sz w:val="18"/>
                <w:szCs w:val="18"/>
              </w:rPr>
              <w:t>--</w:t>
            </w:r>
          </w:p>
        </w:tc>
        <w:tc>
          <w:tcPr>
            <w:tcW w:w="617" w:type="pct"/>
            <w:vAlign w:val="center"/>
          </w:tcPr>
          <w:p>
            <w:pPr>
              <w:pStyle w:val="42"/>
              <w:spacing w:line="300" w:lineRule="exact"/>
              <w:rPr>
                <w:snapToGrid w:val="0"/>
                <w:sz w:val="18"/>
                <w:szCs w:val="18"/>
              </w:rPr>
            </w:pPr>
            <w:r>
              <w:rPr>
                <w:rFonts w:hint="eastAsia"/>
                <w:snapToGrid w:val="0"/>
                <w:sz w:val="18"/>
                <w:szCs w:val="18"/>
              </w:rPr>
              <w:t>100</w:t>
            </w:r>
          </w:p>
        </w:tc>
        <w:tc>
          <w:tcPr>
            <w:tcW w:w="667" w:type="pct"/>
            <w:vAlign w:val="center"/>
          </w:tcPr>
          <w:p>
            <w:pPr>
              <w:pStyle w:val="42"/>
              <w:spacing w:line="300" w:lineRule="exact"/>
              <w:rPr>
                <w:snapToGrid w:val="0"/>
                <w:sz w:val="18"/>
                <w:szCs w:val="18"/>
              </w:rPr>
            </w:pPr>
            <w:r>
              <w:rPr>
                <w:rFonts w:hint="eastAsia"/>
                <w:snapToGrid w:val="0"/>
                <w:sz w:val="18"/>
                <w:szCs w:val="18"/>
              </w:rPr>
              <w:t>50</w:t>
            </w:r>
          </w:p>
        </w:tc>
        <w:tc>
          <w:tcPr>
            <w:tcW w:w="556" w:type="pct"/>
            <w:vAlign w:val="center"/>
          </w:tcPr>
          <w:p>
            <w:pPr>
              <w:pStyle w:val="42"/>
              <w:spacing w:line="300" w:lineRule="exact"/>
              <w:rPr>
                <w:snapToGrid w:val="0"/>
                <w:sz w:val="18"/>
                <w:szCs w:val="18"/>
              </w:rPr>
            </w:pPr>
            <w:r>
              <w:rPr>
                <w:rFonts w:hint="eastAsia"/>
                <w:snapToGrid w:val="0"/>
                <w:sz w:val="18"/>
                <w:szCs w:val="18"/>
              </w:rPr>
              <w:t>3</w:t>
            </w:r>
          </w:p>
        </w:tc>
      </w:tr>
    </w:tbl>
    <w:p>
      <w:pPr>
        <w:ind w:firstLine="480"/>
      </w:pPr>
      <w:r>
        <w:rPr>
          <w:rFonts w:hint="eastAsia"/>
        </w:rPr>
        <w:t>由上表7.1-1可知，拟建项目废水经废水处理站处理后，出水满足《合成氨工业水污染物排放标准》（GB13458-2013）表2新建企业水污染物排放浓度限值（间接排放）要求。</w:t>
      </w:r>
    </w:p>
    <w:p>
      <w:pPr>
        <w:ind w:firstLine="480"/>
      </w:pPr>
      <w:r>
        <w:rPr>
          <w:rFonts w:hint="eastAsia"/>
        </w:rPr>
        <w:t>（4）废水处理措施可行性分析</w:t>
      </w:r>
    </w:p>
    <w:p>
      <w:pPr>
        <w:ind w:firstLine="480"/>
      </w:pPr>
      <w:r>
        <w:rPr>
          <w:rFonts w:hint="eastAsia"/>
        </w:rPr>
        <w:t>拟建项目新建处理规模为20m</w:t>
      </w:r>
      <w:r>
        <w:rPr>
          <w:rFonts w:hint="eastAsia"/>
          <w:vertAlign w:val="superscript"/>
        </w:rPr>
        <w:t>3</w:t>
      </w:r>
      <w:r>
        <w:rPr>
          <w:rFonts w:hint="eastAsia"/>
        </w:rPr>
        <w:t>/d的废水处理站，本工程废水日最大排放量为14.06m</w:t>
      </w:r>
      <w:r>
        <w:rPr>
          <w:rFonts w:hint="eastAsia"/>
          <w:vertAlign w:val="superscript"/>
        </w:rPr>
        <w:t>3</w:t>
      </w:r>
      <w:r>
        <w:rPr>
          <w:rFonts w:hint="eastAsia"/>
        </w:rPr>
        <w:t>/d，废水处理站处理规模满足本工程需求；由表7.1-1分析可知，拟建项目出水满足《合成氨工业水污染物排放标准》（GB13458-2013）表2新建企业水污染物排放浓度限值（间接排放）要求，因此采用“SBR生化处理”工艺能满足废水处理要求。</w:t>
      </w:r>
    </w:p>
    <w:p>
      <w:pPr>
        <w:ind w:firstLine="480"/>
      </w:pPr>
      <w:r>
        <w:rPr>
          <w:rFonts w:hint="eastAsia"/>
        </w:rPr>
        <w:t>参照《序批式活性污泥法污水处理工程技术规范》（HJ577-2010），SBR反应池进水应符合下列要求：</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水温宜为12~35</w:t>
      </w:r>
      <w:r>
        <w:rPr>
          <w:rFonts w:hint="eastAsia" w:ascii="宋体" w:hAnsi="宋体"/>
        </w:rPr>
        <w:t>℃</w:t>
      </w:r>
      <w:r>
        <w:rPr>
          <w:rFonts w:hint="eastAsia"/>
        </w:rPr>
        <w:t>，pH值宜为6~9，B/C宜不小于0.3；</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由去除氨氮要求时，进水总碱度（以CaCO</w:t>
      </w:r>
      <w:r>
        <w:rPr>
          <w:rFonts w:hint="eastAsia"/>
          <w:vertAlign w:val="subscript"/>
        </w:rPr>
        <w:t>3</w:t>
      </w:r>
      <w:r>
        <w:rPr>
          <w:rFonts w:hint="eastAsia"/>
        </w:rPr>
        <w:t>计）/氨氮（NH</w:t>
      </w:r>
      <w:r>
        <w:rPr>
          <w:rFonts w:hint="eastAsia"/>
          <w:vertAlign w:val="subscript"/>
        </w:rPr>
        <w:t>3</w:t>
      </w:r>
      <w:r>
        <w:rPr>
          <w:rFonts w:hint="eastAsia"/>
        </w:rPr>
        <w:t>-N）的值宜≥7.14，不满足时应补充碱度；</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有脱总氮要求时，进水的BOD</w:t>
      </w:r>
      <w:r>
        <w:rPr>
          <w:rFonts w:hint="eastAsia"/>
          <w:vertAlign w:val="subscript"/>
        </w:rPr>
        <w:t>5</w:t>
      </w:r>
      <w:r>
        <w:rPr>
          <w:rFonts w:hint="eastAsia"/>
        </w:rPr>
        <w:t>/总氮（TN）的值宜≥4.0，总碱度（以CaCO</w:t>
      </w:r>
      <w:r>
        <w:rPr>
          <w:rFonts w:hint="eastAsia"/>
          <w:vertAlign w:val="subscript"/>
        </w:rPr>
        <w:t>3</w:t>
      </w:r>
      <w:r>
        <w:rPr>
          <w:rFonts w:hint="eastAsia"/>
        </w:rPr>
        <w:t>计）/氨氮（NH</w:t>
      </w:r>
      <w:r>
        <w:rPr>
          <w:rFonts w:hint="eastAsia"/>
          <w:vertAlign w:val="subscript"/>
        </w:rPr>
        <w:t>3</w:t>
      </w:r>
      <w:r>
        <w:rPr>
          <w:rFonts w:hint="eastAsia"/>
        </w:rPr>
        <w:t>-N）的值宜≥3.6，不满足时应补充碳源或碱度；</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由除磷要求时，进水的BOD</w:t>
      </w:r>
      <w:r>
        <w:rPr>
          <w:rFonts w:hint="eastAsia"/>
          <w:vertAlign w:val="subscript"/>
        </w:rPr>
        <w:t>5</w:t>
      </w:r>
      <w:r>
        <w:rPr>
          <w:rFonts w:hint="eastAsia"/>
        </w:rPr>
        <w:t>/总磷（TP）的值宜不小于17；</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要求同时脱氮除磷是，宜同时满足</w:t>
      </w: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和</w:t>
      </w: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的要求。</w:t>
      </w:r>
    </w:p>
    <w:p>
      <w:pPr>
        <w:ind w:firstLine="480"/>
      </w:pPr>
      <w:r>
        <w:rPr>
          <w:rFonts w:hint="eastAsia"/>
        </w:rPr>
        <w:t>由表7.1-1可知，本工程综合废水B/C约为0.32；根据总碱度（以CaCO3计）/氨氮（NH</w:t>
      </w:r>
      <w:r>
        <w:rPr>
          <w:rFonts w:hint="eastAsia"/>
          <w:vertAlign w:val="subscript"/>
        </w:rPr>
        <w:t>3</w:t>
      </w:r>
      <w:r>
        <w:rPr>
          <w:rFonts w:hint="eastAsia"/>
        </w:rPr>
        <w:t>-N）的值补充碱度后，进水满足生物反应池进水水质要求，且废水生化处理后出水满足《合成氨工业水污染物排放标准》（GB13458-2013）表2新建企业水污染物排放浓度限值（间接排放）要求。</w:t>
      </w:r>
    </w:p>
    <w:p>
      <w:pPr>
        <w:ind w:firstLine="480"/>
      </w:pPr>
      <w:r>
        <w:rPr>
          <w:rFonts w:hint="eastAsia"/>
        </w:rPr>
        <w:t>综上所述，废水处理站规模和废水处理工艺能满足本工程废水处理要求，废水处理措施可行。</w:t>
      </w:r>
    </w:p>
    <w:p>
      <w:pPr>
        <w:ind w:firstLine="480"/>
      </w:pPr>
      <w:r>
        <w:rPr>
          <w:rFonts w:hint="eastAsia"/>
        </w:rPr>
        <w:t>（5）化工园区（中法水务）污水处理厂依托可行性分析</w:t>
      </w:r>
    </w:p>
    <w:p>
      <w:pPr>
        <w:ind w:firstLine="480"/>
      </w:pPr>
      <w:r>
        <w:rPr>
          <w:rFonts w:eastAsiaTheme="minorEastAsia"/>
        </w:rPr>
        <w:t>化工园区污水处理厂</w:t>
      </w:r>
      <w:r>
        <w:t>设计规模8万m</w:t>
      </w:r>
      <w:r>
        <w:rPr>
          <w:vertAlign w:val="superscript"/>
        </w:rPr>
        <w:t>3</w:t>
      </w:r>
      <w:r>
        <w:t>/d，分两期建设，一期建设规模为4万m</w:t>
      </w:r>
      <w:r>
        <w:rPr>
          <w:vertAlign w:val="superscript"/>
        </w:rPr>
        <w:t>3</w:t>
      </w:r>
      <w:r>
        <w:t>/d，二期扩建后达到8万m</w:t>
      </w:r>
      <w:r>
        <w:rPr>
          <w:vertAlign w:val="superscript"/>
        </w:rPr>
        <w:t>3</w:t>
      </w:r>
      <w:r>
        <w:t>/d</w:t>
      </w:r>
      <w:r>
        <w:rPr>
          <w:rFonts w:hint="eastAsia"/>
        </w:rPr>
        <w:t>。</w:t>
      </w:r>
    </w:p>
    <w:p>
      <w:pPr>
        <w:ind w:firstLine="480"/>
      </w:pPr>
      <w:r>
        <w:rPr>
          <w:rFonts w:hint="eastAsia"/>
        </w:rPr>
        <w:t>一期工程</w:t>
      </w:r>
      <w:r>
        <w:rPr>
          <w:rFonts w:eastAsiaTheme="minorEastAsia"/>
        </w:rPr>
        <w:t>建设方案为2×2万m</w:t>
      </w:r>
      <w:r>
        <w:rPr>
          <w:rFonts w:eastAsiaTheme="minorEastAsia"/>
          <w:vertAlign w:val="superscript"/>
        </w:rPr>
        <w:t>3</w:t>
      </w:r>
      <w:r>
        <w:rPr>
          <w:rFonts w:eastAsiaTheme="minorEastAsia"/>
        </w:rPr>
        <w:t>/d，分两</w:t>
      </w:r>
      <w:r>
        <w:rPr>
          <w:rFonts w:hint="eastAsia" w:eastAsiaTheme="minorEastAsia"/>
        </w:rPr>
        <w:t>个阶段</w:t>
      </w:r>
      <w:r>
        <w:rPr>
          <w:rFonts w:eastAsiaTheme="minorEastAsia"/>
        </w:rPr>
        <w:t>建设，其中第一套2万m</w:t>
      </w:r>
      <w:r>
        <w:rPr>
          <w:rFonts w:eastAsiaTheme="minorEastAsia"/>
          <w:vertAlign w:val="superscript"/>
        </w:rPr>
        <w:t>3</w:t>
      </w:r>
      <w:r>
        <w:rPr>
          <w:rFonts w:eastAsiaTheme="minorEastAsia"/>
        </w:rPr>
        <w:t>/d的污水处理工程在2007年6月建成，2008年1月进入试运行阶段，第二套于2010年建成</w:t>
      </w:r>
      <w:r>
        <w:rPr>
          <w:rFonts w:hint="eastAsia" w:eastAsiaTheme="minorEastAsia"/>
        </w:rPr>
        <w:t>，均采用</w:t>
      </w:r>
      <w:r>
        <w:t>卡鲁塞尔改良氧化沟工艺</w:t>
      </w:r>
      <w:r>
        <w:rPr>
          <w:rFonts w:hint="eastAsia"/>
        </w:rPr>
        <w:t>，根据实际运行情况</w:t>
      </w:r>
      <w:r>
        <w:t>，出水水质达到《化工园区主要水污染物排放标准》（DB50/457-2012）表1规定限制（COD执行60mg/L）。</w:t>
      </w:r>
      <w:r>
        <w:rPr>
          <w:rFonts w:hint="eastAsia"/>
        </w:rPr>
        <w:t>园区污水处理厂工艺流程详见下图7.1-2。</w:t>
      </w:r>
    </w:p>
    <w:p>
      <w:pPr>
        <w:pStyle w:val="41"/>
      </w:pPr>
      <w:r>
        <w:object>
          <v:shape id="_x0000_i1041" o:spt="75" type="#_x0000_t75" style="height:151.45pt;width:379.7pt;" o:ole="t" filled="f" coordsize="21600,21600">
            <v:path/>
            <v:fill on="f" focussize="0,0"/>
            <v:stroke/>
            <v:imagedata r:id="rId101" o:title=""/>
            <o:lock v:ext="edit" aspectratio="t"/>
            <w10:wrap type="none"/>
            <w10:anchorlock/>
          </v:shape>
          <o:OLEObject Type="Embed" ProgID="Visio.Drawing.11" ShapeID="_x0000_i1041" DrawAspect="Content" ObjectID="_1468075742" r:id="rId100">
            <o:LockedField>false</o:LockedField>
          </o:OLEObject>
        </w:object>
      </w:r>
    </w:p>
    <w:p>
      <w:pPr>
        <w:pStyle w:val="41"/>
      </w:pPr>
      <w:r>
        <w:rPr>
          <w:rFonts w:hint="eastAsia"/>
        </w:rPr>
        <w:t>图7.1-2化工园区污水处理厂污水处理工艺流程</w:t>
      </w:r>
    </w:p>
    <w:p>
      <w:pPr>
        <w:ind w:firstLine="480"/>
      </w:pPr>
      <w:r>
        <w:rPr>
          <w:rFonts w:hint="eastAsia"/>
        </w:rPr>
        <w:t>拟建项目废水日最大产生量为14.06m</w:t>
      </w:r>
      <w:r>
        <w:rPr>
          <w:rFonts w:hint="eastAsia"/>
          <w:vertAlign w:val="superscript"/>
        </w:rPr>
        <w:t>3</w:t>
      </w:r>
      <w:r>
        <w:rPr>
          <w:rFonts w:hint="eastAsia"/>
        </w:rPr>
        <w:t>/d，化工园区污水处理厂目前日处理废水量约60%，剩余能力约40%（1.6万m</w:t>
      </w:r>
      <w:r>
        <w:rPr>
          <w:rFonts w:hint="eastAsia"/>
          <w:vertAlign w:val="superscript"/>
        </w:rPr>
        <w:t>3</w:t>
      </w:r>
      <w:r>
        <w:rPr>
          <w:rFonts w:hint="eastAsia"/>
        </w:rPr>
        <w:t>/d），剩余规模满足本工程排水需求。</w:t>
      </w:r>
    </w:p>
    <w:p>
      <w:pPr>
        <w:ind w:firstLine="480"/>
      </w:pPr>
      <w:r>
        <w:rPr>
          <w:rFonts w:hint="eastAsia"/>
        </w:rPr>
        <w:t>拟建项目所在地属于污水处理厂服务范围内，且配套污水管网完善，本工程废水处理达到园区污水处理厂接管水质标准后依托可行。</w:t>
      </w:r>
    </w:p>
    <w:p>
      <w:pPr>
        <w:ind w:firstLine="480"/>
      </w:pPr>
      <w:r>
        <w:rPr>
          <w:rFonts w:hint="eastAsia"/>
        </w:rPr>
        <w:t>综上所述，拟建项目废水经上述治理措施处理后，可实现达标排放，本工程拟采用的废水处理工艺得到广泛应用，技术成熟，经济合理可行。</w:t>
      </w:r>
    </w:p>
    <w:p>
      <w:pPr>
        <w:pStyle w:val="4"/>
        <w:spacing w:before="163" w:after="163"/>
      </w:pPr>
      <w:bookmarkStart w:id="173" w:name="_Toc84844334"/>
      <w:r>
        <w:rPr>
          <w:rFonts w:hint="eastAsia"/>
        </w:rPr>
        <w:t>7.1.2废气</w:t>
      </w:r>
      <w:bookmarkEnd w:id="173"/>
    </w:p>
    <w:p>
      <w:pPr>
        <w:ind w:firstLine="480"/>
      </w:pPr>
      <w:r>
        <w:rPr>
          <w:rFonts w:hint="eastAsia"/>
        </w:rPr>
        <w:t>拟建项目废气主要为一段转化炉烟气、废水处理站臭气、危废暂存间废气和无组织排放废气。</w:t>
      </w:r>
    </w:p>
    <w:p>
      <w:pPr>
        <w:ind w:firstLine="480"/>
      </w:pPr>
      <w:r>
        <w:rPr>
          <w:rFonts w:hint="eastAsia"/>
        </w:rPr>
        <w:t>（1）一段转化炉烟气：拟建项目一段转化炉以天然气、CO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w:t>
      </w:r>
    </w:p>
    <w:p>
      <w:pPr>
        <w:ind w:firstLine="480"/>
      </w:pPr>
      <w:r>
        <w:rPr>
          <w:rFonts w:hint="eastAsia"/>
        </w:rPr>
        <w:t>（2）废水处理站臭气：废水处理站调节池、SBR生化池、污泥浓缩池等产臭构筑物加盖密闭，臭气管道集中收集，采用“活性炭吸附”处理达标后，经15高排气筒排放。</w:t>
      </w:r>
    </w:p>
    <w:p>
      <w:pPr>
        <w:ind w:firstLine="480"/>
      </w:pPr>
      <w:r>
        <w:rPr>
          <w:rFonts w:hint="eastAsia"/>
        </w:rPr>
        <w:t>拟建项目废水处理站臭气处理工艺如下图7.1-2。</w:t>
      </w:r>
    </w:p>
    <w:p>
      <w:pPr>
        <w:pStyle w:val="41"/>
      </w:pPr>
      <w:r>
        <w:object>
          <v:shape id="_x0000_i1042" o:spt="75" type="#_x0000_t75" style="height:63.15pt;width:400.1pt;" o:ole="t" filled="f" coordsize="21600,21600">
            <v:path/>
            <v:fill on="f" focussize="0,0"/>
            <v:stroke/>
            <v:imagedata r:id="rId103" o:title=""/>
            <o:lock v:ext="edit" aspectratio="t"/>
            <w10:wrap type="none"/>
            <w10:anchorlock/>
          </v:shape>
          <o:OLEObject Type="Embed" ProgID="Visio.Drawing.11" ShapeID="_x0000_i1042" DrawAspect="Content" ObjectID="_1468075743" r:id="rId102">
            <o:LockedField>false</o:LockedField>
          </o:OLEObject>
        </w:object>
      </w:r>
    </w:p>
    <w:p>
      <w:pPr>
        <w:ind w:firstLine="480"/>
      </w:pPr>
      <w:r>
        <w:rPr>
          <w:rFonts w:hint="eastAsia"/>
        </w:rPr>
        <w:t>（3）无组织排放废气：拟建项目无组织散排废气主要来源于阀门、法兰等管道连接处。</w:t>
      </w:r>
      <w:r>
        <w:rPr>
          <w:rFonts w:hint="eastAsia"/>
          <w:kern w:val="0"/>
        </w:rPr>
        <w:t>为控制无组织废气的排放量，拟建项目</w:t>
      </w:r>
      <w:r>
        <w:rPr>
          <w:rFonts w:hint="eastAsia"/>
        </w:rPr>
        <w:t>生产过程采用全密闭设备，且安装先进的自动控制系统和安全报警装置，系统可根据压力、阀位检测、温度、流量等参数自动对工艺或设备故障进行自动诊断，并设有设有可燃、有毒气体检测报警仪，一旦发生气体泄漏，系统将自动报警，并立即采取措施，所以拟建项目生产装置区的无组织排放量控制在较低水平；拟建项目液氨闪蒸槽废气经管道收集接入氨洗塔，水洗处理后排入一段转化炉作为燃料回收利用；二氧化碳储罐区呼吸废气管道集中收集，作为纯化干燥工序再生气回用。</w:t>
      </w:r>
    </w:p>
    <w:p>
      <w:pPr>
        <w:ind w:firstLine="480"/>
      </w:pPr>
      <w:r>
        <w:rPr>
          <w:rFonts w:hint="eastAsia"/>
        </w:rPr>
        <w:t>在日常生产中必须加强设备的维修、保持储罐、设备的严密性、不断改进生产操作管理。对各配套设施定期彻底检查，确保气密性符合要求。采取以上措施后，可将无组织废气排放量降到最低。</w:t>
      </w:r>
    </w:p>
    <w:p>
      <w:pPr>
        <w:ind w:firstLine="480"/>
      </w:pPr>
      <w:r>
        <w:rPr>
          <w:rFonts w:hint="eastAsia"/>
        </w:rPr>
        <w:t>拟建项目废气处理措施技术成熟，可确保废气达标排放，因此评价认为废气治理措施合理可行。</w:t>
      </w:r>
    </w:p>
    <w:p>
      <w:pPr>
        <w:pStyle w:val="4"/>
        <w:spacing w:before="163" w:after="163"/>
      </w:pPr>
      <w:bookmarkStart w:id="174" w:name="_Toc84844335"/>
      <w:r>
        <w:rPr>
          <w:rFonts w:hint="eastAsia"/>
        </w:rPr>
        <w:t>7.1.3固废</w:t>
      </w:r>
      <w:bookmarkEnd w:id="174"/>
    </w:p>
    <w:p>
      <w:pPr>
        <w:pStyle w:val="5"/>
        <w:spacing w:before="163" w:after="163"/>
      </w:pPr>
      <w:r>
        <w:rPr>
          <w:rFonts w:hint="eastAsia"/>
        </w:rPr>
        <w:t>7.1.3.1固体废物处置措施</w:t>
      </w:r>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pStyle w:val="5"/>
        <w:spacing w:before="163" w:after="163"/>
      </w:pPr>
      <w:r>
        <w:rPr>
          <w:rFonts w:hint="eastAsia"/>
        </w:rPr>
        <w:t>7.1.3.2危险废物暂存、转移措施</w:t>
      </w:r>
    </w:p>
    <w:p>
      <w:pPr>
        <w:ind w:firstLine="480"/>
      </w:pPr>
      <w:r>
        <w:rPr>
          <w:rFonts w:hint="eastAsia"/>
        </w:rPr>
        <w:t>（1）危险废物的储存</w:t>
      </w:r>
    </w:p>
    <w:p>
      <w:pPr>
        <w:ind w:firstLine="480"/>
      </w:pPr>
      <w:r>
        <w:rPr>
          <w:rFonts w:hint="eastAsia"/>
        </w:rPr>
        <w:t>拟建项目新建建筑面积为175m</w:t>
      </w:r>
      <w:r>
        <w:rPr>
          <w:rFonts w:hint="eastAsia"/>
          <w:vertAlign w:val="superscript"/>
        </w:rPr>
        <w:t>2</w:t>
      </w:r>
      <w:r>
        <w:rPr>
          <w:rFonts w:hint="eastAsia"/>
        </w:rPr>
        <w:t>的危险废物暂存间。危险废物分类收集，采用专用桶/袋装后，分区暂存于危废暂存间，在装卸、运输、堆放过程中，应严格进行固体废物包装的检查，在运出危险废物临时暂存点时其包装应是完好和密封的，避免有害废物的泄漏等产生二次污染。</w:t>
      </w:r>
    </w:p>
    <w:p>
      <w:pPr>
        <w:ind w:firstLine="480"/>
      </w:pPr>
      <w:r>
        <w:rPr>
          <w:rFonts w:hint="eastAsia"/>
        </w:rPr>
        <w:t>危废暂存点必须遵守《危险废物贮存污染控制标准》（GB18597-2001）下列规定：</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危险废物贮存去必须防风、防雨、防晒，并且设置危险废物警示标志；</w:t>
      </w:r>
    </w:p>
    <w:p>
      <w:pPr>
        <w:ind w:firstLine="480"/>
      </w:pPr>
      <w:r>
        <w:rPr>
          <w:rFonts w:hint="eastAsia"/>
        </w:rPr>
        <w:t>②地面与裙角防腐、防渗处理，地面与裙角所围建的容积不小于最大容器的最大储存量；</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地面采取防渗处理，防渗层为至少1m厚粘土层（渗透系数≤10</w:t>
      </w:r>
      <w:r>
        <w:rPr>
          <w:rFonts w:hint="eastAsia"/>
          <w:vertAlign w:val="superscript"/>
        </w:rPr>
        <w:t>-7</w:t>
      </w:r>
      <w:r>
        <w:rPr>
          <w:rFonts w:hint="eastAsia"/>
        </w:rPr>
        <w:t>cm/s），或2mm厚高密度聚乙烯、或至少2mm厚的其他人工材料，渗透系数≤10</w:t>
      </w:r>
      <w:r>
        <w:rPr>
          <w:rFonts w:hint="eastAsia"/>
          <w:vertAlign w:val="superscript"/>
        </w:rPr>
        <w:t>-10</w:t>
      </w:r>
      <w:r>
        <w:rPr>
          <w:rFonts w:hint="eastAsia"/>
        </w:rPr>
        <w:t>cm/s。并在贮存区的四周修建防火堤，以防止流失。</w:t>
      </w:r>
    </w:p>
    <w:p>
      <w:pPr>
        <w:ind w:firstLine="480"/>
      </w:pPr>
      <w:r>
        <w:rPr>
          <w:rFonts w:hint="eastAsia"/>
        </w:rPr>
        <w:t>④必须将危险废物装入容器内。禁止将不相容（相互反应）的危险废物在同一容器内混装。更不得将其混入非危险废物中处置。</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在常温常压下易爆、易燃及排出有毒气体的危险废物必须进行预处理，使之稳定后贮存，否则，按易爆、易燃危险品贮存。</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6</w:instrText>
      </w:r>
      <w:r>
        <w:rPr>
          <w:rFonts w:hint="eastAsia"/>
        </w:rPr>
        <w:instrText xml:space="preserve">)</w:instrText>
      </w:r>
      <w:r>
        <w:fldChar w:fldCharType="end"/>
      </w:r>
      <w:r>
        <w:rPr>
          <w:rFonts w:hint="eastAsia"/>
        </w:rPr>
        <w:t>危险废物贮存前进行检查、核对，做好记录，标明危险废物名称、来源、数量、特性、入库日期、存放位置；出库时记录出库日期和接收单位。</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7</w:instrText>
      </w:r>
      <w:r>
        <w:rPr>
          <w:rFonts w:hint="eastAsia"/>
        </w:rPr>
        <w:instrText xml:space="preserve">)</w:instrText>
      </w:r>
      <w:r>
        <w:fldChar w:fldCharType="end"/>
      </w:r>
      <w:r>
        <w:rPr>
          <w:rFonts w:hint="eastAsia"/>
        </w:rPr>
        <w:t>配备通讯设备、照明设施、安全防护服及应急工具，并设应急防护设施。</w:t>
      </w:r>
    </w:p>
    <w:p>
      <w:pPr>
        <w:ind w:firstLine="480"/>
      </w:pPr>
      <w:r>
        <w:rPr>
          <w:rFonts w:hint="eastAsia"/>
        </w:rPr>
        <w:t>（2）危险废物包装、转移控制措施</w:t>
      </w:r>
    </w:p>
    <w:p>
      <w:pPr>
        <w:ind w:firstLine="480"/>
      </w:pPr>
      <w:r>
        <w:rPr>
          <w:rFonts w:hint="eastAsia"/>
        </w:rPr>
        <w:t>拟建项目各类危废均按照《危险废物贮存污染控制标准》中“4.4必须将危险废物装入容器内”、“4.5禁止将不相容（相互反应）的危险废物在同一容器内混装”“4.6无法装入常用容器的危险废物可用防漏胶袋等盛装”等危险废物包装要求实施；本项目危废主要为各种废催化剂、废脱硫剂和废吸附剂等，均定期更换，其中废脱硫剂、废催化剂和废吸附剂等定期更换，其中PSA吸附器吸附剂15年更换一次、合成氨催化剂10年更换一次、其余脱硫剂和催化剂2~3年更换一次，均由厂家负责更换，更换时可提前联系有危险废物处理资质的单位，确定转移时间，尽量缩短废催化剂、废脱硫剂、废吸附剂等在厂区内暂存时间；废活性炭产生量为0.24t/a，专用容器集中收集后在危险废物暂存间暂存。</w:t>
      </w:r>
    </w:p>
    <w:p>
      <w:pPr>
        <w:ind w:firstLine="480"/>
      </w:pPr>
      <w:r>
        <w:rPr>
          <w:rFonts w:hint="eastAsia"/>
        </w:rPr>
        <w:t>本项目采用密封包装后储存于危废暂存间内也符合《危险废物贮存污染控制标准》中相关要求，同时危险废物转移需满足以下控制措施：</w:t>
      </w:r>
    </w:p>
    <w:p>
      <w:pPr>
        <w:ind w:firstLine="480"/>
      </w:pPr>
      <w:r>
        <w:rPr>
          <w:rFonts w:hint="eastAsia"/>
        </w:rPr>
        <w:t>①企业应按国家有关规定办理危险废物申报转移的“五联单”手续，厂内暂存时间不得超过1年。</w:t>
      </w:r>
    </w:p>
    <w:p>
      <w:pPr>
        <w:ind w:firstLine="480"/>
      </w:pPr>
      <w:r>
        <w:rPr>
          <w:rFonts w:hint="eastAsia"/>
        </w:rPr>
        <w:t>②在交有资质单位处理时，应严格按照《危险废物转移联单管理办法》填写危险废物转移联单，并由双方单位保留备查。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pPr>
        <w:ind w:firstLine="480"/>
      </w:pPr>
      <w:r>
        <w:rPr>
          <w:rFonts w:hint="eastAsia"/>
        </w:rPr>
        <w:t>③所有废物收集和封装容器应得到接收企业及当地环保部门的认可。</w:t>
      </w:r>
    </w:p>
    <w:p>
      <w:pPr>
        <w:ind w:firstLine="480"/>
      </w:pPr>
      <w:r>
        <w:rPr>
          <w:rFonts w:hint="eastAsia"/>
        </w:rPr>
        <w:t>④应指定专人负责固废和残液的收集、贮运管理工作，运输车辆的司机和押运人员应经专业培训。</w:t>
      </w:r>
    </w:p>
    <w:p>
      <w:pPr>
        <w:ind w:firstLine="480"/>
      </w:pPr>
      <w:r>
        <w:rPr>
          <w:rFonts w:hint="eastAsia"/>
        </w:rPr>
        <w:t>⑤收运车应采用密闭运输方式，防止外泄。</w:t>
      </w:r>
    </w:p>
    <w:p>
      <w:pPr>
        <w:ind w:firstLine="480"/>
      </w:pPr>
      <w:r>
        <w:rPr>
          <w:rFonts w:hint="eastAsia"/>
        </w:rPr>
        <w:t>⑥建设单位与处置单位对危险废物交接时，应按危废联单制管理要求，交接运输，要求交接和运输过程皆处于环境行政主管部门的监控之下进行。</w:t>
      </w:r>
    </w:p>
    <w:p>
      <w:pPr>
        <w:ind w:firstLine="480"/>
      </w:pPr>
      <w:r>
        <w:rPr>
          <w:rFonts w:hint="eastAsia"/>
        </w:rPr>
        <w:t>⑦危险废物运输符合《危险废物收集贮存运输技术规范》相关要求。</w:t>
      </w:r>
    </w:p>
    <w:p>
      <w:pPr>
        <w:ind w:firstLine="480"/>
      </w:pPr>
      <w:r>
        <w:rPr>
          <w:rFonts w:hint="eastAsia"/>
        </w:rPr>
        <w:t>采取以上措施后，拟建项目产生的固体废物均得到有效处置，不会对外环境造成二次污染。</w:t>
      </w:r>
    </w:p>
    <w:p>
      <w:pPr>
        <w:pStyle w:val="4"/>
        <w:spacing w:before="163" w:after="163"/>
      </w:pPr>
      <w:bookmarkStart w:id="175" w:name="_Toc84844336"/>
      <w:r>
        <w:rPr>
          <w:rFonts w:hint="eastAsia"/>
        </w:rPr>
        <w:t>7.1.4噪声</w:t>
      </w:r>
      <w:bookmarkEnd w:id="175"/>
    </w:p>
    <w:p>
      <w:pPr>
        <w:ind w:firstLine="480"/>
      </w:pPr>
      <w:r>
        <w:rPr>
          <w:rFonts w:hint="eastAsia"/>
        </w:rPr>
        <w:t>拟建项目主要的噪声源有风机、压缩机、制冷机、各类泵等机械设备，噪声值在85～100dB（A）之间，为了减轻噪声污染，降低其对周围声环境的影响，本工程拟采取以下噪声防治措施：</w:t>
      </w:r>
    </w:p>
    <w:p>
      <w:pPr>
        <w:ind w:firstLine="480"/>
      </w:pPr>
      <w:r>
        <w:rPr>
          <w:rFonts w:hint="eastAsia"/>
        </w:rPr>
        <w:t>（1）在设备选型、订货时尽量选用性能先进、高效节能、低噪声的设备，要求设备生产厂家提供符合噪声允许标准的产品和消声减振的相关配件，同时加强对设备的维护管理，从源头上控制噪声的产生；</w:t>
      </w:r>
    </w:p>
    <w:p>
      <w:pPr>
        <w:ind w:firstLine="480"/>
      </w:pPr>
      <w:r>
        <w:rPr>
          <w:rFonts w:hint="eastAsia"/>
        </w:rPr>
        <w:t>（2）对制冷机组采用减震、隔声的方法，降低噪声影响；</w:t>
      </w:r>
    </w:p>
    <w:p>
      <w:pPr>
        <w:ind w:firstLine="480"/>
      </w:pPr>
      <w:r>
        <w:rPr>
          <w:rFonts w:hint="eastAsia"/>
        </w:rPr>
        <w:t>（3）针对机械泵噪声，选型时尽量选用低噪声设备，采用减振、厂房隔声等措施：泵机座加减震垫、作防震基础；</w:t>
      </w:r>
    </w:p>
    <w:p>
      <w:pPr>
        <w:ind w:firstLine="480"/>
      </w:pPr>
      <w:r>
        <w:rPr>
          <w:rFonts w:hint="eastAsia"/>
        </w:rPr>
        <w:t>（4）针对风机噪声，在选用低噪声设备的基础上，采取减振、隔震、设消声器等措施；</w:t>
      </w:r>
    </w:p>
    <w:p>
      <w:pPr>
        <w:ind w:firstLine="480"/>
      </w:pPr>
      <w:r>
        <w:rPr>
          <w:rFonts w:hint="eastAsia"/>
        </w:rPr>
        <w:t>（5）合理布局，将产生噪声较大的设备集中布置在远离厂界的一侧，使高噪声设备远离环境敏感点，并将高噪声设备布置在厂房内；</w:t>
      </w:r>
    </w:p>
    <w:p>
      <w:pPr>
        <w:ind w:firstLine="480"/>
      </w:pPr>
      <w:r>
        <w:rPr>
          <w:rFonts w:hint="eastAsia"/>
        </w:rPr>
        <w:t>（6）项目设计、施工过程中泵体与供水管采用软接头连接，管道与墙体接触的地方采用弹性支承，穿墙管道安装弹性垫层，挖低水泥基础，主要噪声设备机座与基础使用ZGT型阻尼钢弹簧减振器连接等措施；</w:t>
      </w:r>
    </w:p>
    <w:p>
      <w:pPr>
        <w:ind w:firstLine="480"/>
      </w:pPr>
      <w:r>
        <w:rPr>
          <w:rFonts w:hint="eastAsia"/>
        </w:rPr>
        <w:t>（7）绿化降噪。由于树木具有屏蔽和降噪的双层作用，因此，建议建设单位在车间厂房外、道路两侧等种植高大的树木和花草，既可美化环境，又能降低噪声对环境的影响。</w:t>
      </w:r>
    </w:p>
    <w:p>
      <w:pPr>
        <w:ind w:firstLine="480"/>
      </w:pPr>
      <w:r>
        <w:rPr>
          <w:rFonts w:hint="eastAsia"/>
        </w:rPr>
        <w:t>由预测结果可知，在采取上述噪声防治措施后，拟建项目营运期厂界噪声能满足《工业企业厂界环境噪声排放标准》(GB12348-2008)中3类标准。</w:t>
      </w:r>
    </w:p>
    <w:p>
      <w:pPr>
        <w:ind w:firstLine="480"/>
      </w:pPr>
      <w:r>
        <w:rPr>
          <w:rFonts w:hint="eastAsia"/>
        </w:rPr>
        <w:t>以上噪声治理措施目前在国内制药、化工行业已经得到广泛使用，实践证明，该处理措施技术经济合理可行。</w:t>
      </w:r>
    </w:p>
    <w:p>
      <w:pPr>
        <w:pStyle w:val="4"/>
        <w:spacing w:before="163" w:after="163"/>
      </w:pPr>
      <w:bookmarkStart w:id="176" w:name="_Toc84844337"/>
      <w:r>
        <w:rPr>
          <w:rFonts w:hint="eastAsia"/>
        </w:rPr>
        <w:t>7.1.5地下水</w:t>
      </w:r>
      <w:bookmarkEnd w:id="176"/>
    </w:p>
    <w:p>
      <w:pPr>
        <w:ind w:firstLine="480"/>
      </w:pPr>
      <w:r>
        <w:rPr>
          <w:rFonts w:hint="eastAsia"/>
        </w:rPr>
        <w:t>按照“源头控制、分区防治、污染监控、应急响应”相结合的原则，从污染物的产生、入渗、扩散、应急响应全方位进行控制。</w:t>
      </w:r>
    </w:p>
    <w:p>
      <w:pPr>
        <w:ind w:firstLine="480"/>
      </w:pPr>
      <w:r>
        <w:rPr>
          <w:rFonts w:hint="eastAsia"/>
        </w:rPr>
        <w:t>（1）源头控制</w:t>
      </w:r>
    </w:p>
    <w:p>
      <w:pPr>
        <w:ind w:firstLine="480"/>
      </w:pPr>
      <w:r>
        <w:rPr>
          <w:rFonts w:hint="eastAsia"/>
        </w:rPr>
        <w:t>拟建项目工艺技术成熟、可靠，原辅材料以气态和固态为主、且满足清洁生产要求，对产生的废物进行合理的回用和治理，尽可能从源头上减少了污染物排放；严格按照国家相关规范要求，对装置区、废水处理站、危废暂存间和事故池等采取相应的措施，以防止和降低污染物的跑、冒、滴、漏，降低风险事故。</w:t>
      </w:r>
    </w:p>
    <w:p>
      <w:pPr>
        <w:ind w:firstLine="480"/>
      </w:pPr>
      <w:r>
        <w:rPr>
          <w:rFonts w:hint="eastAsia"/>
        </w:rPr>
        <w:t>（2）分区防治</w:t>
      </w:r>
    </w:p>
    <w:p>
      <w:pPr>
        <w:ind w:firstLine="480"/>
      </w:pPr>
      <w:r>
        <w:rPr>
          <w:rFonts w:hint="eastAsia"/>
        </w:rPr>
        <w:t>根据拟建项目工艺特点和所处区域级部位，参照《石油化工工程防渗技术规范》（GB/T50934-2013）中污染分区标准，将项目建设场地划分为重点污染防治区、一般污染防治区和非污染防治区，详见分区防渗图。</w:t>
      </w:r>
    </w:p>
    <w:p>
      <w:pPr>
        <w:ind w:firstLine="480"/>
      </w:pPr>
      <w:r>
        <w:rPr>
          <w:rFonts w:hint="eastAsia"/>
        </w:rPr>
        <w:t>重点污染防治区：指对地下水环境有污染的物料或污染物泄漏后，不能及时发现和处理的区域或部位。拟建项目包括生产装置区、储罐区、废水处理站、危废暂存间和事故池等区域。</w:t>
      </w:r>
    </w:p>
    <w:p>
      <w:pPr>
        <w:ind w:firstLine="480"/>
      </w:pPr>
      <w:r>
        <w:rPr>
          <w:rFonts w:hint="eastAsia"/>
        </w:rPr>
        <w:t>一般污染防治区：对地下水环境有污染的物料或污染物泄漏后，可及时发现和处理的区域或部位。拟建项目一般污染防治区包括综合楼以及重点污染防治区域附近区域。</w:t>
      </w:r>
    </w:p>
    <w:p>
      <w:pPr>
        <w:ind w:firstLine="480"/>
      </w:pPr>
      <w:r>
        <w:rPr>
          <w:rFonts w:hint="eastAsia"/>
        </w:rPr>
        <w:t>非污染防治区：主要指没有污染物泄漏的区域或部位，不会对地下水环境造成污染，拟建项目非污染防治区主要包括厂区道路和绿化区等。</w:t>
      </w:r>
    </w:p>
    <w:p>
      <w:pPr>
        <w:ind w:firstLine="480"/>
      </w:pPr>
      <w:r>
        <w:rPr>
          <w:rFonts w:hint="eastAsia"/>
        </w:rPr>
        <w:t>（3）分区防渗措施</w:t>
      </w:r>
    </w:p>
    <w:p>
      <w:pPr>
        <w:ind w:firstLine="480"/>
      </w:pPr>
      <w:r>
        <w:rPr>
          <w:rFonts w:hint="eastAsia"/>
        </w:rPr>
        <w:t>根据《石油化工工程防渗技术规范》（GB/T50934-2013）要求，设备、地下管道、构筑物防渗的设计使用年限不应低于其主体的设计使用年限；重点污染防治区防渗层的防渗性能不应低于6.0m厚渗透系数为1.0×10</w:t>
      </w:r>
      <w:r>
        <w:rPr>
          <w:rFonts w:hint="eastAsia"/>
          <w:vertAlign w:val="superscript"/>
        </w:rPr>
        <w:t>-7</w:t>
      </w:r>
      <w:r>
        <w:rPr>
          <w:rFonts w:hint="eastAsia"/>
        </w:rPr>
        <w:t>cm/s的黏土层的防渗性能，一般污染防治区防渗层的防渗性能不应低于1.5m厚渗透系数1.0×10</w:t>
      </w:r>
      <w:r>
        <w:rPr>
          <w:rFonts w:hint="eastAsia"/>
          <w:vertAlign w:val="superscript"/>
        </w:rPr>
        <w:t>-7</w:t>
      </w:r>
      <w:r>
        <w:rPr>
          <w:rFonts w:hint="eastAsia"/>
        </w:rPr>
        <w:t>cm/s的黏土层的防渗性能。</w:t>
      </w:r>
    </w:p>
    <w:p>
      <w:pPr>
        <w:ind w:firstLine="480"/>
      </w:pPr>
      <w:r>
        <w:rPr>
          <w:rFonts w:hint="eastAsia"/>
        </w:rPr>
        <w:t>一般污染防渗层可采用黏土、抗渗混凝土、高密度聚乙烯（HDPE）膜、纳基膨润土防水毯或其他防渗性能等效的材料。当建设场地具有符合要求的黏土时，地面防渗宜采用黏土防渗层，防渗层顶面宜采用混凝土地面或设置厚度不小于200mm的砂石层。</w:t>
      </w:r>
    </w:p>
    <w:p>
      <w:pPr>
        <w:ind w:firstLine="480"/>
      </w:pPr>
      <w:r>
        <w:rPr>
          <w:rFonts w:hint="eastAsia"/>
        </w:rPr>
        <w:t>（4）污染监控和应急响应</w:t>
      </w:r>
    </w:p>
    <w:p>
      <w:pPr>
        <w:ind w:firstLine="480"/>
      </w:pPr>
      <w:r>
        <w:rPr>
          <w:rFonts w:hint="eastAsia"/>
        </w:rPr>
        <w:t>根据同类合成氨企业运行的情况分析，拟建项目发生的地下水污染事故的几率很小，环境风险主要为由于厂区长期运行或发生意外泄漏，防渗系统完全失效，污染物直接入渗地下水系统造成污染。因此，需制定事故风险应急预案、地下水污染防治措施，迅速而有效地将事故损失减至最小。</w:t>
      </w:r>
    </w:p>
    <w:p>
      <w:pPr>
        <w:ind w:firstLine="480"/>
      </w:pPr>
      <w:r>
        <w:rPr>
          <w:rFonts w:hint="eastAsia"/>
        </w:rPr>
        <w:t>■建议采取的应急预案：</w:t>
      </w:r>
    </w:p>
    <w:p>
      <w:pPr>
        <w:ind w:firstLine="480"/>
      </w:pPr>
      <w:r>
        <w:rPr>
          <w:rFonts w:hint="eastAsia"/>
        </w:rPr>
        <w:t>①确定救援组织、队伍和联络方式。</w:t>
      </w:r>
    </w:p>
    <w:p>
      <w:pPr>
        <w:ind w:firstLine="480"/>
      </w:pPr>
      <w:r>
        <w:rPr>
          <w:rFonts w:hint="eastAsia"/>
        </w:rPr>
        <w:t>②制定事故类型、等级和相应的应急响应程序。</w:t>
      </w:r>
    </w:p>
    <w:p>
      <w:pPr>
        <w:ind w:firstLine="480"/>
      </w:pPr>
      <w:r>
        <w:rPr>
          <w:rFonts w:hint="eastAsia"/>
        </w:rPr>
        <w:t>③岗位培训和演习，设备事故应急学习手册及报告、记录和评估。</w:t>
      </w:r>
    </w:p>
    <w:p>
      <w:pPr>
        <w:ind w:firstLine="480"/>
      </w:pPr>
      <w:r>
        <w:rPr>
          <w:rFonts w:hint="eastAsia"/>
        </w:rPr>
        <w:t>■建议采取如下污染治理措施：</w:t>
      </w:r>
    </w:p>
    <w:p>
      <w:pPr>
        <w:ind w:firstLine="480"/>
      </w:pPr>
      <w:r>
        <w:rPr>
          <w:rFonts w:hint="eastAsia"/>
        </w:rPr>
        <w:t>①一旦发生地下水污染事故，应立即启动应急预案。</w:t>
      </w:r>
    </w:p>
    <w:p>
      <w:pPr>
        <w:ind w:firstLine="480"/>
      </w:pPr>
      <w:r>
        <w:rPr>
          <w:rFonts w:hint="eastAsia"/>
        </w:rPr>
        <w:t>②查明并切断污染源。</w:t>
      </w:r>
    </w:p>
    <w:p>
      <w:pPr>
        <w:ind w:firstLine="480"/>
      </w:pPr>
      <w:r>
        <w:rPr>
          <w:rFonts w:hint="eastAsia"/>
        </w:rPr>
        <w:t>■管理要求</w:t>
      </w:r>
    </w:p>
    <w:p>
      <w:pPr>
        <w:ind w:firstLine="480"/>
      </w:pPr>
      <w:r>
        <w:rPr>
          <w:rFonts w:hint="eastAsia"/>
        </w:rPr>
        <w:t>拟建项目各防治区均按照设计规范建设，满足防渗要求。设施建设完成后，应安排专人定期检查各设施的防渗情况，出现破损应及时修复，避免出现污染物渗漏的情况。</w:t>
      </w:r>
    </w:p>
    <w:p>
      <w:pPr>
        <w:ind w:firstLine="480"/>
      </w:pPr>
      <w:r>
        <w:rPr>
          <w:rFonts w:hint="eastAsia"/>
        </w:rPr>
        <w:t>在场地内、厂区边界的上、下游处设置地下水监控井共3个，定时监测地下水中各种污染物含量，发现问题及时启动应急预案、采取应急措施控制地下水污染。</w:t>
      </w:r>
    </w:p>
    <w:p>
      <w:pPr>
        <w:pStyle w:val="4"/>
        <w:spacing w:before="163" w:after="163"/>
      </w:pPr>
      <w:bookmarkStart w:id="177" w:name="_Toc84844338"/>
      <w:r>
        <w:rPr>
          <w:rFonts w:hint="eastAsia"/>
        </w:rPr>
        <w:t>7.1.6土壤</w:t>
      </w:r>
      <w:bookmarkEnd w:id="177"/>
    </w:p>
    <w:p>
      <w:pPr>
        <w:ind w:firstLine="480"/>
      </w:pPr>
      <w:r>
        <w:rPr>
          <w:rFonts w:hint="eastAsia"/>
        </w:rPr>
        <w:t>针对可能发生的土壤环境影响，拟建项目采取以下环保措施：</w:t>
      </w:r>
    </w:p>
    <w:p>
      <w:pPr>
        <w:ind w:firstLine="480"/>
      </w:pPr>
      <w:r>
        <w:rPr>
          <w:rFonts w:hint="eastAsia"/>
        </w:rPr>
        <w:t>（1）拟建项目厂区内设置废水两级防控，生产装置区设围堤和导流设施，一旦发生事故性泄漏、遇明火发生火灾爆炸，事故废水可被截流在围堤内，围堤收集能力不够时可通过管道排至事故池，然后根据实际情况分批排入废水处理站处理达标后排放；设置雨水管网和雨污切换阀，保证可能受污染的初期雨水排至至厂内事故水池。全面防控事故废水和可能受污染的雨水发生地面漫流，进入土壤。</w:t>
      </w:r>
    </w:p>
    <w:p>
      <w:pPr>
        <w:ind w:firstLine="480"/>
      </w:pPr>
      <w:r>
        <w:rPr>
          <w:rFonts w:hint="eastAsia"/>
        </w:rPr>
        <w:t>（2）拟建项目针对厂区制定分区防渗，对生产装置区、废水处理站、危废暂存间和事故池等区域采取重点防渗；对综合楼以及重点污染防治区域附近区域采取一般防渗；对厂区道路等采用一般地面硬化。</w:t>
      </w:r>
    </w:p>
    <w:p>
      <w:pPr>
        <w:ind w:firstLine="480"/>
      </w:pPr>
      <w:r>
        <w:rPr>
          <w:rFonts w:hint="eastAsia"/>
        </w:rPr>
        <w:t>（3）跟踪监测：对厂区范围内的土壤定期监测，发现土壤污染时，及时查找泄漏源，防止污染源的进一步下渗，必要时对已污染的土壤进行替换或修复。基于建设项目现状监测点设置兼顾土壤环境影响跟踪监测计划的原则，环评建议在厂区内合成氨装置区旁设置土壤跟踪监测点，拟建项目相关的监测因子主要为：氨，监测频次为1次/5年。</w:t>
      </w:r>
    </w:p>
    <w:p>
      <w:pPr>
        <w:ind w:firstLine="480"/>
      </w:pPr>
      <w:r>
        <w:rPr>
          <w:rFonts w:hint="eastAsia"/>
        </w:rPr>
        <w:t>拟建项目土壤污染防治措施技术成熟可行，在全面落实两级防控和分区防渗措施的情况下，本工程对土壤影响较小。</w:t>
      </w:r>
    </w:p>
    <w:p>
      <w:pPr>
        <w:pStyle w:val="3"/>
        <w:spacing w:before="163" w:after="163"/>
      </w:pPr>
      <w:bookmarkStart w:id="178" w:name="_Toc84844339"/>
      <w:r>
        <w:rPr>
          <w:rFonts w:hint="eastAsia"/>
        </w:rPr>
        <w:t>7.2环保投资</w:t>
      </w:r>
      <w:bookmarkEnd w:id="178"/>
    </w:p>
    <w:p>
      <w:pPr>
        <w:ind w:firstLine="480"/>
      </w:pPr>
      <w:r>
        <w:rPr>
          <w:rFonts w:hint="eastAsia"/>
        </w:rPr>
        <w:t>拟建项目工程总投资60986万元，其中环保总投资估算为218万元，占总投资的0.36%，明细详见表7.2-1。</w:t>
      </w:r>
    </w:p>
    <w:p>
      <w:pPr>
        <w:pStyle w:val="41"/>
      </w:pPr>
      <w:r>
        <w:rPr>
          <w:rFonts w:hint="eastAsia"/>
        </w:rPr>
        <w:t>表7.2-1  项目环保投资及风险防范措施投资估算一览表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942"/>
        <w:gridCol w:w="1086"/>
        <w:gridCol w:w="246"/>
        <w:gridCol w:w="65"/>
        <w:gridCol w:w="513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shd w:val="clear" w:color="auto" w:fill="D9D9D9"/>
            <w:vAlign w:val="center"/>
          </w:tcPr>
          <w:p>
            <w:pPr>
              <w:pStyle w:val="42"/>
              <w:spacing w:line="300" w:lineRule="exact"/>
            </w:pPr>
            <w:r>
              <w:rPr>
                <w:rFonts w:hint="eastAsia"/>
              </w:rPr>
              <w:t>项目</w:t>
            </w:r>
          </w:p>
        </w:tc>
        <w:tc>
          <w:tcPr>
            <w:tcW w:w="3924" w:type="pct"/>
            <w:gridSpan w:val="4"/>
            <w:shd w:val="clear" w:color="auto" w:fill="D9D9D9"/>
            <w:vAlign w:val="center"/>
          </w:tcPr>
          <w:p>
            <w:pPr>
              <w:pStyle w:val="42"/>
              <w:spacing w:line="300" w:lineRule="exact"/>
            </w:pPr>
            <w:r>
              <w:rPr>
                <w:rFonts w:hint="eastAsia"/>
              </w:rPr>
              <w:t>环保措施</w:t>
            </w:r>
          </w:p>
        </w:tc>
        <w:tc>
          <w:tcPr>
            <w:tcW w:w="510" w:type="pct"/>
            <w:shd w:val="clear" w:color="auto" w:fill="D9D9D9"/>
            <w:vAlign w:val="center"/>
          </w:tcPr>
          <w:p>
            <w:pPr>
              <w:pStyle w:val="42"/>
              <w:spacing w:line="300" w:lineRule="exact"/>
            </w:pPr>
            <w:r>
              <w:rPr>
                <w:rFonts w:hint="eastAsia"/>
              </w:rPr>
              <w:t>投资</w:t>
            </w:r>
          </w:p>
          <w:p>
            <w:pPr>
              <w:pStyle w:val="42"/>
              <w:spacing w:line="300" w:lineRule="exact"/>
            </w:pP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restart"/>
            <w:vAlign w:val="center"/>
          </w:tcPr>
          <w:p>
            <w:pPr>
              <w:pStyle w:val="42"/>
              <w:spacing w:line="300" w:lineRule="exact"/>
            </w:pPr>
            <w:r>
              <w:rPr>
                <w:rFonts w:hint="eastAsia"/>
              </w:rPr>
              <w:t>废气治理</w:t>
            </w:r>
          </w:p>
        </w:tc>
        <w:tc>
          <w:tcPr>
            <w:tcW w:w="840" w:type="pct"/>
            <w:gridSpan w:val="3"/>
            <w:vAlign w:val="center"/>
          </w:tcPr>
          <w:p>
            <w:pPr>
              <w:pStyle w:val="42"/>
              <w:spacing w:line="300" w:lineRule="exact"/>
            </w:pPr>
            <w:r>
              <w:rPr>
                <w:rFonts w:hint="eastAsia"/>
              </w:rPr>
              <w:t>废水处理站臭气</w:t>
            </w:r>
          </w:p>
        </w:tc>
        <w:tc>
          <w:tcPr>
            <w:tcW w:w="3084" w:type="pct"/>
            <w:vAlign w:val="center"/>
          </w:tcPr>
          <w:p>
            <w:pPr>
              <w:pStyle w:val="42"/>
              <w:spacing w:line="300" w:lineRule="exact"/>
            </w:pPr>
            <w:r>
              <w:rPr>
                <w:rFonts w:hint="eastAsia"/>
              </w:rPr>
              <w:t>废水处理站产臭构筑物加盖密闭，臭气集中收集，采用“活性炭吸附”处理达标后，经15高排气筒排放</w:t>
            </w:r>
          </w:p>
        </w:tc>
        <w:tc>
          <w:tcPr>
            <w:tcW w:w="510" w:type="pct"/>
            <w:vAlign w:val="center"/>
          </w:tcPr>
          <w:p>
            <w:pPr>
              <w:pStyle w:val="42"/>
              <w:spacing w:line="300" w:lineRule="exact"/>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40" w:type="pct"/>
            <w:gridSpan w:val="3"/>
            <w:vAlign w:val="center"/>
          </w:tcPr>
          <w:p>
            <w:pPr>
              <w:pStyle w:val="42"/>
              <w:spacing w:line="300" w:lineRule="exact"/>
            </w:pPr>
            <w:r>
              <w:rPr>
                <w:rFonts w:hint="eastAsia"/>
              </w:rPr>
              <w:t>一段转化炉烟气</w:t>
            </w:r>
          </w:p>
        </w:tc>
        <w:tc>
          <w:tcPr>
            <w:tcW w:w="3084" w:type="pct"/>
            <w:vAlign w:val="center"/>
          </w:tcPr>
          <w:p>
            <w:pPr>
              <w:pStyle w:val="42"/>
              <w:spacing w:line="300" w:lineRule="exact"/>
            </w:pPr>
            <w:r>
              <w:rPr>
                <w:rFonts w:hint="eastAsia"/>
              </w:rPr>
              <w:t>集中收集，60</w:t>
            </w:r>
            <w:r>
              <w:t>m</w:t>
            </w:r>
            <w:r>
              <w:rPr>
                <w:rFonts w:hint="eastAsia"/>
              </w:rPr>
              <w:t>高空排放</w:t>
            </w:r>
          </w:p>
        </w:tc>
        <w:tc>
          <w:tcPr>
            <w:tcW w:w="510" w:type="pct"/>
            <w:vAlign w:val="center"/>
          </w:tcPr>
          <w:p>
            <w:pPr>
              <w:pStyle w:val="42"/>
              <w:spacing w:line="300" w:lineRule="exact"/>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40" w:type="pct"/>
            <w:gridSpan w:val="3"/>
            <w:vAlign w:val="center"/>
          </w:tcPr>
          <w:p>
            <w:pPr>
              <w:pStyle w:val="42"/>
              <w:spacing w:line="300" w:lineRule="exact"/>
            </w:pPr>
            <w:r>
              <w:rPr>
                <w:rFonts w:hint="eastAsia"/>
              </w:rPr>
              <w:t>制气工段泄压废气</w:t>
            </w:r>
          </w:p>
        </w:tc>
        <w:tc>
          <w:tcPr>
            <w:tcW w:w="3084" w:type="pct"/>
            <w:vAlign w:val="center"/>
          </w:tcPr>
          <w:p>
            <w:pPr>
              <w:pStyle w:val="42"/>
              <w:spacing w:line="300" w:lineRule="exact"/>
            </w:pPr>
            <w:r>
              <w:rPr>
                <w:rFonts w:hint="eastAsia"/>
              </w:rPr>
              <w:t>制气工序泄放气管道集中收集，依托飞华公司现有火炬系统处理</w:t>
            </w:r>
          </w:p>
        </w:tc>
        <w:tc>
          <w:tcPr>
            <w:tcW w:w="510" w:type="pct"/>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40" w:type="pct"/>
            <w:gridSpan w:val="3"/>
            <w:vAlign w:val="center"/>
          </w:tcPr>
          <w:p>
            <w:pPr>
              <w:pStyle w:val="42"/>
              <w:spacing w:line="300" w:lineRule="exact"/>
            </w:pPr>
            <w:r>
              <w:rPr>
                <w:rFonts w:hint="eastAsia"/>
              </w:rPr>
              <w:t>合成氨工段泄压废气</w:t>
            </w:r>
          </w:p>
        </w:tc>
        <w:tc>
          <w:tcPr>
            <w:tcW w:w="3084" w:type="pct"/>
            <w:vAlign w:val="center"/>
          </w:tcPr>
          <w:p>
            <w:pPr>
              <w:pStyle w:val="42"/>
              <w:spacing w:line="300" w:lineRule="exact"/>
            </w:pPr>
            <w:r>
              <w:rPr>
                <w:rFonts w:hint="eastAsia"/>
              </w:rPr>
              <w:t>合成氨装置区泄放气管道集中收集，依托飞华公司现有氨气火炬焚烧系统处理</w:t>
            </w:r>
          </w:p>
        </w:tc>
        <w:tc>
          <w:tcPr>
            <w:tcW w:w="510" w:type="pct"/>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40" w:type="pct"/>
            <w:gridSpan w:val="3"/>
            <w:vAlign w:val="center"/>
          </w:tcPr>
          <w:p>
            <w:pPr>
              <w:pStyle w:val="42"/>
              <w:spacing w:line="300" w:lineRule="exact"/>
            </w:pPr>
            <w:r>
              <w:rPr>
                <w:rFonts w:hint="eastAsia"/>
              </w:rPr>
              <w:t>无组织</w:t>
            </w:r>
          </w:p>
          <w:p>
            <w:pPr>
              <w:pStyle w:val="42"/>
              <w:spacing w:line="300" w:lineRule="exact"/>
            </w:pPr>
            <w:r>
              <w:rPr>
                <w:rFonts w:hint="eastAsia"/>
              </w:rPr>
              <w:t>排放废气</w:t>
            </w:r>
          </w:p>
        </w:tc>
        <w:tc>
          <w:tcPr>
            <w:tcW w:w="3084" w:type="pct"/>
            <w:vAlign w:val="center"/>
          </w:tcPr>
          <w:p>
            <w:pPr>
              <w:pStyle w:val="42"/>
              <w:spacing w:line="300" w:lineRule="exact"/>
            </w:pPr>
            <w:r>
              <w:rPr>
                <w:rFonts w:hint="eastAsia"/>
              </w:rPr>
              <w:t>加强管理</w:t>
            </w:r>
          </w:p>
        </w:tc>
        <w:tc>
          <w:tcPr>
            <w:tcW w:w="510" w:type="pct"/>
            <w:vAlign w:val="center"/>
          </w:tcPr>
          <w:p>
            <w:pPr>
              <w:pStyle w:val="42"/>
              <w:spacing w:line="300" w:lineRule="exact"/>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Align w:val="center"/>
          </w:tcPr>
          <w:p>
            <w:pPr>
              <w:pStyle w:val="42"/>
              <w:spacing w:line="300" w:lineRule="exact"/>
            </w:pPr>
            <w:r>
              <w:rPr>
                <w:rFonts w:hint="eastAsia"/>
              </w:rPr>
              <w:t>废水治理</w:t>
            </w:r>
          </w:p>
        </w:tc>
        <w:tc>
          <w:tcPr>
            <w:tcW w:w="3924" w:type="pct"/>
            <w:gridSpan w:val="4"/>
            <w:vAlign w:val="center"/>
          </w:tcPr>
          <w:p>
            <w:pPr>
              <w:pStyle w:val="42"/>
              <w:spacing w:line="300" w:lineRule="exact"/>
            </w:pPr>
            <w:r>
              <w:rPr>
                <w:rFonts w:hint="eastAsia"/>
              </w:rPr>
              <w:t>厂区内设置处理规模为20m</w:t>
            </w:r>
            <w:r>
              <w:rPr>
                <w:rFonts w:hint="eastAsia"/>
                <w:vertAlign w:val="superscript"/>
              </w:rPr>
              <w:t>3</w:t>
            </w:r>
            <w:r>
              <w:rPr>
                <w:rFonts w:hint="eastAsia"/>
              </w:rPr>
              <w:t>/d的废水处理站1座，采用SBR生化处理工艺。废水集中收集，厂区内处理达标后，排入园区污水处理厂</w:t>
            </w:r>
          </w:p>
        </w:tc>
        <w:tc>
          <w:tcPr>
            <w:tcW w:w="510" w:type="pct"/>
            <w:vAlign w:val="center"/>
          </w:tcPr>
          <w:p>
            <w:pPr>
              <w:pStyle w:val="42"/>
              <w:spacing w:line="300" w:lineRule="exact"/>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restart"/>
            <w:vAlign w:val="center"/>
          </w:tcPr>
          <w:p>
            <w:pPr>
              <w:pStyle w:val="42"/>
              <w:spacing w:line="300" w:lineRule="exact"/>
            </w:pPr>
            <w:r>
              <w:rPr>
                <w:rFonts w:hint="eastAsia"/>
              </w:rPr>
              <w:t>地下水污染防治</w:t>
            </w:r>
          </w:p>
        </w:tc>
        <w:tc>
          <w:tcPr>
            <w:tcW w:w="3924" w:type="pct"/>
            <w:gridSpan w:val="4"/>
            <w:vAlign w:val="center"/>
          </w:tcPr>
          <w:p>
            <w:pPr>
              <w:pStyle w:val="42"/>
              <w:spacing w:line="300" w:lineRule="exact"/>
              <w:rPr>
                <w:rFonts w:ascii="Times" w:hAnsi="Times"/>
              </w:rPr>
            </w:pPr>
            <w:r>
              <w:rPr>
                <w:rFonts w:hint="eastAsia" w:ascii="Times" w:hAnsi="Times"/>
              </w:rPr>
              <w:t>项目分区防渗措施</w:t>
            </w:r>
          </w:p>
        </w:tc>
        <w:tc>
          <w:tcPr>
            <w:tcW w:w="510" w:type="pct"/>
            <w:vAlign w:val="center"/>
          </w:tcPr>
          <w:p>
            <w:pPr>
              <w:pStyle w:val="42"/>
              <w:spacing w:line="300" w:lineRule="exact"/>
            </w:pPr>
            <w:r>
              <w:rPr>
                <w:rFonts w:hint="eastAsia"/>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3924" w:type="pct"/>
            <w:gridSpan w:val="4"/>
            <w:vAlign w:val="center"/>
          </w:tcPr>
          <w:p>
            <w:pPr>
              <w:pStyle w:val="42"/>
              <w:spacing w:line="300" w:lineRule="exact"/>
            </w:pPr>
            <w:r>
              <w:rPr>
                <w:rFonts w:hint="eastAsia"/>
              </w:rPr>
              <w:t>设地下水监测井</w:t>
            </w:r>
            <w:r>
              <w:t>3</w:t>
            </w:r>
            <w:r>
              <w:rPr>
                <w:rFonts w:hint="eastAsia"/>
              </w:rPr>
              <w:t>口</w:t>
            </w:r>
          </w:p>
        </w:tc>
        <w:tc>
          <w:tcPr>
            <w:tcW w:w="510" w:type="pct"/>
            <w:vAlign w:val="center"/>
          </w:tcPr>
          <w:p>
            <w:pPr>
              <w:pStyle w:val="42"/>
              <w:spacing w:line="300" w:lineRule="exact"/>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Align w:val="center"/>
          </w:tcPr>
          <w:p>
            <w:pPr>
              <w:pStyle w:val="42"/>
              <w:spacing w:line="300" w:lineRule="exact"/>
            </w:pPr>
            <w:r>
              <w:rPr>
                <w:rFonts w:hint="eastAsia"/>
              </w:rPr>
              <w:t>噪声治理</w:t>
            </w:r>
          </w:p>
        </w:tc>
        <w:tc>
          <w:tcPr>
            <w:tcW w:w="3924" w:type="pct"/>
            <w:gridSpan w:val="4"/>
            <w:vAlign w:val="center"/>
          </w:tcPr>
          <w:p>
            <w:pPr>
              <w:pStyle w:val="42"/>
              <w:spacing w:line="300" w:lineRule="exact"/>
              <w:rPr>
                <w:spacing w:val="-20"/>
              </w:rPr>
            </w:pPr>
            <w:r>
              <w:rPr>
                <w:rFonts w:hint="eastAsia"/>
              </w:rPr>
              <w:t>各类泵、压缩机机座加减震垫、作防震基础；风机减振、隔震、设消声器；绿化降噪。</w:t>
            </w:r>
          </w:p>
        </w:tc>
        <w:tc>
          <w:tcPr>
            <w:tcW w:w="510" w:type="pct"/>
            <w:vAlign w:val="center"/>
          </w:tcPr>
          <w:p>
            <w:pPr>
              <w:pStyle w:val="42"/>
              <w:spacing w:line="300" w:lineRule="exact"/>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restart"/>
            <w:vAlign w:val="center"/>
          </w:tcPr>
          <w:p>
            <w:pPr>
              <w:pStyle w:val="42"/>
              <w:spacing w:line="300" w:lineRule="exact"/>
            </w:pPr>
            <w:r>
              <w:rPr>
                <w:rFonts w:hint="eastAsia"/>
              </w:rPr>
              <w:t>固体废物</w:t>
            </w:r>
          </w:p>
        </w:tc>
        <w:tc>
          <w:tcPr>
            <w:tcW w:w="653" w:type="pct"/>
            <w:vAlign w:val="center"/>
          </w:tcPr>
          <w:p>
            <w:pPr>
              <w:pStyle w:val="42"/>
              <w:spacing w:line="300" w:lineRule="exact"/>
              <w:rPr>
                <w:szCs w:val="21"/>
              </w:rPr>
            </w:pPr>
            <w:r>
              <w:rPr>
                <w:rFonts w:hint="eastAsia"/>
                <w:szCs w:val="21"/>
              </w:rPr>
              <w:t>废催化剂</w:t>
            </w:r>
          </w:p>
        </w:tc>
        <w:tc>
          <w:tcPr>
            <w:tcW w:w="3271" w:type="pct"/>
            <w:gridSpan w:val="3"/>
            <w:vMerge w:val="restart"/>
            <w:vAlign w:val="center"/>
          </w:tcPr>
          <w:p>
            <w:pPr>
              <w:pStyle w:val="42"/>
              <w:spacing w:line="300" w:lineRule="exact"/>
            </w:pPr>
            <w:r>
              <w:rPr>
                <w:rFonts w:hint="eastAsia"/>
                <w:szCs w:val="21"/>
              </w:rPr>
              <w:t>按要求设置建筑面积为</w:t>
            </w:r>
            <w:r>
              <w:rPr>
                <w:rFonts w:hint="eastAsia"/>
              </w:rPr>
              <w:t>100m</w:t>
            </w:r>
            <w:r>
              <w:rPr>
                <w:rFonts w:hint="eastAsia"/>
                <w:vertAlign w:val="superscript"/>
              </w:rPr>
              <w:t>2</w:t>
            </w:r>
            <w:r>
              <w:rPr>
                <w:rFonts w:hint="eastAsia"/>
                <w:szCs w:val="21"/>
              </w:rPr>
              <w:t>的危废暂存间，危险废物分类收集，</w:t>
            </w:r>
            <w:r>
              <w:rPr>
                <w:rFonts w:hint="eastAsia"/>
              </w:rPr>
              <w:t>采用专用容器包装，交有资质单位处置</w:t>
            </w:r>
          </w:p>
        </w:tc>
        <w:tc>
          <w:tcPr>
            <w:tcW w:w="510" w:type="pct"/>
            <w:vMerge w:val="restart"/>
            <w:vAlign w:val="center"/>
          </w:tcPr>
          <w:p>
            <w:pPr>
              <w:pStyle w:val="42"/>
              <w:spacing w:line="300" w:lineRule="exact"/>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653" w:type="pct"/>
            <w:vAlign w:val="center"/>
          </w:tcPr>
          <w:p>
            <w:pPr>
              <w:pStyle w:val="42"/>
              <w:spacing w:line="300" w:lineRule="exact"/>
              <w:rPr>
                <w:szCs w:val="21"/>
              </w:rPr>
            </w:pPr>
            <w:r>
              <w:rPr>
                <w:rFonts w:hint="eastAsia"/>
                <w:szCs w:val="21"/>
              </w:rPr>
              <w:t>废吸附剂</w:t>
            </w:r>
          </w:p>
        </w:tc>
        <w:tc>
          <w:tcPr>
            <w:tcW w:w="3271" w:type="pct"/>
            <w:gridSpan w:val="3"/>
            <w:vMerge w:val="continue"/>
            <w:vAlign w:val="center"/>
          </w:tcPr>
          <w:p>
            <w:pPr>
              <w:pStyle w:val="42"/>
              <w:spacing w:line="300" w:lineRule="exact"/>
            </w:pP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653" w:type="pct"/>
            <w:vAlign w:val="center"/>
          </w:tcPr>
          <w:p>
            <w:pPr>
              <w:pStyle w:val="42"/>
              <w:spacing w:line="300" w:lineRule="exact"/>
            </w:pPr>
            <w:r>
              <w:rPr>
                <w:rFonts w:hint="eastAsia"/>
              </w:rPr>
              <w:t>废脱硫剂</w:t>
            </w:r>
          </w:p>
        </w:tc>
        <w:tc>
          <w:tcPr>
            <w:tcW w:w="3271" w:type="pct"/>
            <w:gridSpan w:val="3"/>
            <w:vMerge w:val="continue"/>
            <w:vAlign w:val="center"/>
          </w:tcPr>
          <w:p>
            <w:pPr>
              <w:pStyle w:val="42"/>
              <w:spacing w:line="300" w:lineRule="exact"/>
            </w:pP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653" w:type="pct"/>
            <w:vAlign w:val="center"/>
          </w:tcPr>
          <w:p>
            <w:pPr>
              <w:pStyle w:val="42"/>
              <w:spacing w:line="300" w:lineRule="exact"/>
            </w:pPr>
            <w:r>
              <w:rPr>
                <w:rFonts w:hint="eastAsia"/>
              </w:rPr>
              <w:t>废活性炭</w:t>
            </w:r>
          </w:p>
        </w:tc>
        <w:tc>
          <w:tcPr>
            <w:tcW w:w="3271" w:type="pct"/>
            <w:gridSpan w:val="3"/>
            <w:vMerge w:val="continue"/>
            <w:vAlign w:val="center"/>
          </w:tcPr>
          <w:p>
            <w:pPr>
              <w:pStyle w:val="42"/>
              <w:spacing w:line="300" w:lineRule="exact"/>
            </w:pP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653" w:type="pct"/>
            <w:vAlign w:val="center"/>
          </w:tcPr>
          <w:p>
            <w:pPr>
              <w:pStyle w:val="42"/>
              <w:spacing w:line="300" w:lineRule="exact"/>
            </w:pPr>
            <w:r>
              <w:rPr>
                <w:rFonts w:hint="eastAsia"/>
              </w:rPr>
              <w:t>污泥</w:t>
            </w:r>
          </w:p>
        </w:tc>
        <w:tc>
          <w:tcPr>
            <w:tcW w:w="3271" w:type="pct"/>
            <w:gridSpan w:val="3"/>
            <w:vAlign w:val="center"/>
          </w:tcPr>
          <w:p>
            <w:pPr>
              <w:pStyle w:val="42"/>
              <w:spacing w:line="300" w:lineRule="exact"/>
            </w:pPr>
            <w:r>
              <w:rPr>
                <w:rFonts w:hint="eastAsia"/>
              </w:rPr>
              <w:t>集中收集垃圾填埋场处置</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653" w:type="pct"/>
            <w:vAlign w:val="center"/>
          </w:tcPr>
          <w:p>
            <w:pPr>
              <w:pStyle w:val="42"/>
              <w:spacing w:line="300" w:lineRule="exact"/>
            </w:pPr>
            <w:r>
              <w:rPr>
                <w:rFonts w:hint="eastAsia"/>
              </w:rPr>
              <w:t>生活垃圾</w:t>
            </w:r>
          </w:p>
        </w:tc>
        <w:tc>
          <w:tcPr>
            <w:tcW w:w="3271" w:type="pct"/>
            <w:gridSpan w:val="3"/>
            <w:vAlign w:val="center"/>
          </w:tcPr>
          <w:p>
            <w:pPr>
              <w:pStyle w:val="42"/>
              <w:spacing w:line="300" w:lineRule="exact"/>
            </w:pPr>
            <w:r>
              <w:rPr>
                <w:rFonts w:hint="eastAsia"/>
              </w:rPr>
              <w:t>袋装收集，由环卫部门统一清运处置</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restart"/>
            <w:vAlign w:val="center"/>
          </w:tcPr>
          <w:p>
            <w:pPr>
              <w:pStyle w:val="42"/>
              <w:spacing w:line="300" w:lineRule="exact"/>
            </w:pPr>
            <w:r>
              <w:rPr>
                <w:rFonts w:hint="eastAsia"/>
              </w:rPr>
              <w:t>土壤</w:t>
            </w:r>
          </w:p>
        </w:tc>
        <w:tc>
          <w:tcPr>
            <w:tcW w:w="3924" w:type="pct"/>
            <w:gridSpan w:val="4"/>
            <w:vAlign w:val="center"/>
          </w:tcPr>
          <w:p>
            <w:pPr>
              <w:pStyle w:val="42"/>
              <w:spacing w:line="300" w:lineRule="exact"/>
            </w:pPr>
            <w:r>
              <w:rPr>
                <w:rFonts w:hint="eastAsia" w:ascii="Times" w:hAnsi="Times"/>
              </w:rPr>
              <w:t>分区防渗措施</w:t>
            </w:r>
          </w:p>
        </w:tc>
        <w:tc>
          <w:tcPr>
            <w:tcW w:w="510" w:type="pct"/>
            <w:vAlign w:val="center"/>
          </w:tcPr>
          <w:p>
            <w:pPr>
              <w:pStyle w:val="42"/>
              <w:spacing w:line="300" w:lineRule="exact"/>
            </w:pPr>
            <w:r>
              <w:rPr>
                <w:rFonts w:hint="eastAsia"/>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3924" w:type="pct"/>
            <w:gridSpan w:val="4"/>
            <w:vAlign w:val="center"/>
          </w:tcPr>
          <w:p>
            <w:pPr>
              <w:pStyle w:val="42"/>
              <w:spacing w:line="300" w:lineRule="exact"/>
            </w:pPr>
            <w:r>
              <w:rPr>
                <w:rFonts w:hint="eastAsia"/>
              </w:rPr>
              <w:t>两级防控措施，装置区设围堤和导流沟；设有效容积</w:t>
            </w:r>
            <w:r>
              <w:t>1</w:t>
            </w:r>
            <w:r>
              <w:rPr>
                <w:rFonts w:hint="eastAsia"/>
              </w:rPr>
              <w:t>85</w:t>
            </w:r>
            <w:r>
              <w:t>0m</w:t>
            </w:r>
            <w:r>
              <w:rPr>
                <w:vertAlign w:val="superscript"/>
              </w:rPr>
              <w:t>3</w:t>
            </w:r>
            <w:r>
              <w:rPr>
                <w:rFonts w:hint="eastAsia"/>
              </w:rPr>
              <w:t>的事故池；雨水管道与事故池连通，并设有雨污切换阀</w:t>
            </w:r>
          </w:p>
        </w:tc>
        <w:tc>
          <w:tcPr>
            <w:tcW w:w="510" w:type="pct"/>
            <w:vAlign w:val="center"/>
          </w:tcPr>
          <w:p>
            <w:pPr>
              <w:pStyle w:val="42"/>
              <w:spacing w:line="300" w:lineRule="exact"/>
            </w:pPr>
            <w:r>
              <w:rPr>
                <w:rFonts w:hint="eastAsia"/>
              </w:rPr>
              <w:t>计入环境风险防范措施投资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restart"/>
            <w:vAlign w:val="center"/>
          </w:tcPr>
          <w:p>
            <w:pPr>
              <w:pStyle w:val="42"/>
              <w:spacing w:line="300" w:lineRule="exact"/>
            </w:pPr>
            <w:r>
              <w:rPr>
                <w:rFonts w:hint="eastAsia"/>
              </w:rPr>
              <w:t>环境风险</w:t>
            </w:r>
          </w:p>
        </w:tc>
        <w:tc>
          <w:tcPr>
            <w:tcW w:w="801" w:type="pct"/>
            <w:gridSpan w:val="2"/>
            <w:vMerge w:val="restart"/>
            <w:vAlign w:val="center"/>
          </w:tcPr>
          <w:p>
            <w:pPr>
              <w:pStyle w:val="42"/>
              <w:spacing w:line="300" w:lineRule="exact"/>
            </w:pPr>
            <w:r>
              <w:rPr>
                <w:rFonts w:hint="eastAsia"/>
              </w:rPr>
              <w:t>合成氨装置区</w:t>
            </w:r>
          </w:p>
        </w:tc>
        <w:tc>
          <w:tcPr>
            <w:tcW w:w="3123" w:type="pct"/>
            <w:gridSpan w:val="2"/>
            <w:vAlign w:val="center"/>
          </w:tcPr>
          <w:p>
            <w:pPr>
              <w:pStyle w:val="42"/>
              <w:spacing w:line="300" w:lineRule="exact"/>
            </w:pPr>
            <w:r>
              <w:rPr>
                <w:rFonts w:hint="eastAsia"/>
                <w:sz w:val="18"/>
                <w:szCs w:val="18"/>
              </w:rPr>
              <w:t>设置围堤和导流设施，并采取防腐、防渗处理措施</w:t>
            </w:r>
          </w:p>
        </w:tc>
        <w:tc>
          <w:tcPr>
            <w:tcW w:w="510" w:type="pct"/>
            <w:vMerge w:val="restart"/>
            <w:vAlign w:val="center"/>
          </w:tcPr>
          <w:p>
            <w:pPr>
              <w:pStyle w:val="42"/>
              <w:spacing w:line="300" w:lineRule="exact"/>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continue"/>
            <w:vAlign w:val="center"/>
          </w:tcPr>
          <w:p>
            <w:pPr>
              <w:pStyle w:val="42"/>
              <w:spacing w:line="300" w:lineRule="exact"/>
            </w:pPr>
          </w:p>
        </w:tc>
        <w:tc>
          <w:tcPr>
            <w:tcW w:w="3123" w:type="pct"/>
            <w:gridSpan w:val="2"/>
            <w:vAlign w:val="center"/>
          </w:tcPr>
          <w:p>
            <w:pPr>
              <w:pStyle w:val="42"/>
              <w:spacing w:line="300" w:lineRule="exact"/>
              <w:rPr>
                <w:sz w:val="18"/>
                <w:szCs w:val="18"/>
              </w:rPr>
            </w:pPr>
            <w:r>
              <w:rPr>
                <w:rFonts w:hint="eastAsia"/>
                <w:sz w:val="18"/>
                <w:szCs w:val="18"/>
              </w:rPr>
              <w:t>设置水喷淋装置</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continue"/>
            <w:vAlign w:val="center"/>
          </w:tcPr>
          <w:p>
            <w:pPr>
              <w:pStyle w:val="42"/>
              <w:spacing w:line="300" w:lineRule="exact"/>
            </w:pPr>
          </w:p>
        </w:tc>
        <w:tc>
          <w:tcPr>
            <w:tcW w:w="3123" w:type="pct"/>
            <w:gridSpan w:val="2"/>
            <w:vAlign w:val="center"/>
          </w:tcPr>
          <w:p>
            <w:pPr>
              <w:pStyle w:val="42"/>
              <w:spacing w:line="300" w:lineRule="exact"/>
              <w:rPr>
                <w:sz w:val="18"/>
                <w:szCs w:val="18"/>
              </w:rPr>
            </w:pPr>
            <w:r>
              <w:rPr>
                <w:rFonts w:hint="eastAsia"/>
                <w:sz w:val="18"/>
                <w:szCs w:val="18"/>
              </w:rPr>
              <w:t>设置NH</w:t>
            </w:r>
            <w:r>
              <w:rPr>
                <w:rFonts w:hint="eastAsia"/>
                <w:sz w:val="18"/>
                <w:szCs w:val="18"/>
                <w:vertAlign w:val="subscript"/>
              </w:rPr>
              <w:t>3</w:t>
            </w:r>
            <w:r>
              <w:rPr>
                <w:rFonts w:hint="eastAsia"/>
                <w:sz w:val="18"/>
                <w:szCs w:val="18"/>
              </w:rPr>
              <w:t>、CO、甲烷、氢气等</w:t>
            </w:r>
            <w:r>
              <w:rPr>
                <w:sz w:val="18"/>
                <w:szCs w:val="18"/>
              </w:rPr>
              <w:t>有毒</w:t>
            </w:r>
            <w:r>
              <w:rPr>
                <w:rFonts w:hint="eastAsia"/>
                <w:sz w:val="18"/>
                <w:szCs w:val="18"/>
              </w:rPr>
              <w:t>有害</w:t>
            </w:r>
            <w:r>
              <w:rPr>
                <w:sz w:val="18"/>
                <w:szCs w:val="18"/>
              </w:rPr>
              <w:t>、可燃气体</w:t>
            </w:r>
            <w:r>
              <w:rPr>
                <w:rFonts w:hint="eastAsia"/>
                <w:sz w:val="18"/>
                <w:szCs w:val="18"/>
              </w:rPr>
              <w:t>探测</w:t>
            </w:r>
            <w:r>
              <w:rPr>
                <w:sz w:val="18"/>
                <w:szCs w:val="18"/>
              </w:rPr>
              <w:t>报警</w:t>
            </w:r>
            <w:r>
              <w:rPr>
                <w:rFonts w:hint="eastAsia"/>
                <w:sz w:val="18"/>
                <w:szCs w:val="18"/>
              </w:rPr>
              <w:t>装置，并且于</w:t>
            </w:r>
            <w:r>
              <w:rPr>
                <w:sz w:val="18"/>
                <w:szCs w:val="18"/>
              </w:rPr>
              <w:t>与</w:t>
            </w:r>
            <w:r>
              <w:rPr>
                <w:rFonts w:hint="eastAsia"/>
                <w:sz w:val="18"/>
                <w:szCs w:val="18"/>
              </w:rPr>
              <w:t>厂区</w:t>
            </w:r>
            <w:r>
              <w:rPr>
                <w:sz w:val="18"/>
                <w:szCs w:val="18"/>
              </w:rPr>
              <w:t>报警系统联动</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restart"/>
            <w:vAlign w:val="center"/>
          </w:tcPr>
          <w:p>
            <w:pPr>
              <w:pStyle w:val="42"/>
              <w:spacing w:line="300" w:lineRule="exact"/>
            </w:pPr>
            <w:r>
              <w:rPr>
                <w:rFonts w:hint="eastAsia"/>
              </w:rPr>
              <w:t>CO</w:t>
            </w:r>
            <w:r>
              <w:rPr>
                <w:rFonts w:hint="eastAsia"/>
                <w:vertAlign w:val="subscript"/>
              </w:rPr>
              <w:t>2</w:t>
            </w:r>
            <w:r>
              <w:rPr>
                <w:rFonts w:hint="eastAsia"/>
              </w:rPr>
              <w:t>回收装置区</w:t>
            </w:r>
          </w:p>
        </w:tc>
        <w:tc>
          <w:tcPr>
            <w:tcW w:w="3123" w:type="pct"/>
            <w:gridSpan w:val="2"/>
            <w:vAlign w:val="center"/>
          </w:tcPr>
          <w:p>
            <w:pPr>
              <w:pStyle w:val="42"/>
              <w:spacing w:line="300" w:lineRule="exact"/>
            </w:pPr>
            <w:r>
              <w:rPr>
                <w:rFonts w:hint="eastAsia"/>
                <w:sz w:val="18"/>
                <w:szCs w:val="18"/>
              </w:rPr>
              <w:t>设置围堤和导流设施，并采取防腐、防渗处理措施</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continue"/>
            <w:vAlign w:val="center"/>
          </w:tcPr>
          <w:p>
            <w:pPr>
              <w:pStyle w:val="42"/>
              <w:spacing w:line="300" w:lineRule="exact"/>
            </w:pPr>
          </w:p>
        </w:tc>
        <w:tc>
          <w:tcPr>
            <w:tcW w:w="3123" w:type="pct"/>
            <w:gridSpan w:val="2"/>
            <w:vAlign w:val="center"/>
          </w:tcPr>
          <w:p>
            <w:pPr>
              <w:pStyle w:val="42"/>
              <w:spacing w:line="300" w:lineRule="exact"/>
            </w:pPr>
            <w:r>
              <w:rPr>
                <w:rFonts w:hint="eastAsia"/>
                <w:sz w:val="18"/>
                <w:szCs w:val="18"/>
              </w:rPr>
              <w:t>置CO等</w:t>
            </w:r>
            <w:r>
              <w:rPr>
                <w:sz w:val="18"/>
                <w:szCs w:val="18"/>
              </w:rPr>
              <w:t>有毒</w:t>
            </w:r>
            <w:r>
              <w:rPr>
                <w:rFonts w:hint="eastAsia"/>
                <w:sz w:val="18"/>
                <w:szCs w:val="18"/>
              </w:rPr>
              <w:t>有害</w:t>
            </w:r>
            <w:r>
              <w:rPr>
                <w:sz w:val="18"/>
                <w:szCs w:val="18"/>
              </w:rPr>
              <w:t>、可燃气体</w:t>
            </w:r>
            <w:r>
              <w:rPr>
                <w:rFonts w:hint="eastAsia"/>
                <w:sz w:val="18"/>
                <w:szCs w:val="18"/>
              </w:rPr>
              <w:t>探测</w:t>
            </w:r>
            <w:r>
              <w:rPr>
                <w:sz w:val="18"/>
                <w:szCs w:val="18"/>
              </w:rPr>
              <w:t>报警</w:t>
            </w:r>
            <w:r>
              <w:rPr>
                <w:rFonts w:hint="eastAsia"/>
                <w:sz w:val="18"/>
                <w:szCs w:val="18"/>
              </w:rPr>
              <w:t>装置，并且于</w:t>
            </w:r>
            <w:r>
              <w:rPr>
                <w:sz w:val="18"/>
                <w:szCs w:val="18"/>
              </w:rPr>
              <w:t>与</w:t>
            </w:r>
            <w:r>
              <w:rPr>
                <w:rFonts w:hint="eastAsia"/>
                <w:sz w:val="18"/>
                <w:szCs w:val="18"/>
              </w:rPr>
              <w:t>厂区</w:t>
            </w:r>
            <w:r>
              <w:rPr>
                <w:sz w:val="18"/>
                <w:szCs w:val="18"/>
              </w:rPr>
              <w:t>报警系统联动</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Align w:val="center"/>
          </w:tcPr>
          <w:p>
            <w:pPr>
              <w:pStyle w:val="42"/>
              <w:spacing w:line="300" w:lineRule="exact"/>
            </w:pPr>
            <w:r>
              <w:rPr>
                <w:rFonts w:hint="eastAsia"/>
                <w:sz w:val="18"/>
                <w:szCs w:val="18"/>
              </w:rPr>
              <w:t>CO</w:t>
            </w:r>
            <w:r>
              <w:rPr>
                <w:rFonts w:hint="eastAsia"/>
                <w:sz w:val="18"/>
                <w:szCs w:val="18"/>
                <w:vertAlign w:val="subscript"/>
              </w:rPr>
              <w:t>2</w:t>
            </w:r>
            <w:r>
              <w:rPr>
                <w:rFonts w:hint="eastAsia"/>
                <w:sz w:val="18"/>
                <w:szCs w:val="18"/>
              </w:rPr>
              <w:t>储罐</w:t>
            </w:r>
          </w:p>
        </w:tc>
        <w:tc>
          <w:tcPr>
            <w:tcW w:w="3123" w:type="pct"/>
            <w:gridSpan w:val="2"/>
            <w:vAlign w:val="center"/>
          </w:tcPr>
          <w:p>
            <w:pPr>
              <w:pStyle w:val="42"/>
              <w:spacing w:line="300" w:lineRule="exact"/>
            </w:pPr>
            <w:r>
              <w:rPr>
                <w:rFonts w:hint="eastAsia"/>
                <w:sz w:val="18"/>
                <w:szCs w:val="18"/>
              </w:rPr>
              <w:t>CO</w:t>
            </w:r>
            <w:r>
              <w:rPr>
                <w:rFonts w:hint="eastAsia"/>
                <w:sz w:val="18"/>
                <w:szCs w:val="18"/>
                <w:vertAlign w:val="subscript"/>
              </w:rPr>
              <w:t>2</w:t>
            </w:r>
            <w:r>
              <w:rPr>
                <w:rFonts w:hint="eastAsia"/>
                <w:sz w:val="18"/>
                <w:szCs w:val="18"/>
              </w:rPr>
              <w:t>储罐设置安全阀</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Align w:val="center"/>
          </w:tcPr>
          <w:p>
            <w:pPr>
              <w:pStyle w:val="42"/>
              <w:spacing w:line="300" w:lineRule="exact"/>
              <w:rPr>
                <w:sz w:val="18"/>
                <w:szCs w:val="18"/>
              </w:rPr>
            </w:pPr>
            <w:r>
              <w:rPr>
                <w:rFonts w:hint="eastAsia"/>
                <w:sz w:val="18"/>
                <w:szCs w:val="18"/>
              </w:rPr>
              <w:t>液氨输送管道</w:t>
            </w:r>
          </w:p>
        </w:tc>
        <w:tc>
          <w:tcPr>
            <w:tcW w:w="3123" w:type="pct"/>
            <w:gridSpan w:val="2"/>
            <w:vAlign w:val="center"/>
          </w:tcPr>
          <w:p>
            <w:pPr>
              <w:pStyle w:val="42"/>
              <w:spacing w:line="300" w:lineRule="exact"/>
              <w:rPr>
                <w:sz w:val="18"/>
                <w:szCs w:val="18"/>
              </w:rPr>
            </w:pPr>
            <w:r>
              <w:rPr>
                <w:rFonts w:hint="eastAsia"/>
                <w:sz w:val="18"/>
                <w:szCs w:val="18"/>
              </w:rPr>
              <w:t>液氨输送管道设压力监控系统，泄漏后压力下降，可根据泄漏点位置，通过切断两侧阀门，另外管线设计有氮置换排放口，可将管线中的液氨置换排放至氨火炬系统，以控制和处置管道泄漏影响。</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restart"/>
            <w:vAlign w:val="center"/>
          </w:tcPr>
          <w:p>
            <w:pPr>
              <w:pStyle w:val="42"/>
              <w:spacing w:line="300" w:lineRule="exact"/>
              <w:rPr>
                <w:sz w:val="18"/>
                <w:szCs w:val="18"/>
              </w:rPr>
            </w:pPr>
            <w:r>
              <w:rPr>
                <w:rFonts w:hint="eastAsia"/>
                <w:sz w:val="18"/>
                <w:szCs w:val="18"/>
              </w:rPr>
              <w:t>其他防范措施、制度</w:t>
            </w:r>
          </w:p>
        </w:tc>
        <w:tc>
          <w:tcPr>
            <w:tcW w:w="3123" w:type="pct"/>
            <w:gridSpan w:val="2"/>
            <w:vAlign w:val="center"/>
          </w:tcPr>
          <w:p>
            <w:pPr>
              <w:pStyle w:val="42"/>
              <w:spacing w:line="300" w:lineRule="exact"/>
              <w:rPr>
                <w:sz w:val="18"/>
                <w:szCs w:val="18"/>
              </w:rPr>
            </w:pPr>
            <w:r>
              <w:rPr>
                <w:rFonts w:hint="eastAsia"/>
                <w:sz w:val="18"/>
                <w:szCs w:val="18"/>
              </w:rPr>
              <w:t>有效容积1850m</w:t>
            </w:r>
            <w:r>
              <w:rPr>
                <w:rFonts w:hint="eastAsia"/>
                <w:sz w:val="18"/>
                <w:szCs w:val="18"/>
                <w:vertAlign w:val="superscript"/>
              </w:rPr>
              <w:t>3</w:t>
            </w:r>
            <w:r>
              <w:rPr>
                <w:rFonts w:hint="eastAsia"/>
                <w:sz w:val="18"/>
                <w:szCs w:val="18"/>
              </w:rPr>
              <w:t>事故应急池，</w:t>
            </w:r>
            <w:r>
              <w:rPr>
                <w:sz w:val="18"/>
                <w:szCs w:val="18"/>
              </w:rPr>
              <w:t>各生产</w:t>
            </w:r>
            <w:r>
              <w:rPr>
                <w:rFonts w:hint="eastAsia"/>
                <w:sz w:val="18"/>
                <w:szCs w:val="18"/>
              </w:rPr>
              <w:t>装置区围堤、</w:t>
            </w:r>
            <w:r>
              <w:rPr>
                <w:sz w:val="18"/>
                <w:szCs w:val="18"/>
              </w:rPr>
              <w:t>初期雨水沟</w:t>
            </w:r>
            <w:r>
              <w:rPr>
                <w:rFonts w:hint="eastAsia"/>
                <w:sz w:val="18"/>
                <w:szCs w:val="18"/>
              </w:rPr>
              <w:t>等</w:t>
            </w:r>
            <w:r>
              <w:rPr>
                <w:sz w:val="18"/>
                <w:szCs w:val="18"/>
              </w:rPr>
              <w:t>均与事故池相连，并设有雨污</w:t>
            </w:r>
            <w:r>
              <w:rPr>
                <w:rFonts w:hint="eastAsia"/>
                <w:sz w:val="18"/>
                <w:szCs w:val="18"/>
              </w:rPr>
              <w:t>切换</w:t>
            </w:r>
            <w:r>
              <w:rPr>
                <w:sz w:val="18"/>
                <w:szCs w:val="18"/>
              </w:rPr>
              <w:t>阀</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566" w:type="pct"/>
            <w:vMerge w:val="continue"/>
            <w:vAlign w:val="center"/>
          </w:tcPr>
          <w:p>
            <w:pPr>
              <w:pStyle w:val="42"/>
              <w:spacing w:line="300" w:lineRule="exact"/>
            </w:pPr>
          </w:p>
        </w:tc>
        <w:tc>
          <w:tcPr>
            <w:tcW w:w="801" w:type="pct"/>
            <w:gridSpan w:val="2"/>
            <w:vMerge w:val="continue"/>
            <w:vAlign w:val="center"/>
          </w:tcPr>
          <w:p>
            <w:pPr>
              <w:pStyle w:val="42"/>
              <w:spacing w:line="300" w:lineRule="exact"/>
              <w:rPr>
                <w:sz w:val="18"/>
                <w:szCs w:val="18"/>
              </w:rPr>
            </w:pPr>
          </w:p>
        </w:tc>
        <w:tc>
          <w:tcPr>
            <w:tcW w:w="3123" w:type="pct"/>
            <w:gridSpan w:val="2"/>
            <w:vAlign w:val="center"/>
          </w:tcPr>
          <w:p>
            <w:pPr>
              <w:pStyle w:val="42"/>
              <w:spacing w:line="300" w:lineRule="exact"/>
              <w:rPr>
                <w:sz w:val="18"/>
                <w:szCs w:val="18"/>
              </w:rPr>
            </w:pPr>
            <w:r>
              <w:rPr>
                <w:sz w:val="18"/>
                <w:szCs w:val="18"/>
              </w:rPr>
              <w:t>制定有应急预案</w:t>
            </w:r>
            <w:r>
              <w:rPr>
                <w:rFonts w:hint="eastAsia"/>
                <w:sz w:val="18"/>
                <w:szCs w:val="18"/>
              </w:rPr>
              <w:t>并</w:t>
            </w:r>
            <w:r>
              <w:rPr>
                <w:sz w:val="18"/>
                <w:szCs w:val="18"/>
              </w:rPr>
              <w:t>落实制度；配备有应急</w:t>
            </w:r>
            <w:r>
              <w:rPr>
                <w:rFonts w:hint="eastAsia"/>
                <w:sz w:val="18"/>
                <w:szCs w:val="18"/>
              </w:rPr>
              <w:t>救援物资；设置危险物质特性、应急处置措施及警示的标志</w:t>
            </w:r>
          </w:p>
        </w:tc>
        <w:tc>
          <w:tcPr>
            <w:tcW w:w="510" w:type="pct"/>
            <w:vMerge w:val="continue"/>
            <w:vAlign w:val="center"/>
          </w:tcPr>
          <w:p>
            <w:pPr>
              <w:pStyle w:val="42"/>
              <w:spacing w:line="3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89" w:hRule="atLeast"/>
          <w:jc w:val="center"/>
        </w:trPr>
        <w:tc>
          <w:tcPr>
            <w:tcW w:w="566" w:type="pct"/>
            <w:vAlign w:val="center"/>
          </w:tcPr>
          <w:p>
            <w:pPr>
              <w:pStyle w:val="42"/>
              <w:spacing w:line="300" w:lineRule="exact"/>
            </w:pPr>
            <w:r>
              <w:rPr>
                <w:rFonts w:hint="eastAsia"/>
              </w:rPr>
              <w:t>合计</w:t>
            </w:r>
          </w:p>
        </w:tc>
        <w:tc>
          <w:tcPr>
            <w:tcW w:w="3924" w:type="pct"/>
            <w:gridSpan w:val="4"/>
            <w:vAlign w:val="center"/>
          </w:tcPr>
          <w:p>
            <w:pPr>
              <w:pStyle w:val="42"/>
              <w:spacing w:line="300" w:lineRule="exact"/>
            </w:pPr>
            <w:r>
              <w:rPr>
                <w:rFonts w:hint="eastAsia"/>
              </w:rPr>
              <w:t>占总投资60986万元的0.36</w:t>
            </w:r>
            <w:r>
              <w:t>%</w:t>
            </w:r>
          </w:p>
        </w:tc>
        <w:tc>
          <w:tcPr>
            <w:tcW w:w="510" w:type="pct"/>
            <w:vAlign w:val="center"/>
          </w:tcPr>
          <w:p>
            <w:pPr>
              <w:pStyle w:val="42"/>
              <w:spacing w:line="300" w:lineRule="exact"/>
            </w:pPr>
            <w:r>
              <w:rPr>
                <w:rFonts w:hint="eastAsia"/>
              </w:rPr>
              <w:t>218</w:t>
            </w:r>
          </w:p>
        </w:tc>
      </w:tr>
    </w:tbl>
    <w:p>
      <w:pPr>
        <w:pStyle w:val="3"/>
        <w:spacing w:before="163" w:after="163"/>
      </w:pPr>
      <w:bookmarkStart w:id="179" w:name="_Toc84844340"/>
      <w:r>
        <w:rPr>
          <w:rFonts w:hint="eastAsia"/>
        </w:rPr>
        <w:t>8.3小结</w:t>
      </w:r>
      <w:bookmarkEnd w:id="179"/>
    </w:p>
    <w:p>
      <w:pPr>
        <w:ind w:firstLine="480"/>
      </w:pPr>
      <w:r>
        <w:t>（1）废气</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一段转化炉烟气：拟建项目一段转化炉以天然气、CO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废水处理站臭气和危废暂存间废气：废水处理站调节池、SBR生化池、污泥浓缩池等产臭构筑物加盖密闭，臭气管道集中收集；危废暂存间设置抽排风系统，废气集中收集，与废水处理站臭气一并经采用“活性炭吸附”处理达标后，经15高排气筒排放。</w:t>
      </w:r>
    </w:p>
    <w:p>
      <w:pPr>
        <w:ind w:firstLine="480"/>
      </w:pPr>
      <w:r>
        <w:rPr>
          <w:rFonts w:hint="eastAsia"/>
        </w:rPr>
        <w:t>主要污染物排放情况：颗粒物13.81t/a、NOx103.6t/a、SO</w:t>
      </w:r>
      <w:r>
        <w:rPr>
          <w:rFonts w:hint="eastAsia"/>
          <w:vertAlign w:val="subscript"/>
        </w:rPr>
        <w:t>2</w:t>
      </w:r>
      <w:r>
        <w:rPr>
          <w:rFonts w:hint="eastAsia"/>
        </w:rPr>
        <w:t>6.88t/a、氨0.5t/a。</w:t>
      </w:r>
    </w:p>
    <w:p>
      <w:pPr>
        <w:ind w:firstLine="480"/>
      </w:pPr>
      <w:r>
        <w:rPr>
          <w:rFonts w:hint="eastAsia"/>
        </w:rPr>
        <w:t>（2）废水</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hint="eastAsia"/>
        </w:rPr>
        <w:t>另外，拟建项目设热交换器，排水量约280.8m</w:t>
      </w:r>
      <w:r>
        <w:rPr>
          <w:rFonts w:hint="eastAsia"/>
          <w:vertAlign w:val="superscript"/>
        </w:rPr>
        <w:t>3</w:t>
      </w:r>
      <w:r>
        <w:rPr>
          <w:rFonts w:hint="eastAsia"/>
        </w:rPr>
        <w:t>/d，经清下水管网集中收集至厂区雨水总排口，经雨水排口排入园区雨水系统；脱盐水和循环冷却水依托恩力吉公司现有装置，脱盐水系统排水和循环水系统排水共计1081.03 m</w:t>
      </w:r>
      <w:r>
        <w:rPr>
          <w:rFonts w:hint="eastAsia"/>
          <w:vertAlign w:val="superscript"/>
        </w:rPr>
        <w:t>3</w:t>
      </w:r>
      <w:r>
        <w:rPr>
          <w:rFonts w:hint="eastAsia"/>
        </w:rPr>
        <w:t>/d，依托恩力吉公司现有清下水管网集中收集，排入园区雨水系统。</w:t>
      </w:r>
    </w:p>
    <w:p>
      <w:pPr>
        <w:ind w:firstLine="480"/>
      </w:pPr>
      <w:r>
        <w:rPr>
          <w:rFonts w:hint="eastAsia"/>
        </w:rPr>
        <w:t>主要污染物排放情况：</w:t>
      </w:r>
      <w:r>
        <w:t>COD：</w:t>
      </w:r>
      <w:r>
        <w:rPr>
          <w:rFonts w:hint="eastAsia"/>
        </w:rPr>
        <w:t>0.282</w:t>
      </w:r>
      <w:r>
        <w:t>t/a、</w:t>
      </w:r>
      <w:r>
        <w:rPr>
          <w:rFonts w:hint="eastAsia"/>
        </w:rPr>
        <w:t>BOD</w:t>
      </w:r>
      <w:r>
        <w:rPr>
          <w:rFonts w:hint="eastAsia"/>
          <w:vertAlign w:val="subscript"/>
        </w:rPr>
        <w:t>5</w:t>
      </w:r>
      <w:r>
        <w:rPr>
          <w:rFonts w:hint="eastAsia"/>
        </w:rPr>
        <w:t>：0.049t/a、</w:t>
      </w:r>
      <w:r>
        <w:t>SS：</w:t>
      </w:r>
      <w:r>
        <w:rPr>
          <w:rFonts w:hint="eastAsia"/>
        </w:rPr>
        <w:t>0.328</w:t>
      </w:r>
      <w:r>
        <w:t>t/a、NH</w:t>
      </w:r>
      <w:r>
        <w:rPr>
          <w:vertAlign w:val="subscript"/>
        </w:rPr>
        <w:t>3</w:t>
      </w:r>
      <w:r>
        <w:t>-N：</w:t>
      </w:r>
      <w:r>
        <w:rPr>
          <w:rFonts w:hint="eastAsia"/>
        </w:rPr>
        <w:t>0.0.047</w:t>
      </w:r>
      <w:r>
        <w:t>t/a、</w:t>
      </w:r>
      <w:r>
        <w:rPr>
          <w:rFonts w:hint="eastAsia"/>
        </w:rPr>
        <w:t>石油类：0.007t/a</w:t>
      </w:r>
      <w:r>
        <w:t>。</w:t>
      </w:r>
    </w:p>
    <w:p>
      <w:pPr>
        <w:ind w:firstLine="480"/>
      </w:pPr>
      <w:r>
        <w:rPr>
          <w:rFonts w:hint="eastAsia"/>
        </w:rPr>
        <w:t>（3）固体废物</w:t>
      </w:r>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ind w:firstLine="480"/>
      </w:pPr>
      <w:r>
        <w:rPr>
          <w:rFonts w:hint="eastAsia"/>
        </w:rPr>
        <w:t>（4）噪声</w:t>
      </w:r>
    </w:p>
    <w:p>
      <w:pPr>
        <w:ind w:firstLine="480"/>
      </w:pPr>
      <w:r>
        <w:rPr>
          <w:rFonts w:hint="eastAsia"/>
        </w:rPr>
        <w:t>拟建项目主要的噪声源有风机、压缩机、制冷机、各类泵等机械设备，噪声值在85～100dB（A）之间，选用低噪声设备的基础上，各类泵、压缩机机座加减震垫、作防震基础；风机减振、隔震、设消声器；绿化降噪。</w:t>
      </w:r>
    </w:p>
    <w:p>
      <w:pPr>
        <w:ind w:firstLine="480"/>
      </w:pPr>
      <w:r>
        <w:rPr>
          <w:rFonts w:hint="eastAsia"/>
        </w:rPr>
        <w:t>（5）地下水</w:t>
      </w:r>
    </w:p>
    <w:p>
      <w:pPr>
        <w:ind w:firstLine="480"/>
      </w:pPr>
      <w:r>
        <w:rPr>
          <w:rFonts w:hint="eastAsia"/>
        </w:rPr>
        <w:t>按照“源头控制、分区防治、污染监控、应急响应”相结合的原则，从污染物的产生、入渗、扩散、应急响应全方位进行控制。</w:t>
      </w:r>
    </w:p>
    <w:p>
      <w:pPr>
        <w:ind w:firstLine="480"/>
      </w:pPr>
      <w:r>
        <w:rPr>
          <w:rFonts w:hint="eastAsia"/>
        </w:rPr>
        <w:t>重点防渗区包括生产装置区、储罐区、废水处理站、危废暂存间和事故池等区域，防渗层的防渗性能不应低于6.0m厚渗透系数为1.0×10</w:t>
      </w:r>
      <w:r>
        <w:rPr>
          <w:rFonts w:hint="eastAsia"/>
          <w:vertAlign w:val="superscript"/>
        </w:rPr>
        <w:t>-7</w:t>
      </w:r>
      <w:r>
        <w:rPr>
          <w:rFonts w:hint="eastAsia"/>
        </w:rPr>
        <w:t>cm/s的黏土层的防渗性能；一般污染防治区包括综合楼以及重点污染防治区域附近区域，防渗层的防渗性能不应低于1.5m厚渗透系数1.0×10</w:t>
      </w:r>
      <w:r>
        <w:rPr>
          <w:rFonts w:hint="eastAsia"/>
          <w:vertAlign w:val="superscript"/>
        </w:rPr>
        <w:t>-7</w:t>
      </w:r>
      <w:r>
        <w:rPr>
          <w:rFonts w:hint="eastAsia"/>
        </w:rPr>
        <w:t>cm/s的黏土层的防渗性能。</w:t>
      </w:r>
    </w:p>
    <w:p>
      <w:pPr>
        <w:ind w:firstLine="480"/>
      </w:pPr>
      <w:r>
        <w:rPr>
          <w:rFonts w:hint="eastAsia"/>
        </w:rPr>
        <w:t>设施按要求建设完成后，应安排专人定期检查各设施的防渗情况，出现破损应及时修复，避免出现污染物渗漏的情况。</w:t>
      </w:r>
    </w:p>
    <w:p>
      <w:pPr>
        <w:ind w:firstLine="480"/>
      </w:pPr>
      <w:r>
        <w:rPr>
          <w:rFonts w:hint="eastAsia"/>
        </w:rPr>
        <w:t>组织应急救援队伍，制定应急响应程序。</w:t>
      </w:r>
    </w:p>
    <w:p>
      <w:pPr>
        <w:ind w:firstLine="480"/>
      </w:pPr>
      <w:r>
        <w:rPr>
          <w:rFonts w:hint="eastAsia"/>
        </w:rPr>
        <w:t>在场地内、厂区边界的上、下游处设置地下水监控井共3个，定时监测地下水中各种污染物含量，发现问题及时启动应急预案、采取应急措施控制地下水污染。</w:t>
      </w:r>
    </w:p>
    <w:p>
      <w:pPr>
        <w:ind w:firstLine="480"/>
      </w:pPr>
      <w:r>
        <w:rPr>
          <w:rFonts w:hint="eastAsia"/>
        </w:rPr>
        <w:t>（6）土壤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拟建项目厂区内设置废水两级防控，生产装置区设围堤和导流设施，一旦发生事故性泄漏、遇明火发生火灾爆炸，事故废水可被截流在围堤内，围堤收集能力不够时可通过管道排至事故池，然后根据实际情况分批排入废水处理站处理达标后排放；设置雨水管网和雨污切换阀，保证可能受污染的初期雨水排至至厂内事故水池。全面防控事故废水和可能受污染的雨水发生地面漫流，进入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拟建项目针对厂区制定分区防渗，对生产装置区、废水处理站、危废暂存间和事故池等区域采取重点防渗；对综合楼以及重点污染防治区域附近区域采取一般防渗；对厂区道路等采用一般地面硬化。</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跟踪监测：对厂区范围内的土壤定期监测，发现土壤污染时，及时查找泄漏源，防止污染源的进一步下渗，必要时对已污染的土壤进行替换或修复。基于建设项目现状监测点设置兼顾土壤环境影响跟踪监测计划的原则，环评建议在厂区内合成氨装置区旁设置土壤跟踪监测点，拟建项目相关的监测因子主要为：氨，监测频次为1次/5年。</w:t>
      </w:r>
    </w:p>
    <w:p>
      <w:pPr>
        <w:ind w:firstLine="480"/>
      </w:pPr>
    </w:p>
    <w:p>
      <w:pPr>
        <w:ind w:firstLine="480"/>
        <w:sectPr>
          <w:pgSz w:w="11906" w:h="16838"/>
          <w:pgMar w:top="1440" w:right="1800" w:bottom="1440" w:left="1800" w:header="851" w:footer="992" w:gutter="0"/>
          <w:cols w:space="425" w:num="1"/>
          <w:docGrid w:type="lines" w:linePitch="326" w:charSpace="0"/>
        </w:sectPr>
      </w:pPr>
    </w:p>
    <w:p>
      <w:pPr>
        <w:pStyle w:val="2"/>
        <w:spacing w:before="163" w:after="163"/>
      </w:pPr>
      <w:bookmarkStart w:id="180" w:name="_Toc84844341"/>
      <w:r>
        <w:rPr>
          <w:rFonts w:hint="eastAsia"/>
        </w:rPr>
        <w:t>8环境经济损益分析</w:t>
      </w:r>
      <w:bookmarkEnd w:id="180"/>
    </w:p>
    <w:p>
      <w:pPr>
        <w:ind w:firstLine="480"/>
      </w:pPr>
      <w:r>
        <w:rPr>
          <w:rFonts w:hint="eastAsia"/>
        </w:rPr>
        <w:t>环境影响经济损益分析，就是估算某一项目所引起环境影响的经济价值，并将环境影响的价值纳入项目的经济分析（即费用效益分析）中去，以判断这些环境影响对该项目的可行性会产生多大的影响。对负面的影响，估算出的是环境成本；对正面的影响，估算出的是环境效益。</w:t>
      </w:r>
    </w:p>
    <w:p>
      <w:pPr>
        <w:ind w:firstLine="480"/>
      </w:pPr>
      <w:r>
        <w:rPr>
          <w:rFonts w:hint="eastAsia"/>
        </w:rPr>
        <w:t>环境影响经济损益分析是通过核算建设项目拟投入的环保投资和所能收到的环保效益，比较其大小，以评估建设项目环保投资的经济价值，使建设项目设计更加合理、更加完善。</w:t>
      </w:r>
    </w:p>
    <w:p>
      <w:pPr>
        <w:ind w:firstLine="480"/>
      </w:pPr>
      <w:r>
        <w:rPr>
          <w:rFonts w:hint="eastAsia"/>
        </w:rPr>
        <w:t>本评价采用费用—效益法，分析比较拟建项目的环保费用与环保效益的大小。</w:t>
      </w:r>
    </w:p>
    <w:p>
      <w:pPr>
        <w:pStyle w:val="3"/>
        <w:spacing w:before="163" w:after="163"/>
      </w:pPr>
      <w:bookmarkStart w:id="181" w:name="_Toc84844342"/>
      <w:r>
        <w:rPr>
          <w:rFonts w:hint="eastAsia"/>
        </w:rPr>
        <w:t>8.1环境保护费用</w:t>
      </w:r>
      <w:bookmarkEnd w:id="181"/>
    </w:p>
    <w:p>
      <w:pPr>
        <w:ind w:firstLine="480"/>
      </w:pPr>
      <w:r>
        <w:rPr>
          <w:rFonts w:hint="eastAsia"/>
        </w:rPr>
        <w:t>拟建项目环保费用由一次性投资和运行费用两部份组成。</w:t>
      </w:r>
    </w:p>
    <w:p>
      <w:pPr>
        <w:pStyle w:val="4"/>
        <w:spacing w:before="163" w:after="163"/>
      </w:pPr>
      <w:bookmarkStart w:id="182" w:name="_Toc84844343"/>
      <w:r>
        <w:rPr>
          <w:rFonts w:hint="eastAsia"/>
        </w:rPr>
        <w:t>8.1.1环保设施投资</w:t>
      </w:r>
      <w:bookmarkEnd w:id="182"/>
    </w:p>
    <w:p>
      <w:pPr>
        <w:ind w:firstLine="480"/>
      </w:pPr>
      <w:r>
        <w:rPr>
          <w:rFonts w:hint="eastAsia"/>
        </w:rPr>
        <w:t>拟建项目环保投资共计为218万元，主要用于废气、废水、固体废物和噪声治理、环境风险防范设施等。</w:t>
      </w:r>
    </w:p>
    <w:p>
      <w:pPr>
        <w:pStyle w:val="4"/>
        <w:spacing w:before="163" w:after="163"/>
      </w:pPr>
      <w:bookmarkStart w:id="183" w:name="_Toc84844344"/>
      <w:r>
        <w:rPr>
          <w:rFonts w:hint="eastAsia"/>
        </w:rPr>
        <w:t>8.1.2环保运行费用</w:t>
      </w:r>
      <w:bookmarkEnd w:id="183"/>
    </w:p>
    <w:p>
      <w:pPr>
        <w:ind w:firstLine="480"/>
      </w:pPr>
      <w:r>
        <w:rPr>
          <w:rFonts w:hint="eastAsia"/>
        </w:rPr>
        <w:t>运行费用是为充分发挥环保设施的效率、维持其正常运行而发生的费用，主要包括人工费和水电费。</w:t>
      </w:r>
    </w:p>
    <w:p>
      <w:pPr>
        <w:ind w:firstLine="480"/>
      </w:pPr>
      <w:r>
        <w:rPr>
          <w:rFonts w:hint="eastAsia"/>
        </w:rPr>
        <w:t>（1）废气</w:t>
      </w:r>
    </w:p>
    <w:p>
      <w:pPr>
        <w:ind w:firstLine="480"/>
      </w:pPr>
      <w:r>
        <w:rPr>
          <w:rFonts w:hint="eastAsia"/>
        </w:rPr>
        <w:t>拟建项目废气排放量共87300m</w:t>
      </w:r>
      <w:r>
        <w:rPr>
          <w:rFonts w:hint="eastAsia"/>
          <w:vertAlign w:val="superscript"/>
        </w:rPr>
        <w:t>3</w:t>
      </w:r>
      <w:r>
        <w:rPr>
          <w:rFonts w:hint="eastAsia"/>
        </w:rPr>
        <w:t>/h，运行费用按0.005元/m</w:t>
      </w:r>
      <w:r>
        <w:rPr>
          <w:rFonts w:hint="eastAsia"/>
          <w:vertAlign w:val="superscript"/>
        </w:rPr>
        <w:t>3</w:t>
      </w:r>
      <w:r>
        <w:rPr>
          <w:rFonts w:hint="eastAsia"/>
        </w:rPr>
        <w:t>。则年运行维护费用共约349.2万元。</w:t>
      </w:r>
    </w:p>
    <w:p>
      <w:pPr>
        <w:ind w:firstLine="480"/>
      </w:pPr>
      <w:r>
        <w:rPr>
          <w:rFonts w:hint="eastAsia"/>
        </w:rPr>
        <w:t>（2）废水</w:t>
      </w:r>
    </w:p>
    <w:p>
      <w:pPr>
        <w:ind w:firstLine="480"/>
      </w:pPr>
      <w:r>
        <w:rPr>
          <w:rFonts w:hint="eastAsia"/>
        </w:rPr>
        <w:t>拟建项目污水排放量为4692m</w:t>
      </w:r>
      <w:r>
        <w:rPr>
          <w:rFonts w:hint="eastAsia"/>
          <w:vertAlign w:val="superscript"/>
        </w:rPr>
        <w:t>3</w:t>
      </w:r>
      <w:r>
        <w:rPr>
          <w:rFonts w:hint="eastAsia"/>
        </w:rPr>
        <w:t>/a，污水处理运行费用约为8.0元/吨废水，则年运行维护费用约为3.75万元。</w:t>
      </w:r>
    </w:p>
    <w:p>
      <w:pPr>
        <w:ind w:firstLine="480"/>
      </w:pPr>
      <w:r>
        <w:rPr>
          <w:rFonts w:hint="eastAsia"/>
        </w:rPr>
        <w:t>（3）固体废物</w:t>
      </w:r>
    </w:p>
    <w:p>
      <w:pPr>
        <w:ind w:firstLine="480"/>
      </w:pPr>
      <w:r>
        <w:rPr>
          <w:rFonts w:hint="eastAsia"/>
        </w:rPr>
        <w:t>拟建项目废催化剂、废脱硫剂和废吸附剂定期更换，由有资质的单位回收利用，废气处理系统废活性炭产生量约为0.24t/a，统一收集后交由有危废处理资质的单位统一处置，按照处理费4000元/t，则危废处置费用每年约960元。</w:t>
      </w:r>
    </w:p>
    <w:p>
      <w:pPr>
        <w:ind w:firstLine="480"/>
      </w:pPr>
      <w:r>
        <w:rPr>
          <w:rFonts w:hint="eastAsia"/>
        </w:rPr>
        <w:t>（4）环保设施费用</w:t>
      </w:r>
    </w:p>
    <w:p>
      <w:pPr>
        <w:ind w:firstLine="480"/>
      </w:pPr>
      <w:r>
        <w:rPr>
          <w:rFonts w:hint="eastAsia"/>
        </w:rPr>
        <w:t>拟建项目环保投资218万，环保设施使用年限按10年计算，则环保投资为21.8万元/年。</w:t>
      </w:r>
    </w:p>
    <w:p>
      <w:pPr>
        <w:pStyle w:val="4"/>
        <w:spacing w:before="163" w:after="163"/>
      </w:pPr>
      <w:bookmarkStart w:id="184" w:name="_Toc84844345"/>
      <w:r>
        <w:rPr>
          <w:rFonts w:hint="eastAsia"/>
        </w:rPr>
        <w:t>8.1.3环境保护费用</w:t>
      </w:r>
      <w:bookmarkEnd w:id="184"/>
    </w:p>
    <w:p>
      <w:pPr>
        <w:ind w:firstLine="480"/>
      </w:pPr>
      <w:r>
        <w:rPr>
          <w:rFonts w:hint="eastAsia"/>
        </w:rPr>
        <w:t>根据前述分析，拟建项目每年环保费用为375.71万元。</w:t>
      </w:r>
    </w:p>
    <w:p>
      <w:pPr>
        <w:pStyle w:val="3"/>
        <w:spacing w:before="163" w:after="163"/>
      </w:pPr>
      <w:bookmarkStart w:id="185" w:name="_Toc84844346"/>
      <w:r>
        <w:rPr>
          <w:rFonts w:hint="eastAsia"/>
        </w:rPr>
        <w:t>8.2环境保护效益</w:t>
      </w:r>
      <w:bookmarkEnd w:id="185"/>
    </w:p>
    <w:p>
      <w:pPr>
        <w:ind w:firstLine="480"/>
      </w:pPr>
      <w:r>
        <w:rPr>
          <w:rFonts w:hint="eastAsia"/>
        </w:rPr>
        <w:t>拟建项目的环境保护效益就是指环境污染控制投资费用所能获取的效益，一般包括直接经济效益和间接经济效益。</w:t>
      </w:r>
    </w:p>
    <w:p>
      <w:pPr>
        <w:pStyle w:val="4"/>
        <w:spacing w:before="163" w:after="163"/>
      </w:pPr>
      <w:bookmarkStart w:id="186" w:name="_Toc84844347"/>
      <w:r>
        <w:rPr>
          <w:rFonts w:hint="eastAsia"/>
        </w:rPr>
        <w:t>8.2.1直接经济效益</w:t>
      </w:r>
      <w:bookmarkEnd w:id="186"/>
    </w:p>
    <w:p>
      <w:pPr>
        <w:ind w:firstLine="480"/>
      </w:pPr>
      <w:r>
        <w:rPr>
          <w:rFonts w:hint="eastAsia"/>
        </w:rPr>
        <w:t>就拟建项目而言，直接经济效益为氨洗塔采用脱盐水吸收氨产生氨水产生的经济效益，约372万元/年。</w:t>
      </w:r>
    </w:p>
    <w:p>
      <w:pPr>
        <w:pStyle w:val="4"/>
        <w:spacing w:before="163" w:after="163"/>
      </w:pPr>
      <w:bookmarkStart w:id="187" w:name="_Toc84844348"/>
      <w:r>
        <w:rPr>
          <w:rFonts w:hint="eastAsia"/>
        </w:rPr>
        <w:t>8.2.2间接经济效益</w:t>
      </w:r>
      <w:bookmarkEnd w:id="187"/>
    </w:p>
    <w:p>
      <w:pPr>
        <w:ind w:firstLine="480"/>
      </w:pPr>
      <w:r>
        <w:rPr>
          <w:rFonts w:hint="eastAsia"/>
        </w:rPr>
        <w:t>间接经济效益是指环保设施实施后所产生的社会效益，包括环境污染所造成损失的减少、人体健康水平的提高、污染物减量或污染达标后免交的排污费、罚款、委托处置费等。但大部分效益难以用货币量化。</w:t>
      </w:r>
    </w:p>
    <w:p>
      <w:pPr>
        <w:ind w:firstLine="480"/>
      </w:pPr>
      <w:r>
        <w:rPr>
          <w:rFonts w:hint="eastAsia"/>
        </w:rPr>
        <w:t>拟建项目产生的废气主要为含NOx、SO</w:t>
      </w:r>
      <w:r>
        <w:rPr>
          <w:rFonts w:hint="eastAsia"/>
          <w:vertAlign w:val="subscript"/>
        </w:rPr>
        <w:t>2</w:t>
      </w:r>
      <w:r>
        <w:rPr>
          <w:rFonts w:hint="eastAsia"/>
        </w:rPr>
        <w:t>、烟尘和氨等废气。如果不对其进行处理，则将造成周围大气环境质量恶化，影响人群身体健康；若污水不进行处理直接排放，将造成地表水水质进一步恶化；工业废物，尤其是危险废物，若不进行治理、妥善处置，将对对周围环境和人群健康造成非常大的危害。同样噪声不进行处理，将会产生噪声扰民的现象，造成极不好的社会影响。尽管这些影响难以用货币量化，但危害很大。</w:t>
      </w:r>
    </w:p>
    <w:p>
      <w:pPr>
        <w:ind w:firstLine="480"/>
      </w:pPr>
      <w:r>
        <w:rPr>
          <w:rFonts w:hint="eastAsia"/>
        </w:rPr>
        <w:t>对拟建项目而言，可以量化的间接经济损失为废气、废水、危险废物和噪声经治理后而减交的排污费和处置费。</w:t>
      </w:r>
    </w:p>
    <w:p>
      <w:pPr>
        <w:ind w:firstLine="480"/>
      </w:pPr>
      <w:r>
        <w:rPr>
          <w:rFonts w:hint="eastAsia"/>
        </w:rPr>
        <w:t>按前述工程分析核算的排污量，结合2014年9月1日起施行的《关于调整排污费征收标准等有关问题的通知》（发改价格[2014]2008号）以及2015年2月5日重庆市施行的《关于调整排污费征收标准及有关问题的通知》（渝价[2015]41号），计算出拟建项目实施相应的污染治理措施后而少交的污染物排污费及委托处置费约为50万元/a。</w:t>
      </w:r>
    </w:p>
    <w:p>
      <w:pPr>
        <w:ind w:firstLine="480"/>
      </w:pPr>
      <w:r>
        <w:rPr>
          <w:rFonts w:hint="eastAsia"/>
        </w:rPr>
        <w:t>对拟建项目而言，可以量化的间接经济效益约为50万元/a。</w:t>
      </w:r>
    </w:p>
    <w:p>
      <w:pPr>
        <w:pStyle w:val="4"/>
        <w:spacing w:before="163" w:after="163"/>
      </w:pPr>
      <w:bookmarkStart w:id="188" w:name="_Toc84844349"/>
      <w:r>
        <w:rPr>
          <w:rFonts w:hint="eastAsia"/>
        </w:rPr>
        <w:t>8.2.3环境保护效益合计</w:t>
      </w:r>
      <w:bookmarkEnd w:id="188"/>
    </w:p>
    <w:p>
      <w:pPr>
        <w:ind w:firstLine="480"/>
      </w:pPr>
      <w:r>
        <w:rPr>
          <w:rFonts w:hint="eastAsia"/>
        </w:rPr>
        <w:t>拟建项目环境保护效益共计422万元/a。</w:t>
      </w:r>
    </w:p>
    <w:p>
      <w:pPr>
        <w:pStyle w:val="3"/>
        <w:spacing w:before="163" w:after="163"/>
      </w:pPr>
      <w:bookmarkStart w:id="189" w:name="_Toc84844350"/>
      <w:r>
        <w:rPr>
          <w:rFonts w:hint="eastAsia"/>
        </w:rPr>
        <w:t>8.3环境影响经济损益分析</w:t>
      </w:r>
      <w:bookmarkEnd w:id="189"/>
    </w:p>
    <w:p>
      <w:pPr>
        <w:ind w:firstLine="480"/>
      </w:pPr>
      <w:r>
        <w:rPr>
          <w:rFonts w:hint="eastAsia"/>
        </w:rPr>
        <w:t>环保措施产生的效益与环保措施的投资及运行费用之比大于或等于1，则从经济角度考虑，认为环保措施是可行的，否则认为在经济上欠合理。</w:t>
      </w:r>
    </w:p>
    <w:p>
      <w:pPr>
        <w:ind w:firstLine="480"/>
      </w:pPr>
      <w:r>
        <w:rPr>
          <w:rFonts w:hint="eastAsia"/>
        </w:rPr>
        <w:t>效益与费用比＝环保效益/环保费用＝422/375.71＝1. 1</w:t>
      </w:r>
    </w:p>
    <w:p>
      <w:pPr>
        <w:ind w:firstLine="480"/>
      </w:pPr>
      <w:r>
        <w:rPr>
          <w:rFonts w:hint="eastAsia"/>
        </w:rPr>
        <w:t>拟建项目环保措施效益为422万元/a，环保措施费用为375.71万元/a，其效益与费用之比为1.1，大于1，表明拟建项目环保措施在经济上是基本合理的。</w:t>
      </w:r>
    </w:p>
    <w:p>
      <w:pPr>
        <w:ind w:firstLine="480"/>
      </w:pPr>
      <w:r>
        <w:rPr>
          <w:rFonts w:hint="eastAsia"/>
        </w:rPr>
        <w:t>综上所述，重庆建峰化工股份有限公司利用化工尾气制20万吨/年合成氨循环经济项目环保投资经济效益较好，同时具有较好的环境效益和社会效益，做到了污染物达标排放，减轻了对环境的污染，保护了人群健康。因此，本评价认为本项目环保投资是可行、合理和有价值的。</w:t>
      </w:r>
    </w:p>
    <w:p>
      <w:pPr>
        <w:ind w:firstLine="480"/>
        <w:sectPr>
          <w:pgSz w:w="11906" w:h="16838"/>
          <w:pgMar w:top="1440" w:right="1800" w:bottom="1440" w:left="1800" w:header="851" w:footer="992" w:gutter="0"/>
          <w:cols w:space="425" w:num="1"/>
          <w:docGrid w:type="lines" w:linePitch="326" w:charSpace="0"/>
        </w:sectPr>
      </w:pPr>
    </w:p>
    <w:p>
      <w:pPr>
        <w:pStyle w:val="2"/>
        <w:spacing w:before="163" w:after="163"/>
      </w:pPr>
      <w:bookmarkStart w:id="190" w:name="_Toc84844351"/>
      <w:r>
        <w:rPr>
          <w:rFonts w:hint="eastAsia"/>
        </w:rPr>
        <w:t>9环境管理和环境监测制度</w:t>
      </w:r>
      <w:bookmarkEnd w:id="190"/>
    </w:p>
    <w:p>
      <w:pPr>
        <w:pStyle w:val="3"/>
        <w:spacing w:before="163" w:after="163"/>
      </w:pPr>
      <w:bookmarkStart w:id="191" w:name="_Toc84844352"/>
      <w:r>
        <w:rPr>
          <w:rFonts w:hint="eastAsia"/>
        </w:rPr>
        <w:t>9.1ISO14000环境管理</w:t>
      </w:r>
      <w:bookmarkEnd w:id="191"/>
    </w:p>
    <w:p>
      <w:pPr>
        <w:ind w:firstLine="480"/>
      </w:pPr>
      <w:r>
        <w:rPr>
          <w:rFonts w:hint="eastAsia"/>
        </w:rPr>
        <w:t>本评价按照ISO14000环境管理系列标准的要求，对重庆建峰化工股份有限公司利用化工尾气制20万吨/年合成氨循环经济项目的环境管理和环境管理体系的建立提出针对性、建设性的建议。</w:t>
      </w:r>
    </w:p>
    <w:p>
      <w:pPr>
        <w:pStyle w:val="4"/>
        <w:spacing w:before="163" w:after="163"/>
      </w:pPr>
      <w:bookmarkStart w:id="192" w:name="_Toc84844353"/>
      <w:r>
        <w:rPr>
          <w:rFonts w:hint="eastAsia"/>
        </w:rPr>
        <w:t>9.1.1ISO14000标准简介</w:t>
      </w:r>
      <w:bookmarkEnd w:id="192"/>
    </w:p>
    <w:p>
      <w:pPr>
        <w:ind w:firstLine="480"/>
      </w:pPr>
      <w:r>
        <w:rPr>
          <w:rFonts w:hint="eastAsia"/>
        </w:rPr>
        <w:t>ISO14000系列标准是国际标准组织制定的国际通用标准，是环境保护领域的最新管理工具和手段。该系列标准主要有5个标准组成，即ISO140001～ISO14005，其中最重要最核心的是ISO14001标准，即《环境管理体系——规范与指南》。该标准旨在通过规范的环境管理体系的建立和环境管理工作的开展，达到主动积极的开展环境保护工作。企业实施该系列标准，有利于环境保护与经济持续发展，提高经济效益；有利于企业环境管理以及综合管理水平的提高；有利于提高企业及其产品的市场特别是国际市场的竞争力、消除其贸易堡垒、促进国际贸易。按照ISO14000系列标准的要求，建立环境管理体系，开展环境管理工作，具有特别重要的意义。</w:t>
      </w:r>
    </w:p>
    <w:p>
      <w:pPr>
        <w:pStyle w:val="4"/>
        <w:spacing w:before="163" w:after="163"/>
      </w:pPr>
      <w:bookmarkStart w:id="193" w:name="_Toc84844354"/>
      <w:r>
        <w:rPr>
          <w:rFonts w:hint="eastAsia"/>
        </w:rPr>
        <w:t>9.1.2ISO14000标准的基本内容和要求</w:t>
      </w:r>
      <w:bookmarkEnd w:id="193"/>
    </w:p>
    <w:p>
      <w:pPr>
        <w:ind w:firstLine="480"/>
      </w:pPr>
      <w:r>
        <w:rPr>
          <w:rFonts w:hint="eastAsia"/>
        </w:rPr>
        <w:t>ISO14000环境管理系列标准，主要有以下几方面的要求：</w:t>
      </w:r>
    </w:p>
    <w:p>
      <w:pPr>
        <w:ind w:firstLine="480"/>
      </w:pPr>
      <w:r>
        <w:rPr>
          <w:rFonts w:hint="eastAsia"/>
        </w:rPr>
        <w:t>（1）制定明确的环境方针，作出对有关环境法律、法规以及其应遵守的规定的承诺，包括对污染防治的承诺。</w:t>
      </w:r>
    </w:p>
    <w:p>
      <w:pPr>
        <w:ind w:firstLine="480"/>
      </w:pPr>
      <w:r>
        <w:rPr>
          <w:rFonts w:hint="eastAsia"/>
        </w:rPr>
        <w:t>（2）在环境方针指导下制定环境保护规划，确定环境保护可量化的目标和可测量的指标。</w:t>
      </w:r>
    </w:p>
    <w:p>
      <w:pPr>
        <w:ind w:firstLine="480"/>
      </w:pPr>
      <w:r>
        <w:rPr>
          <w:rFonts w:hint="eastAsia"/>
        </w:rPr>
        <w:t>（3）确保标准的实施和运行。即应建立明确的组织机构和健全的规章制度，对环保工作人员进行培训，增强其环保意识，并具备完成各自职责的能力。</w:t>
      </w:r>
    </w:p>
    <w:p>
      <w:pPr>
        <w:ind w:firstLine="480"/>
      </w:pPr>
      <w:r>
        <w:rPr>
          <w:rFonts w:hint="eastAsia"/>
        </w:rPr>
        <w:t>（4）定期检查和采取措施纠正，对管理体系中的指标和程序进行监控，发现问题及时采取防治措施，避免同一问题的再发生。</w:t>
      </w:r>
    </w:p>
    <w:p>
      <w:pPr>
        <w:ind w:firstLine="480"/>
      </w:pPr>
      <w:r>
        <w:rPr>
          <w:rFonts w:hint="eastAsia"/>
        </w:rPr>
        <w:t>（5）定期进行管理评审，主要是在规定时间内对管理体系进行审核，提出改进意见。</w:t>
      </w:r>
    </w:p>
    <w:p>
      <w:pPr>
        <w:ind w:firstLine="480"/>
      </w:pPr>
      <w:r>
        <w:rPr>
          <w:rFonts w:hint="eastAsia"/>
        </w:rPr>
        <w:t>上述要求要在实际工作中不断自我完善、持续改进、不断提高。</w:t>
      </w:r>
    </w:p>
    <w:p>
      <w:pPr>
        <w:pStyle w:val="3"/>
        <w:spacing w:before="163" w:after="163"/>
      </w:pPr>
      <w:bookmarkStart w:id="194" w:name="_Toc84844355"/>
      <w:r>
        <w:rPr>
          <w:rFonts w:hint="eastAsia"/>
        </w:rPr>
        <w:t>9.2环境管理制度</w:t>
      </w:r>
      <w:bookmarkEnd w:id="194"/>
    </w:p>
    <w:p>
      <w:pPr>
        <w:pStyle w:val="4"/>
        <w:spacing w:before="163" w:after="163"/>
      </w:pPr>
      <w:bookmarkStart w:id="195" w:name="_Toc84844356"/>
      <w:r>
        <w:rPr>
          <w:rFonts w:hint="eastAsia"/>
        </w:rPr>
        <w:t>9.2.1环境管理机构设置及职责</w:t>
      </w:r>
      <w:bookmarkEnd w:id="195"/>
    </w:p>
    <w:p>
      <w:pPr>
        <w:ind w:firstLine="480"/>
      </w:pPr>
      <w:r>
        <w:rPr>
          <w:rFonts w:hint="eastAsia"/>
        </w:rPr>
        <w:t>（1）环保机构</w:t>
      </w:r>
    </w:p>
    <w:p>
      <w:pPr>
        <w:ind w:firstLine="480"/>
      </w:pPr>
      <w:r>
        <w:rPr>
          <w:rFonts w:hint="eastAsia"/>
        </w:rPr>
        <w:t>公司环境保护工作应由1名管生产的副总经理负责，主要负责解决全公司环保工作中的重大问题；</w:t>
      </w:r>
      <w:r>
        <w:rPr>
          <w:rFonts w:eastAsiaTheme="minorEastAsia"/>
        </w:rPr>
        <w:t>公司设EHS部门，</w:t>
      </w:r>
      <w:r>
        <w:rPr>
          <w:rFonts w:hint="eastAsia"/>
        </w:rPr>
        <w:t>配置1~2名环保专职人员，负责对公司内日常环保工作进行监督、环保设施的运行维护及污染源监测工作；另外各车间设置兼职环保人员。</w:t>
      </w:r>
    </w:p>
    <w:p>
      <w:pPr>
        <w:ind w:firstLine="480"/>
      </w:pPr>
      <w:r>
        <w:rPr>
          <w:rFonts w:hint="eastAsia"/>
        </w:rPr>
        <w:t>（2）环境管理职责</w:t>
      </w:r>
    </w:p>
    <w:p>
      <w:pPr>
        <w:ind w:firstLine="480"/>
      </w:pPr>
      <w:r>
        <w:rPr>
          <w:rFonts w:hint="eastAsia"/>
        </w:rPr>
        <w:t>按照ISO14000环境管理体系标准的要求，重庆建峰化工股份有限公司利用化工尾气制20万吨/年合成氨循环经济项目应规范自身的管理制度，使环境管理工作有一个较高的起点。</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由企业的最高管理者制定明确的符合自身特点的环境方针，承诺对自身污染问题的预防，并遵守执行国家、地方的有关法律、法规以及其它有关规定。环保方针应文件化，便于公众获取。</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根据制定的环境方针，确定公司各个部门各个岗位的环境保护目标和可量化的指标，使全部员工都参与环境保护工作。</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针对单位固定的环保机构和环保专职人员，制定公司环境保护的规章制度，有责、有权地负责全公司的环保工作。同时对公司职工进行环境保护知识的培训，提高职工的环境保护意识，从而保证基地环境管理和环保工作的顺利进行。</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环境监测和监控不仅是专门环保工作的重要内容，也是某些生产过程中的控制手段，制定严格的监测、记录、签字和反馈的制度，有助于全面减降污染物的排放，掌握环保工作和环境管理体系的运行情况，查找生产过程、环保工作和环境管理中存在的漏洞，并进行即时补救。</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严格执行拟建项目环保“三同时”制度；</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6</w:instrText>
      </w:r>
      <w:r>
        <w:rPr>
          <w:rFonts w:hint="eastAsia"/>
        </w:rPr>
        <w:instrText xml:space="preserve">)</w:instrText>
      </w:r>
      <w:r>
        <w:fldChar w:fldCharType="end"/>
      </w:r>
      <w:r>
        <w:rPr>
          <w:rFonts w:hint="eastAsia"/>
        </w:rPr>
        <w:t>严格要求“三废”达标排放，保证“三废”治理设施的安全正常运行，对污染物的总量执行监督控制；</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7</w:instrText>
      </w:r>
      <w:r>
        <w:rPr>
          <w:rFonts w:hint="eastAsia"/>
        </w:rPr>
        <w:instrText xml:space="preserve">)</w:instrText>
      </w:r>
      <w:r>
        <w:fldChar w:fldCharType="end"/>
      </w:r>
      <w:r>
        <w:rPr>
          <w:rFonts w:hint="eastAsia"/>
        </w:rPr>
        <w:t>为了全面掌握公司环保工作情况，进一步了解管理体系中可能存在的问题，企业应每年进行一次内部评审，检查环境管理工作的问题和不足，对发现的问题和不足，提出改进意见。内部评审工作可以自己进行，也可以请有关部门帮助进行。时机和条件具备时，应进行ISO14000的认证，使自己的环境管理工作得到公认。</w:t>
      </w:r>
    </w:p>
    <w:p>
      <w:pPr>
        <w:pStyle w:val="4"/>
        <w:spacing w:before="163" w:after="163"/>
      </w:pPr>
      <w:bookmarkStart w:id="196" w:name="_Toc84844357"/>
      <w:r>
        <w:rPr>
          <w:rFonts w:hint="eastAsia"/>
        </w:rPr>
        <w:t>9.2.3环保管理台账</w:t>
      </w:r>
      <w:bookmarkEnd w:id="196"/>
    </w:p>
    <w:p>
      <w:pPr>
        <w:ind w:firstLine="480"/>
      </w:pPr>
      <w:r>
        <w:rPr>
          <w:rFonts w:hint="eastAsia"/>
        </w:rPr>
        <w:t>企业需要制定相应污染物排放台账管理制度，具体要求如下：</w:t>
      </w:r>
    </w:p>
    <w:p>
      <w:pPr>
        <w:ind w:firstLine="480"/>
      </w:pPr>
      <w:r>
        <w:rPr>
          <w:rFonts w:hint="eastAsia"/>
        </w:rPr>
        <w:t>（1）建立污染物排污台账</w:t>
      </w:r>
    </w:p>
    <w:p>
      <w:pPr>
        <w:ind w:firstLine="480"/>
      </w:pPr>
      <w:r>
        <w:rPr>
          <w:rFonts w:hint="eastAsia"/>
        </w:rPr>
        <w:t>污染物排放台账内容包括排污单元名称、排污口编号、使用的计量方式、排污口位置等基本信息；记录污染物的产生、排放台账，并纳入厂务公开内容，及时向环境管理部门和周边企业、公众公布重金属污染物排放和环境管理情况。</w:t>
      </w:r>
    </w:p>
    <w:p>
      <w:pPr>
        <w:ind w:firstLine="480"/>
      </w:pPr>
      <w:r>
        <w:rPr>
          <w:rFonts w:hint="eastAsia"/>
        </w:rPr>
        <w:t>（2）建立污染物日监测制度</w:t>
      </w:r>
    </w:p>
    <w:p>
      <w:pPr>
        <w:ind w:firstLine="480"/>
      </w:pPr>
      <w:r>
        <w:rPr>
          <w:rFonts w:hint="eastAsia"/>
        </w:rPr>
        <w:t>企业应该设置专人定期对污染物排放的排污口进行监测，并记录归档。此外，还要依托社会力量实行监督性监测和检查，定期委托有资质的检测机构对污染物排放口、厂界噪声等排放情况开展监督性监测。检查监测结果需要记录归档，并定期向公众公布。</w:t>
      </w:r>
    </w:p>
    <w:p>
      <w:pPr>
        <w:pStyle w:val="4"/>
        <w:spacing w:before="163" w:after="163"/>
      </w:pPr>
      <w:bookmarkStart w:id="197" w:name="_Toc84844358"/>
      <w:r>
        <w:rPr>
          <w:rFonts w:hint="eastAsia"/>
        </w:rPr>
        <w:t>9.2.4保障计划</w:t>
      </w:r>
      <w:bookmarkEnd w:id="197"/>
    </w:p>
    <w:p>
      <w:pPr>
        <w:ind w:firstLine="480"/>
      </w:pPr>
      <w:r>
        <w:rPr>
          <w:rFonts w:hint="eastAsia"/>
        </w:rPr>
        <w:t>企业财务预算应该预设一定的环保基金，用于企业排污的日常监测和环保设施的定期维护，以保障环保设施政策运行，污染物达标排放。</w:t>
      </w:r>
    </w:p>
    <w:p>
      <w:pPr>
        <w:ind w:firstLine="480"/>
      </w:pPr>
      <w:r>
        <w:rPr>
          <w:rFonts w:hint="eastAsia"/>
        </w:rPr>
        <w:t>企业还需要简历环境管理人员培训制度：环境管理人员自身环保知识、环境意识和环境管理水平直接关系到公司环境管理工作的开展和效果，公司需不定期对环境管理人员进行培训，使之具备一定的环保知识。</w:t>
      </w:r>
    </w:p>
    <w:p>
      <w:pPr>
        <w:pStyle w:val="3"/>
        <w:spacing w:before="163" w:after="163"/>
      </w:pPr>
      <w:bookmarkStart w:id="198" w:name="_Toc84844359"/>
      <w:r>
        <w:rPr>
          <w:rFonts w:hint="eastAsia"/>
        </w:rPr>
        <w:t>9.3环境监测计划</w:t>
      </w:r>
      <w:bookmarkEnd w:id="198"/>
    </w:p>
    <w:p>
      <w:pPr>
        <w:pStyle w:val="4"/>
        <w:spacing w:before="163" w:after="163"/>
      </w:pPr>
      <w:bookmarkStart w:id="199" w:name="_Toc84844360"/>
      <w:r>
        <w:rPr>
          <w:rFonts w:hint="eastAsia"/>
        </w:rPr>
        <w:t>9.3.1环境监测机构设置及任务</w:t>
      </w:r>
      <w:bookmarkEnd w:id="199"/>
    </w:p>
    <w:p>
      <w:pPr>
        <w:ind w:firstLine="480"/>
      </w:pPr>
      <w:r>
        <w:rPr>
          <w:rFonts w:hint="eastAsia"/>
        </w:rPr>
        <w:t>公司设立环境监测机构，并且配备有环境保护专职人员，负责对厂内的废水进行日常监测、配合有资质的环境监测机构进行监督性监测，同时，污水处理站配备废水在线监测系统。</w:t>
      </w:r>
    </w:p>
    <w:p>
      <w:pPr>
        <w:ind w:firstLine="480"/>
      </w:pPr>
      <w:r>
        <w:rPr>
          <w:rFonts w:hint="eastAsia"/>
        </w:rPr>
        <w:t>环境监测的主要任务：</w:t>
      </w:r>
    </w:p>
    <w:p>
      <w:pPr>
        <w:ind w:firstLine="480"/>
      </w:pPr>
      <w:r>
        <w:rPr>
          <w:rFonts w:hint="eastAsia"/>
        </w:rPr>
        <w:t>（1）根据监测制度，对厂内外污染物产生、排放及影响进行常规和应急监测。掌握全厂污染物排放的变化规律，为改进污染防治措施提供依据；</w:t>
      </w:r>
    </w:p>
    <w:p>
      <w:pPr>
        <w:ind w:firstLine="480"/>
      </w:pPr>
      <w:r>
        <w:rPr>
          <w:rFonts w:hint="eastAsia"/>
        </w:rPr>
        <w:t>（2）配合长寿区生态环境局、环境保护管理部门开展污染源监督监测与事故隐患检查等工作，定期向上级部门及环保部门报送有关污染源数据；</w:t>
      </w:r>
    </w:p>
    <w:p>
      <w:pPr>
        <w:ind w:firstLine="480"/>
      </w:pPr>
      <w:r>
        <w:rPr>
          <w:rFonts w:hint="eastAsia"/>
        </w:rPr>
        <w:t>（3）建立分析结果技术档案，特别是取样时，应记录生产运行工况；</w:t>
      </w:r>
    </w:p>
    <w:p>
      <w:pPr>
        <w:ind w:firstLine="480"/>
      </w:pPr>
      <w:r>
        <w:rPr>
          <w:rFonts w:hint="eastAsia"/>
        </w:rPr>
        <w:t>（4）建立完善的污染源及物料流失档案；</w:t>
      </w:r>
    </w:p>
    <w:p>
      <w:pPr>
        <w:ind w:firstLine="480"/>
      </w:pPr>
      <w:r>
        <w:rPr>
          <w:rFonts w:hint="eastAsia"/>
        </w:rPr>
        <w:t>（5）制定切实可行的计划，对装置全面实施生产全过程控制，重点抓好从源头削减污染源工作，实现清洁生产。</w:t>
      </w:r>
    </w:p>
    <w:p>
      <w:pPr>
        <w:pStyle w:val="4"/>
        <w:spacing w:before="163" w:after="163"/>
      </w:pPr>
      <w:bookmarkStart w:id="200" w:name="_Toc84844361"/>
      <w:r>
        <w:rPr>
          <w:rFonts w:hint="eastAsia"/>
        </w:rPr>
        <w:t>9.3.2排污口规整</w:t>
      </w:r>
      <w:bookmarkEnd w:id="200"/>
    </w:p>
    <w:p>
      <w:pPr>
        <w:ind w:firstLine="480"/>
      </w:pPr>
      <w:r>
        <w:rPr>
          <w:rFonts w:hint="eastAsia"/>
        </w:rPr>
        <w:t>拟建项目新增废气排污口1个，废水排污口1个，根据《重庆市环境保护局关于印发重庆市排污口规范化清理整治实施方案的通知》（渝环发[2012]26号）要求设置：</w:t>
      </w:r>
    </w:p>
    <w:p>
      <w:pPr>
        <w:ind w:firstLine="480"/>
      </w:pPr>
      <w:r>
        <w:rPr>
          <w:rFonts w:hint="eastAsia"/>
        </w:rPr>
        <w:t>（1）废气排污口</w:t>
      </w:r>
    </w:p>
    <w:p>
      <w:pPr>
        <w:ind w:firstLine="480"/>
      </w:pPr>
      <w:r>
        <w:rPr>
          <w:rFonts w:hint="eastAsia"/>
        </w:rPr>
        <w:t>①废气排气筒应修建平台，设置监测采样口，采样口的设置应符合《固定源废气监测技术规范》（HJT397-2007）要求；采样口必须设置常备电源。</w:t>
      </w:r>
    </w:p>
    <w:p>
      <w:pPr>
        <w:ind w:firstLine="480"/>
      </w:pPr>
      <w:r>
        <w:rPr>
          <w:rFonts w:hint="eastAsia"/>
        </w:rPr>
        <w:t>②排气筒应注明以下内容：标准编号、污染源名称及型号；排放高度、出口直径；排气量、最大允许排放浓度；排放大气污染物的名称、排放强度（kg/h）、最大允许排放量。</w:t>
      </w:r>
    </w:p>
    <w:p>
      <w:pPr>
        <w:ind w:firstLine="480"/>
      </w:pPr>
      <w:r>
        <w:rPr>
          <w:rFonts w:hint="eastAsia"/>
        </w:rPr>
        <w:t>（2）废水</w:t>
      </w:r>
    </w:p>
    <w:p>
      <w:pPr>
        <w:ind w:firstLine="480"/>
      </w:pPr>
      <w:r>
        <w:rPr>
          <w:rFonts w:hint="eastAsia"/>
        </w:rPr>
        <w:t>全厂设置一个总排口，生产废水和生活污水经全厂污水处理站处理达标后通过总排口进入园区污水处理厂，废水排污口可以是矩形、圆形或梯形，水深不低于0.1m，流速不小于0.05m/s，并设置规范的测量段，便于流量、流速的测量，测量段长度应是其水面宽度的6倍以上，最小1.5倍以上。</w:t>
      </w:r>
    </w:p>
    <w:p>
      <w:pPr>
        <w:ind w:firstLine="480"/>
      </w:pPr>
      <w:r>
        <w:rPr>
          <w:rFonts w:hint="eastAsia"/>
        </w:rPr>
        <w:t>（3）设置标志牌要求</w:t>
      </w:r>
    </w:p>
    <w:p>
      <w:pPr>
        <w:ind w:firstLine="480"/>
      </w:pPr>
      <w:r>
        <w:rPr>
          <w:rFonts w:hint="eastAsia"/>
        </w:rPr>
        <w:t>排放一般污染物排污口（源），设置提示式标志牌，排放有毒有害等污染物的排污口设置警告式标志牌。</w:t>
      </w:r>
    </w:p>
    <w:p>
      <w:pPr>
        <w:ind w:firstLine="480"/>
      </w:pPr>
      <w:r>
        <w:rPr>
          <w:rFonts w:hint="eastAsia"/>
        </w:rPr>
        <w:t>标志牌设置位置在排污口（采样点）附近且醒目处，高度为标志牌上缘离地面2m。排污口附近1m范围内有建筑物的，设平面式标志牌，无建筑物的设立式标志牌。</w:t>
      </w:r>
    </w:p>
    <w:p>
      <w:pPr>
        <w:ind w:firstLine="480"/>
      </w:pPr>
      <w:r>
        <w:rPr>
          <w:rFonts w:hint="eastAsia"/>
        </w:rPr>
        <w:t>规范化排污口的有关设置（如图形标志牌、计量装置、监控装置等）属环保设施，排污单位必须负责日常的维护保养，任何单位和个人不得擅自拆除，如需变更的须报环境监理部门同意并办理变更手续。</w:t>
      </w:r>
    </w:p>
    <w:p>
      <w:pPr>
        <w:pStyle w:val="4"/>
        <w:spacing w:before="163" w:after="163"/>
      </w:pPr>
      <w:bookmarkStart w:id="201" w:name="_Toc84844362"/>
      <w:r>
        <w:rPr>
          <w:rFonts w:hint="eastAsia"/>
        </w:rPr>
        <w:t>9.3.3环境监测计划</w:t>
      </w:r>
      <w:bookmarkEnd w:id="201"/>
    </w:p>
    <w:p>
      <w:pPr>
        <w:ind w:firstLine="480"/>
      </w:pPr>
      <w:r>
        <w:rPr>
          <w:rFonts w:hint="eastAsia"/>
        </w:rPr>
        <w:t>（1）污染源监测</w:t>
      </w:r>
    </w:p>
    <w:p>
      <w:pPr>
        <w:ind w:firstLine="480"/>
      </w:pPr>
      <w:r>
        <w:rPr>
          <w:rFonts w:hint="eastAsia"/>
        </w:rPr>
        <w:t>根据《排污单位自行监测技术指南 化肥工业—氮肥》（HJ948.1-2018），正常情况下，拟建项目监测点位、监测指标及最低监测频次见表9.3-1。</w:t>
      </w:r>
    </w:p>
    <w:p>
      <w:pPr>
        <w:pStyle w:val="41"/>
      </w:pPr>
      <w:r>
        <w:rPr>
          <w:rFonts w:hint="eastAsia"/>
        </w:rPr>
        <w:t>表9.3-1 拟建项目监测点位、监测指标及最低监测频次一览表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2"/>
        <w:gridCol w:w="2059"/>
        <w:gridCol w:w="4061"/>
        <w:gridCol w:w="928"/>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shd w:val="clear" w:color="auto" w:fill="auto"/>
            <w:vAlign w:val="center"/>
          </w:tcPr>
          <w:p>
            <w:pPr>
              <w:pStyle w:val="42"/>
            </w:pPr>
            <w:r>
              <w:t>分类</w:t>
            </w:r>
          </w:p>
        </w:tc>
        <w:tc>
          <w:tcPr>
            <w:tcW w:w="1231" w:type="pct"/>
            <w:shd w:val="clear" w:color="auto" w:fill="auto"/>
            <w:vAlign w:val="center"/>
          </w:tcPr>
          <w:p>
            <w:pPr>
              <w:pStyle w:val="42"/>
            </w:pPr>
            <w:r>
              <w:t>采样点位置</w:t>
            </w:r>
          </w:p>
        </w:tc>
        <w:tc>
          <w:tcPr>
            <w:tcW w:w="2428" w:type="pct"/>
            <w:shd w:val="clear" w:color="auto" w:fill="auto"/>
            <w:vAlign w:val="center"/>
          </w:tcPr>
          <w:p>
            <w:pPr>
              <w:pStyle w:val="42"/>
            </w:pPr>
            <w:r>
              <w:t>监测项目</w:t>
            </w:r>
          </w:p>
        </w:tc>
        <w:tc>
          <w:tcPr>
            <w:tcW w:w="555" w:type="pct"/>
            <w:shd w:val="clear" w:color="auto" w:fill="auto"/>
            <w:vAlign w:val="center"/>
          </w:tcPr>
          <w:p>
            <w:pPr>
              <w:pStyle w:val="42"/>
            </w:pPr>
            <w:r>
              <w:t>频率</w:t>
            </w:r>
          </w:p>
        </w:tc>
        <w:tc>
          <w:tcPr>
            <w:tcW w:w="390" w:type="pct"/>
            <w:shd w:val="clear" w:color="auto" w:fill="auto"/>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vMerge w:val="restart"/>
            <w:shd w:val="clear" w:color="auto" w:fill="auto"/>
            <w:vAlign w:val="center"/>
          </w:tcPr>
          <w:p>
            <w:pPr>
              <w:pStyle w:val="42"/>
            </w:pPr>
            <w:r>
              <w:t>废气</w:t>
            </w:r>
          </w:p>
        </w:tc>
        <w:tc>
          <w:tcPr>
            <w:tcW w:w="1231" w:type="pct"/>
            <w:shd w:val="clear" w:color="auto" w:fill="auto"/>
            <w:vAlign w:val="center"/>
          </w:tcPr>
          <w:p>
            <w:pPr>
              <w:pStyle w:val="42"/>
            </w:pPr>
            <w:r>
              <w:rPr>
                <w:rFonts w:hint="eastAsia"/>
              </w:rPr>
              <w:t>一段转化炉排气筒</w:t>
            </w:r>
          </w:p>
        </w:tc>
        <w:tc>
          <w:tcPr>
            <w:tcW w:w="2428" w:type="pct"/>
            <w:shd w:val="clear" w:color="auto" w:fill="auto"/>
            <w:vAlign w:val="center"/>
          </w:tcPr>
          <w:p>
            <w:pPr>
              <w:pStyle w:val="42"/>
            </w:pPr>
            <w:r>
              <w:rPr>
                <w:rFonts w:hint="eastAsia"/>
              </w:rPr>
              <w:t>颗粒物、氮氧化物、氨、甲醇和非甲烷总烃</w:t>
            </w:r>
          </w:p>
        </w:tc>
        <w:tc>
          <w:tcPr>
            <w:tcW w:w="555" w:type="pct"/>
            <w:shd w:val="clear" w:color="auto" w:fill="auto"/>
            <w:vAlign w:val="center"/>
          </w:tcPr>
          <w:p>
            <w:pPr>
              <w:pStyle w:val="42"/>
            </w:pPr>
            <w:r>
              <w:rPr>
                <w:rFonts w:hint="eastAsia"/>
              </w:rPr>
              <w:t>1次/季度</w:t>
            </w:r>
          </w:p>
        </w:tc>
        <w:tc>
          <w:tcPr>
            <w:tcW w:w="390" w:type="pct"/>
            <w:vMerge w:val="restart"/>
            <w:shd w:val="clear" w:color="auto" w:fill="auto"/>
            <w:vAlign w:val="center"/>
          </w:tcPr>
          <w:p>
            <w:pPr>
              <w:pStyle w:val="42"/>
            </w:pPr>
            <w:r>
              <w:t>非正常情况均另外加测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vMerge w:val="continue"/>
            <w:shd w:val="clear" w:color="auto" w:fill="auto"/>
            <w:vAlign w:val="center"/>
          </w:tcPr>
          <w:p>
            <w:pPr>
              <w:pStyle w:val="42"/>
            </w:pPr>
          </w:p>
        </w:tc>
        <w:tc>
          <w:tcPr>
            <w:tcW w:w="1231" w:type="pct"/>
            <w:shd w:val="clear" w:color="auto" w:fill="auto"/>
            <w:vAlign w:val="center"/>
          </w:tcPr>
          <w:p>
            <w:pPr>
              <w:pStyle w:val="42"/>
            </w:pPr>
            <w:r>
              <w:rPr>
                <w:rFonts w:hint="eastAsia"/>
              </w:rPr>
              <w:t>废水处理站臭气排气筒</w:t>
            </w:r>
          </w:p>
        </w:tc>
        <w:tc>
          <w:tcPr>
            <w:tcW w:w="2428" w:type="pct"/>
            <w:shd w:val="clear" w:color="auto" w:fill="auto"/>
            <w:vAlign w:val="center"/>
          </w:tcPr>
          <w:p>
            <w:pPr>
              <w:pStyle w:val="42"/>
            </w:pPr>
            <w:r>
              <w:rPr>
                <w:rFonts w:hint="eastAsia"/>
              </w:rPr>
              <w:t>硫化氢、氨</w:t>
            </w:r>
          </w:p>
        </w:tc>
        <w:tc>
          <w:tcPr>
            <w:tcW w:w="555" w:type="pct"/>
            <w:shd w:val="clear" w:color="auto" w:fill="auto"/>
            <w:vAlign w:val="center"/>
          </w:tcPr>
          <w:p>
            <w:pPr>
              <w:pStyle w:val="42"/>
            </w:pPr>
            <w:r>
              <w:rPr>
                <w:rFonts w:hint="eastAsia"/>
              </w:rPr>
              <w:t>1次/半年</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vMerge w:val="continue"/>
            <w:shd w:val="clear" w:color="auto" w:fill="auto"/>
            <w:vAlign w:val="center"/>
          </w:tcPr>
          <w:p>
            <w:pPr>
              <w:pStyle w:val="42"/>
            </w:pPr>
          </w:p>
        </w:tc>
        <w:tc>
          <w:tcPr>
            <w:tcW w:w="1231" w:type="pct"/>
            <w:shd w:val="clear" w:color="auto" w:fill="auto"/>
            <w:vAlign w:val="center"/>
          </w:tcPr>
          <w:p>
            <w:pPr>
              <w:pStyle w:val="42"/>
            </w:pPr>
            <w:r>
              <w:rPr>
                <w:rFonts w:hint="eastAsia"/>
              </w:rPr>
              <w:t>厂界无组织排放废气</w:t>
            </w:r>
          </w:p>
        </w:tc>
        <w:tc>
          <w:tcPr>
            <w:tcW w:w="2428" w:type="pct"/>
            <w:shd w:val="clear" w:color="auto" w:fill="auto"/>
            <w:vAlign w:val="center"/>
          </w:tcPr>
          <w:p>
            <w:pPr>
              <w:pStyle w:val="42"/>
            </w:pPr>
            <w:r>
              <w:rPr>
                <w:rFonts w:hint="eastAsia"/>
              </w:rPr>
              <w:t>NH</w:t>
            </w:r>
            <w:r>
              <w:rPr>
                <w:rFonts w:hint="eastAsia"/>
                <w:vertAlign w:val="subscript"/>
              </w:rPr>
              <w:t>3</w:t>
            </w:r>
            <w:r>
              <w:rPr>
                <w:rFonts w:hint="eastAsia"/>
              </w:rPr>
              <w:t>、非甲烷总烃、臭气浓度</w:t>
            </w:r>
          </w:p>
        </w:tc>
        <w:tc>
          <w:tcPr>
            <w:tcW w:w="555" w:type="pct"/>
            <w:shd w:val="clear" w:color="auto" w:fill="auto"/>
            <w:vAlign w:val="center"/>
          </w:tcPr>
          <w:p>
            <w:pPr>
              <w:pStyle w:val="42"/>
            </w:pPr>
            <w:r>
              <w:rPr>
                <w:rFonts w:hint="eastAsia"/>
              </w:rPr>
              <w:t>1次/季度</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396" w:type="pct"/>
            <w:vMerge w:val="restart"/>
            <w:shd w:val="clear" w:color="auto" w:fill="auto"/>
            <w:vAlign w:val="center"/>
          </w:tcPr>
          <w:p>
            <w:pPr>
              <w:pStyle w:val="42"/>
            </w:pPr>
            <w:r>
              <w:t>废水</w:t>
            </w:r>
          </w:p>
        </w:tc>
        <w:tc>
          <w:tcPr>
            <w:tcW w:w="1231" w:type="pct"/>
            <w:vMerge w:val="restart"/>
            <w:shd w:val="clear" w:color="auto" w:fill="auto"/>
            <w:vAlign w:val="center"/>
          </w:tcPr>
          <w:p>
            <w:pPr>
              <w:pStyle w:val="42"/>
            </w:pPr>
            <w:r>
              <w:rPr>
                <w:rFonts w:hint="eastAsia"/>
              </w:rPr>
              <w:t>废水总排放口</w:t>
            </w:r>
          </w:p>
        </w:tc>
        <w:tc>
          <w:tcPr>
            <w:tcW w:w="2428" w:type="pct"/>
            <w:shd w:val="clear" w:color="auto" w:fill="auto"/>
            <w:vAlign w:val="center"/>
          </w:tcPr>
          <w:p>
            <w:pPr>
              <w:pStyle w:val="42"/>
            </w:pPr>
            <w:r>
              <w:t>流量、pH、COD、NH</w:t>
            </w:r>
            <w:r>
              <w:rPr>
                <w:vertAlign w:val="subscript"/>
              </w:rPr>
              <w:t>3</w:t>
            </w:r>
            <w:r>
              <w:t>-N</w:t>
            </w:r>
          </w:p>
        </w:tc>
        <w:tc>
          <w:tcPr>
            <w:tcW w:w="555" w:type="pct"/>
            <w:shd w:val="clear" w:color="auto" w:fill="auto"/>
            <w:vAlign w:val="center"/>
          </w:tcPr>
          <w:p>
            <w:pPr>
              <w:pStyle w:val="42"/>
            </w:pPr>
            <w:r>
              <w:rPr>
                <w:rFonts w:hint="eastAsia"/>
              </w:rPr>
              <w:t>在线监测</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396" w:type="pct"/>
            <w:vMerge w:val="continue"/>
            <w:shd w:val="clear" w:color="auto" w:fill="auto"/>
            <w:vAlign w:val="center"/>
          </w:tcPr>
          <w:p>
            <w:pPr>
              <w:pStyle w:val="42"/>
            </w:pPr>
          </w:p>
        </w:tc>
        <w:tc>
          <w:tcPr>
            <w:tcW w:w="1231" w:type="pct"/>
            <w:vMerge w:val="continue"/>
            <w:shd w:val="clear" w:color="auto" w:fill="auto"/>
            <w:vAlign w:val="center"/>
          </w:tcPr>
          <w:p>
            <w:pPr>
              <w:pStyle w:val="42"/>
            </w:pPr>
          </w:p>
        </w:tc>
        <w:tc>
          <w:tcPr>
            <w:tcW w:w="2428" w:type="pct"/>
            <w:shd w:val="clear" w:color="auto" w:fill="auto"/>
            <w:vAlign w:val="center"/>
          </w:tcPr>
          <w:p>
            <w:pPr>
              <w:pStyle w:val="42"/>
            </w:pPr>
            <w:r>
              <w:rPr>
                <w:rFonts w:hint="eastAsia"/>
              </w:rPr>
              <w:t>悬浮物</w:t>
            </w:r>
          </w:p>
        </w:tc>
        <w:tc>
          <w:tcPr>
            <w:tcW w:w="555" w:type="pct"/>
            <w:shd w:val="clear" w:color="auto" w:fill="auto"/>
            <w:vAlign w:val="center"/>
          </w:tcPr>
          <w:p>
            <w:pPr>
              <w:pStyle w:val="42"/>
            </w:pPr>
            <w:r>
              <w:rPr>
                <w:rFonts w:hint="eastAsia"/>
              </w:rPr>
              <w:t>1次/月</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4" w:hRule="atLeast"/>
          <w:jc w:val="center"/>
        </w:trPr>
        <w:tc>
          <w:tcPr>
            <w:tcW w:w="396" w:type="pct"/>
            <w:vMerge w:val="continue"/>
            <w:shd w:val="clear" w:color="auto" w:fill="auto"/>
            <w:vAlign w:val="center"/>
          </w:tcPr>
          <w:p>
            <w:pPr>
              <w:pStyle w:val="42"/>
            </w:pPr>
          </w:p>
        </w:tc>
        <w:tc>
          <w:tcPr>
            <w:tcW w:w="1231" w:type="pct"/>
            <w:vMerge w:val="continue"/>
            <w:shd w:val="clear" w:color="auto" w:fill="auto"/>
            <w:vAlign w:val="center"/>
          </w:tcPr>
          <w:p>
            <w:pPr>
              <w:pStyle w:val="42"/>
            </w:pPr>
          </w:p>
        </w:tc>
        <w:tc>
          <w:tcPr>
            <w:tcW w:w="2428" w:type="pct"/>
            <w:shd w:val="clear" w:color="auto" w:fill="auto"/>
            <w:vAlign w:val="center"/>
          </w:tcPr>
          <w:p>
            <w:pPr>
              <w:pStyle w:val="42"/>
            </w:pPr>
            <w:r>
              <w:rPr>
                <w:rFonts w:hint="eastAsia"/>
              </w:rPr>
              <w:t>石油类</w:t>
            </w:r>
          </w:p>
        </w:tc>
        <w:tc>
          <w:tcPr>
            <w:tcW w:w="555" w:type="pct"/>
            <w:shd w:val="clear" w:color="auto" w:fill="auto"/>
            <w:vAlign w:val="center"/>
          </w:tcPr>
          <w:p>
            <w:pPr>
              <w:pStyle w:val="42"/>
            </w:pPr>
            <w:r>
              <w:rPr>
                <w:rFonts w:hint="eastAsia"/>
              </w:rPr>
              <w:t>1次/季度</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2" w:hRule="atLeast"/>
          <w:jc w:val="center"/>
        </w:trPr>
        <w:tc>
          <w:tcPr>
            <w:tcW w:w="396" w:type="pct"/>
            <w:vMerge w:val="continue"/>
            <w:shd w:val="clear" w:color="auto" w:fill="auto"/>
            <w:vAlign w:val="center"/>
          </w:tcPr>
          <w:p>
            <w:pPr>
              <w:pStyle w:val="42"/>
            </w:pPr>
          </w:p>
        </w:tc>
        <w:tc>
          <w:tcPr>
            <w:tcW w:w="1231" w:type="pct"/>
            <w:shd w:val="clear" w:color="auto" w:fill="auto"/>
            <w:vAlign w:val="center"/>
          </w:tcPr>
          <w:p>
            <w:pPr>
              <w:pStyle w:val="42"/>
            </w:pPr>
            <w:r>
              <w:rPr>
                <w:rFonts w:hint="eastAsia"/>
              </w:rPr>
              <w:t>雨水排放口</w:t>
            </w:r>
          </w:p>
        </w:tc>
        <w:tc>
          <w:tcPr>
            <w:tcW w:w="2428" w:type="pct"/>
            <w:shd w:val="clear" w:color="auto" w:fill="auto"/>
            <w:vAlign w:val="center"/>
          </w:tcPr>
          <w:p>
            <w:pPr>
              <w:pStyle w:val="42"/>
            </w:pPr>
            <w:r>
              <w:t>pH、COD、NH</w:t>
            </w:r>
            <w:r>
              <w:rPr>
                <w:vertAlign w:val="subscript"/>
              </w:rPr>
              <w:t>3</w:t>
            </w:r>
            <w:r>
              <w:t>-N</w:t>
            </w:r>
            <w:r>
              <w:rPr>
                <w:rFonts w:hint="eastAsia"/>
              </w:rPr>
              <w:t>、悬浮物、石油类</w:t>
            </w:r>
          </w:p>
        </w:tc>
        <w:tc>
          <w:tcPr>
            <w:tcW w:w="555" w:type="pct"/>
            <w:shd w:val="clear" w:color="auto" w:fill="auto"/>
            <w:vAlign w:val="center"/>
          </w:tcPr>
          <w:p>
            <w:pPr>
              <w:pStyle w:val="42"/>
            </w:pPr>
            <w:r>
              <w:t>1次/日*</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shd w:val="clear" w:color="auto" w:fill="auto"/>
            <w:vAlign w:val="center"/>
          </w:tcPr>
          <w:p>
            <w:pPr>
              <w:pStyle w:val="42"/>
            </w:pPr>
            <w:r>
              <w:t>噪声</w:t>
            </w:r>
          </w:p>
        </w:tc>
        <w:tc>
          <w:tcPr>
            <w:tcW w:w="1231" w:type="pct"/>
            <w:shd w:val="clear" w:color="auto" w:fill="auto"/>
            <w:vAlign w:val="center"/>
          </w:tcPr>
          <w:p>
            <w:pPr>
              <w:pStyle w:val="42"/>
            </w:pPr>
            <w:r>
              <w:rPr>
                <w:rFonts w:hint="eastAsia"/>
              </w:rPr>
              <w:t>各</w:t>
            </w:r>
            <w:r>
              <w:t>厂界</w:t>
            </w:r>
          </w:p>
          <w:p>
            <w:pPr>
              <w:pStyle w:val="42"/>
            </w:pPr>
            <w:r>
              <w:t>（东、南、西、北）</w:t>
            </w:r>
          </w:p>
        </w:tc>
        <w:tc>
          <w:tcPr>
            <w:tcW w:w="2428" w:type="pct"/>
            <w:shd w:val="clear" w:color="auto" w:fill="auto"/>
            <w:vAlign w:val="center"/>
          </w:tcPr>
          <w:p>
            <w:pPr>
              <w:pStyle w:val="42"/>
            </w:pPr>
            <w:r>
              <w:rPr>
                <w:rFonts w:hint="eastAsia"/>
              </w:rPr>
              <w:t>昼间、夜间</w:t>
            </w:r>
            <w:r>
              <w:t>等效A声级</w:t>
            </w:r>
          </w:p>
        </w:tc>
        <w:tc>
          <w:tcPr>
            <w:tcW w:w="555" w:type="pct"/>
            <w:shd w:val="clear" w:color="auto" w:fill="auto"/>
            <w:vAlign w:val="center"/>
          </w:tcPr>
          <w:p>
            <w:pPr>
              <w:pStyle w:val="42"/>
            </w:pPr>
            <w:r>
              <w:t>1次/</w:t>
            </w:r>
            <w:r>
              <w:rPr>
                <w:rFonts w:hint="eastAsia"/>
              </w:rPr>
              <w:t>季度</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shd w:val="clear" w:color="auto" w:fill="auto"/>
            <w:vAlign w:val="center"/>
          </w:tcPr>
          <w:p>
            <w:pPr>
              <w:pStyle w:val="42"/>
            </w:pPr>
            <w:r>
              <w:rPr>
                <w:rFonts w:hint="eastAsia"/>
              </w:rPr>
              <w:t>地下水</w:t>
            </w:r>
          </w:p>
        </w:tc>
        <w:tc>
          <w:tcPr>
            <w:tcW w:w="1231" w:type="pct"/>
            <w:shd w:val="clear" w:color="auto" w:fill="auto"/>
            <w:vAlign w:val="center"/>
          </w:tcPr>
          <w:p>
            <w:pPr>
              <w:pStyle w:val="42"/>
            </w:pPr>
            <w:r>
              <w:t>厂区地下水环境影响跟踪监测井、场地上游背景值监控井、场地下游污染扩散监控井各一个，共计3个监控井</w:t>
            </w:r>
          </w:p>
        </w:tc>
        <w:tc>
          <w:tcPr>
            <w:tcW w:w="2428" w:type="pct"/>
            <w:shd w:val="clear" w:color="auto" w:fill="auto"/>
            <w:vAlign w:val="center"/>
          </w:tcPr>
          <w:p>
            <w:pPr>
              <w:pStyle w:val="42"/>
            </w:pPr>
            <w:r>
              <w:rPr>
                <w:rFonts w:eastAsiaTheme="minorEastAsia"/>
              </w:rPr>
              <w:t>pH、总硬度、溶解性总固体、高锰酸盐指数</w:t>
            </w:r>
          </w:p>
        </w:tc>
        <w:tc>
          <w:tcPr>
            <w:tcW w:w="555" w:type="pct"/>
            <w:shd w:val="clear" w:color="auto" w:fill="auto"/>
            <w:vAlign w:val="center"/>
          </w:tcPr>
          <w:p>
            <w:pPr>
              <w:pStyle w:val="42"/>
            </w:pPr>
            <w:r>
              <w:rPr>
                <w:rFonts w:hint="eastAsia"/>
              </w:rPr>
              <w:t>1次/年</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shd w:val="clear" w:color="auto" w:fill="auto"/>
            <w:vAlign w:val="center"/>
          </w:tcPr>
          <w:p>
            <w:pPr>
              <w:pStyle w:val="42"/>
            </w:pPr>
            <w:r>
              <w:rPr>
                <w:rFonts w:hint="eastAsia"/>
              </w:rPr>
              <w:t>土壤</w:t>
            </w:r>
          </w:p>
        </w:tc>
        <w:tc>
          <w:tcPr>
            <w:tcW w:w="1231" w:type="pct"/>
            <w:shd w:val="clear" w:color="auto" w:fill="auto"/>
            <w:vAlign w:val="center"/>
          </w:tcPr>
          <w:p>
            <w:pPr>
              <w:pStyle w:val="42"/>
            </w:pPr>
            <w:r>
              <w:rPr>
                <w:rFonts w:hint="eastAsia"/>
              </w:rPr>
              <w:t>合成氨装置区旁设置跟踪监测点1个</w:t>
            </w:r>
          </w:p>
        </w:tc>
        <w:tc>
          <w:tcPr>
            <w:tcW w:w="2428" w:type="pct"/>
            <w:shd w:val="clear" w:color="auto" w:fill="auto"/>
            <w:vAlign w:val="center"/>
          </w:tcPr>
          <w:p>
            <w:pPr>
              <w:pStyle w:val="42"/>
              <w:rPr>
                <w:rFonts w:eastAsiaTheme="minorEastAsia"/>
              </w:rPr>
            </w:pPr>
            <w:r>
              <w:rPr>
                <w:rFonts w:hint="eastAsia" w:eastAsiaTheme="minorEastAsia"/>
              </w:rPr>
              <w:t>石油烃</w:t>
            </w:r>
          </w:p>
        </w:tc>
        <w:tc>
          <w:tcPr>
            <w:tcW w:w="555" w:type="pct"/>
            <w:shd w:val="clear" w:color="auto" w:fill="auto"/>
            <w:vAlign w:val="center"/>
          </w:tcPr>
          <w:p>
            <w:pPr>
              <w:pStyle w:val="42"/>
            </w:pPr>
            <w:r>
              <w:rPr>
                <w:rFonts w:hint="eastAsia"/>
              </w:rPr>
              <w:t>1次/5年</w:t>
            </w:r>
          </w:p>
        </w:tc>
        <w:tc>
          <w:tcPr>
            <w:tcW w:w="390"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pct"/>
            <w:shd w:val="clear" w:color="auto" w:fill="auto"/>
            <w:vAlign w:val="center"/>
          </w:tcPr>
          <w:p>
            <w:pPr>
              <w:pStyle w:val="42"/>
            </w:pPr>
            <w:r>
              <w:t>固废</w:t>
            </w:r>
          </w:p>
        </w:tc>
        <w:tc>
          <w:tcPr>
            <w:tcW w:w="1231" w:type="pct"/>
            <w:shd w:val="clear" w:color="auto" w:fill="auto"/>
            <w:vAlign w:val="center"/>
          </w:tcPr>
          <w:p>
            <w:pPr>
              <w:pStyle w:val="42"/>
            </w:pPr>
            <w:r>
              <w:t>危废暂存点</w:t>
            </w:r>
          </w:p>
        </w:tc>
        <w:tc>
          <w:tcPr>
            <w:tcW w:w="2428" w:type="pct"/>
            <w:shd w:val="clear" w:color="auto" w:fill="auto"/>
            <w:vAlign w:val="center"/>
          </w:tcPr>
          <w:p>
            <w:pPr>
              <w:pStyle w:val="42"/>
            </w:pPr>
            <w:r>
              <w:rPr>
                <w:rFonts w:hint="eastAsia"/>
              </w:rPr>
              <w:t>废催化剂、废脱硫剂、废吸附剂和废活性炭等</w:t>
            </w:r>
          </w:p>
        </w:tc>
        <w:tc>
          <w:tcPr>
            <w:tcW w:w="555" w:type="pct"/>
            <w:shd w:val="clear" w:color="auto" w:fill="auto"/>
            <w:vAlign w:val="center"/>
          </w:tcPr>
          <w:p>
            <w:pPr>
              <w:pStyle w:val="42"/>
            </w:pPr>
            <w:r>
              <w:rPr>
                <w:rFonts w:hint="eastAsia"/>
              </w:rPr>
              <w:t>连续</w:t>
            </w:r>
          </w:p>
        </w:tc>
        <w:tc>
          <w:tcPr>
            <w:tcW w:w="390" w:type="pct"/>
            <w:shd w:val="clear" w:color="auto" w:fill="auto"/>
            <w:vAlign w:val="center"/>
          </w:tcPr>
          <w:p>
            <w:pPr>
              <w:pStyle w:val="42"/>
            </w:pPr>
            <w:r>
              <w:t>分类</w:t>
            </w:r>
          </w:p>
          <w:p>
            <w:pPr>
              <w:pStyle w:val="42"/>
            </w:pPr>
            <w: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000" w:type="pct"/>
            <w:gridSpan w:val="5"/>
            <w:shd w:val="clear" w:color="auto" w:fill="auto"/>
            <w:vAlign w:val="center"/>
          </w:tcPr>
          <w:p>
            <w:pPr>
              <w:pStyle w:val="42"/>
              <w:jc w:val="left"/>
            </w:pPr>
            <w:r>
              <w:t>*雨水排放口有流动水排放时按日监测。</w:t>
            </w:r>
          </w:p>
        </w:tc>
      </w:tr>
    </w:tbl>
    <w:p>
      <w:pPr>
        <w:pStyle w:val="4"/>
        <w:spacing w:before="163" w:after="163"/>
      </w:pPr>
      <w:bookmarkStart w:id="202" w:name="_Toc84844363"/>
      <w:r>
        <w:rPr>
          <w:rFonts w:hint="eastAsia"/>
        </w:rPr>
        <w:t>9.3.4监测方法和监测单位</w:t>
      </w:r>
      <w:bookmarkEnd w:id="202"/>
    </w:p>
    <w:p>
      <w:pPr>
        <w:ind w:firstLine="480"/>
      </w:pPr>
      <w:r>
        <w:rPr>
          <w:rFonts w:hint="eastAsia"/>
        </w:rPr>
        <w:t>根据拟建项目的环境保护工作实际情况，项目在生产过程中主要的环境问题是其生产废水、废气、废渣及噪声的治理。建设单位应结合生产车间的日常运行管理，废气、废水、噪声等污染源监测工作，可委托有资质的环境监测机构承担。环境监测方法，按国家颁布的现行环境监测及污染源监测技术规范内容执行。委托外单位对企业污染源进行监测应主动承担相应的监测费。</w:t>
      </w:r>
    </w:p>
    <w:p>
      <w:pPr>
        <w:pStyle w:val="3"/>
        <w:spacing w:before="163" w:after="163"/>
      </w:pPr>
      <w:bookmarkStart w:id="203" w:name="_Toc84844364"/>
      <w:r>
        <w:rPr>
          <w:rFonts w:hint="eastAsia"/>
        </w:rPr>
        <w:t>9.4污染物排放清单</w:t>
      </w:r>
      <w:bookmarkEnd w:id="203"/>
    </w:p>
    <w:p>
      <w:pPr>
        <w:pStyle w:val="4"/>
        <w:spacing w:before="163" w:after="163"/>
      </w:pPr>
      <w:bookmarkStart w:id="204" w:name="_Toc84844365"/>
      <w:r>
        <w:rPr>
          <w:rFonts w:hint="eastAsia"/>
        </w:rPr>
        <w:t>9.4.1项目组成</w:t>
      </w:r>
      <w:bookmarkEnd w:id="204"/>
    </w:p>
    <w:p>
      <w:pPr>
        <w:ind w:firstLine="480"/>
      </w:pPr>
      <w:r>
        <w:rPr>
          <w:rFonts w:hint="eastAsia"/>
        </w:rPr>
        <w:t>拟建项目主要组成详见表9.4-1。</w:t>
      </w:r>
    </w:p>
    <w:p>
      <w:pPr>
        <w:pStyle w:val="41"/>
      </w:pPr>
      <w:r>
        <w:rPr>
          <w:rFonts w:hint="eastAsia"/>
        </w:rPr>
        <w:t>表9.4-1 拟建项目主要建设内容及依托设施</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559"/>
        <w:gridCol w:w="510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pStyle w:val="42"/>
              <w:adjustRightInd w:val="0"/>
              <w:ind w:firstLine="480"/>
              <w:textAlignment w:val="baseline"/>
            </w:pPr>
            <w:r>
              <w:rPr>
                <w:rFonts w:hint="eastAsia"/>
              </w:rPr>
              <w:t>项目组成</w:t>
            </w:r>
          </w:p>
        </w:tc>
        <w:tc>
          <w:tcPr>
            <w:tcW w:w="6662" w:type="dxa"/>
            <w:gridSpan w:val="2"/>
            <w:vAlign w:val="center"/>
          </w:tcPr>
          <w:p>
            <w:pPr>
              <w:pStyle w:val="42"/>
              <w:adjustRightInd w:val="0"/>
              <w:textAlignment w:val="baseline"/>
            </w:pPr>
            <w:r>
              <w:rPr>
                <w:rFonts w:hint="eastAsia"/>
              </w:rPr>
              <w:t>主要建设内容及规模</w:t>
            </w:r>
          </w:p>
        </w:tc>
        <w:tc>
          <w:tcPr>
            <w:tcW w:w="759" w:type="dxa"/>
            <w:vAlign w:val="center"/>
          </w:tcPr>
          <w:p>
            <w:pPr>
              <w:pStyle w:val="42"/>
              <w:adjustRightInd w:val="0"/>
              <w:textAlignment w:val="baseline"/>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主体工程</w:t>
            </w:r>
          </w:p>
        </w:tc>
        <w:tc>
          <w:tcPr>
            <w:tcW w:w="1559" w:type="dxa"/>
            <w:vAlign w:val="center"/>
          </w:tcPr>
          <w:p>
            <w:pPr>
              <w:pStyle w:val="42"/>
              <w:adjustRightInd w:val="0"/>
              <w:textAlignment w:val="baseline"/>
            </w:pPr>
            <w:r>
              <w:rPr>
                <w:rFonts w:hint="eastAsia"/>
              </w:rPr>
              <w:t>合成氨生产装置</w:t>
            </w:r>
          </w:p>
        </w:tc>
        <w:tc>
          <w:tcPr>
            <w:tcW w:w="5103" w:type="dxa"/>
            <w:vAlign w:val="center"/>
          </w:tcPr>
          <w:p>
            <w:pPr>
              <w:pStyle w:val="42"/>
              <w:adjustRightInd w:val="0"/>
              <w:textAlignment w:val="baseline"/>
            </w:pPr>
            <w:r>
              <w:rPr>
                <w:rFonts w:hint="eastAsia"/>
              </w:rPr>
              <w:t>建筑面积：21679m</w:t>
            </w:r>
            <w:r>
              <w:rPr>
                <w:rFonts w:hint="eastAsia"/>
                <w:vertAlign w:val="superscript"/>
              </w:rPr>
              <w:t>2</w:t>
            </w:r>
            <w:r>
              <w:rPr>
                <w:rFonts w:hint="eastAsia"/>
              </w:rPr>
              <w:t>，设置合成氨生产线1条，包括：天然气脱硫、一段转化和高温变换工序，驰放气膜分离工序，PSA脱碳提氢工序，氨合成工序，生产规模20万t/a。</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CO</w:t>
            </w:r>
            <w:r>
              <w:rPr>
                <w:rFonts w:hint="eastAsia"/>
                <w:vertAlign w:val="subscript"/>
              </w:rPr>
              <w:t>2</w:t>
            </w:r>
            <w:r>
              <w:rPr>
                <w:rFonts w:hint="eastAsia"/>
              </w:rPr>
              <w:t>回收装置</w:t>
            </w:r>
          </w:p>
        </w:tc>
        <w:tc>
          <w:tcPr>
            <w:tcW w:w="5103" w:type="dxa"/>
            <w:vAlign w:val="center"/>
          </w:tcPr>
          <w:p>
            <w:pPr>
              <w:pStyle w:val="42"/>
              <w:adjustRightInd w:val="0"/>
              <w:textAlignment w:val="baseline"/>
            </w:pPr>
            <w:r>
              <w:rPr>
                <w:rFonts w:hint="eastAsia"/>
              </w:rPr>
              <w:t>建筑面积：630m</w:t>
            </w:r>
            <w:r>
              <w:rPr>
                <w:rFonts w:hint="eastAsia"/>
                <w:vertAlign w:val="superscript"/>
              </w:rPr>
              <w:t>2</w:t>
            </w:r>
            <w:r>
              <w:rPr>
                <w:rFonts w:hint="eastAsia"/>
              </w:rPr>
              <w:t>，设置CO</w:t>
            </w:r>
            <w:r>
              <w:rPr>
                <w:rFonts w:hint="eastAsia"/>
                <w:vertAlign w:val="subscript"/>
              </w:rPr>
              <w:t>2</w:t>
            </w:r>
            <w:r>
              <w:rPr>
                <w:rFonts w:hint="eastAsia"/>
              </w:rPr>
              <w:t>回收生产线1条，包括：CO</w:t>
            </w:r>
            <w:r>
              <w:rPr>
                <w:rFonts w:hint="eastAsia"/>
                <w:vertAlign w:val="subscript"/>
              </w:rPr>
              <w:t>2</w:t>
            </w:r>
            <w:r>
              <w:rPr>
                <w:rFonts w:hint="eastAsia"/>
              </w:rPr>
              <w:t>提纯、干燥和液化等工序</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辅助工程</w:t>
            </w:r>
          </w:p>
        </w:tc>
        <w:tc>
          <w:tcPr>
            <w:tcW w:w="1559" w:type="dxa"/>
            <w:vAlign w:val="center"/>
          </w:tcPr>
          <w:p>
            <w:pPr>
              <w:pStyle w:val="42"/>
              <w:adjustRightInd w:val="0"/>
              <w:textAlignment w:val="baseline"/>
            </w:pPr>
            <w:r>
              <w:rPr>
                <w:rFonts w:hint="eastAsia"/>
              </w:rPr>
              <w:t>综合楼</w:t>
            </w:r>
          </w:p>
        </w:tc>
        <w:tc>
          <w:tcPr>
            <w:tcW w:w="5103" w:type="dxa"/>
            <w:vAlign w:val="center"/>
          </w:tcPr>
          <w:p>
            <w:pPr>
              <w:pStyle w:val="42"/>
              <w:adjustRightInd w:val="0"/>
              <w:textAlignment w:val="baseline"/>
            </w:pPr>
            <w:r>
              <w:rPr>
                <w:rFonts w:hint="eastAsia"/>
              </w:rPr>
              <w:t>建筑面积：510m</w:t>
            </w:r>
            <w:r>
              <w:rPr>
                <w:rFonts w:hint="eastAsia"/>
                <w:vertAlign w:val="superscript"/>
              </w:rPr>
              <w:t>2</w:t>
            </w:r>
            <w:r>
              <w:rPr>
                <w:rFonts w:hint="eastAsia"/>
              </w:rPr>
              <w:t>，主要功能为分析化验、办公</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中央控制室</w:t>
            </w:r>
          </w:p>
        </w:tc>
        <w:tc>
          <w:tcPr>
            <w:tcW w:w="5103" w:type="dxa"/>
            <w:vAlign w:val="center"/>
          </w:tcPr>
          <w:p>
            <w:pPr>
              <w:pStyle w:val="42"/>
              <w:adjustRightInd w:val="0"/>
              <w:textAlignment w:val="baseline"/>
            </w:pPr>
            <w:r>
              <w:rPr>
                <w:rFonts w:hint="eastAsia"/>
              </w:rPr>
              <w:t>建筑面积：725m</w:t>
            </w:r>
            <w:r>
              <w:rPr>
                <w:rFonts w:hint="eastAsia"/>
                <w:vertAlign w:val="superscript"/>
              </w:rPr>
              <w:t>2</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公用工程</w:t>
            </w:r>
          </w:p>
        </w:tc>
        <w:tc>
          <w:tcPr>
            <w:tcW w:w="1559" w:type="dxa"/>
            <w:vAlign w:val="center"/>
          </w:tcPr>
          <w:p>
            <w:pPr>
              <w:pStyle w:val="42"/>
              <w:adjustRightInd w:val="0"/>
              <w:textAlignment w:val="baseline"/>
            </w:pPr>
            <w:r>
              <w:rPr>
                <w:rFonts w:hint="eastAsia"/>
              </w:rPr>
              <w:t>给水</w:t>
            </w:r>
          </w:p>
        </w:tc>
        <w:tc>
          <w:tcPr>
            <w:tcW w:w="5103" w:type="dxa"/>
            <w:vAlign w:val="center"/>
          </w:tcPr>
          <w:p>
            <w:pPr>
              <w:pStyle w:val="42"/>
              <w:adjustRightInd w:val="0"/>
              <w:textAlignment w:val="baseline"/>
            </w:pPr>
            <w:r>
              <w:rPr>
                <w:rFonts w:hint="eastAsia"/>
              </w:rPr>
              <w:t>项目用水量2000.6m</w:t>
            </w:r>
            <w:r>
              <w:rPr>
                <w:rFonts w:hint="eastAsia"/>
                <w:vertAlign w:val="superscript"/>
              </w:rPr>
              <w:t>3</w:t>
            </w:r>
            <w:r>
              <w:rPr>
                <w:rFonts w:hint="eastAsia"/>
              </w:rPr>
              <w:t>/d，生产用水、生活用水和消防用水均依托园区供水系统</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排水</w:t>
            </w:r>
          </w:p>
        </w:tc>
        <w:tc>
          <w:tcPr>
            <w:tcW w:w="5103" w:type="dxa"/>
            <w:vAlign w:val="center"/>
          </w:tcPr>
          <w:p>
            <w:pPr>
              <w:pStyle w:val="42"/>
              <w:adjustRightInd w:val="0"/>
              <w:textAlignment w:val="baseline"/>
            </w:pPr>
            <w:r>
              <w:rPr>
                <w:rFonts w:hint="eastAsia"/>
              </w:rPr>
              <w:t>实施“雨污分流、污污分流”制，厂区内生活污水集中收集经“化粪池”处理后排入园区污水管网；生产废水集中收集，经厂区内废水处理站处理达标后排入园区污水管网；初期雨水集中收集排入事故池，再分批打入厂区废水处理站处理达标后排入园区污水管网，之后的雨水经“雨污切换阀”切入雨水管网，集中收集排入园区雨水系统</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供电</w:t>
            </w:r>
          </w:p>
        </w:tc>
        <w:tc>
          <w:tcPr>
            <w:tcW w:w="5103" w:type="dxa"/>
            <w:vAlign w:val="center"/>
          </w:tcPr>
          <w:p>
            <w:pPr>
              <w:pStyle w:val="42"/>
              <w:adjustRightInd w:val="0"/>
              <w:textAlignment w:val="baseline"/>
            </w:pPr>
            <w:r>
              <w:rPr>
                <w:rFonts w:hint="eastAsia"/>
              </w:rPr>
              <w:t>项目用电设备安装总容量7423kW，由恩力吉公司变电所各引入2回10KV电源作为外部电源；项目设置变电所，同时配套设置一台ORC余热发电机组，接入变电所10kV母线段作为补充电源。</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循环冷却水</w:t>
            </w:r>
          </w:p>
        </w:tc>
        <w:tc>
          <w:tcPr>
            <w:tcW w:w="5103" w:type="dxa"/>
            <w:vAlign w:val="center"/>
          </w:tcPr>
          <w:p>
            <w:pPr>
              <w:pStyle w:val="42"/>
              <w:adjustRightInd w:val="0"/>
              <w:textAlignment w:val="baseline"/>
            </w:pPr>
            <w:r>
              <w:rPr>
                <w:rFonts w:hint="eastAsia"/>
              </w:rPr>
              <w:t>项目循环冷却水用量约1020m</w:t>
            </w:r>
            <w:r>
              <w:rPr>
                <w:rFonts w:hint="eastAsia"/>
                <w:vertAlign w:val="superscript"/>
              </w:rPr>
              <w:t>3</w:t>
            </w:r>
            <w:r>
              <w:rPr>
                <w:rFonts w:hint="eastAsia"/>
              </w:rPr>
              <w:t>/h，依托恩力吉公司现有循环水系统供给，恩力吉公司现有循环水站设计规模24000m</w:t>
            </w:r>
            <w:r>
              <w:rPr>
                <w:rFonts w:hint="eastAsia"/>
                <w:vertAlign w:val="superscript"/>
              </w:rPr>
              <w:t>3</w:t>
            </w:r>
            <w:r>
              <w:rPr>
                <w:rFonts w:hint="eastAsia"/>
              </w:rPr>
              <w:t>/h</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脱盐水</w:t>
            </w:r>
          </w:p>
        </w:tc>
        <w:tc>
          <w:tcPr>
            <w:tcW w:w="5103" w:type="dxa"/>
            <w:vAlign w:val="center"/>
          </w:tcPr>
          <w:p>
            <w:pPr>
              <w:pStyle w:val="42"/>
              <w:adjustRightInd w:val="0"/>
              <w:textAlignment w:val="baseline"/>
            </w:pPr>
            <w:r>
              <w:rPr>
                <w:rFonts w:hint="eastAsia"/>
              </w:rPr>
              <w:t>项目脱盐水用量约58.76m</w:t>
            </w:r>
            <w:r>
              <w:rPr>
                <w:rFonts w:hint="eastAsia"/>
                <w:vertAlign w:val="superscript"/>
              </w:rPr>
              <w:t>3</w:t>
            </w:r>
            <w:r>
              <w:rPr>
                <w:rFonts w:hint="eastAsia"/>
              </w:rPr>
              <w:t>/h，依托恩力吉公司现有脱盐水系统供给</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供热</w:t>
            </w:r>
          </w:p>
        </w:tc>
        <w:tc>
          <w:tcPr>
            <w:tcW w:w="5103" w:type="dxa"/>
            <w:vAlign w:val="center"/>
          </w:tcPr>
          <w:p>
            <w:pPr>
              <w:pStyle w:val="42"/>
              <w:adjustRightInd w:val="0"/>
              <w:textAlignment w:val="baseline"/>
            </w:pPr>
            <w:r>
              <w:rPr>
                <w:rFonts w:hint="eastAsia"/>
              </w:rPr>
              <w:t>装置开车时蒸汽依托飞华公司供给；项目设置热交换器3台回收余热产蒸汽，供蒸汽规模分别为：50t/h、25t/h和5t/h，正常工况下可满足装置内蒸汽需求</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仪表空气</w:t>
            </w:r>
          </w:p>
        </w:tc>
        <w:tc>
          <w:tcPr>
            <w:tcW w:w="5103" w:type="dxa"/>
            <w:vAlign w:val="center"/>
          </w:tcPr>
          <w:p>
            <w:pPr>
              <w:pStyle w:val="42"/>
              <w:adjustRightInd w:val="0"/>
              <w:textAlignment w:val="baseline"/>
            </w:pPr>
            <w:r>
              <w:rPr>
                <w:rFonts w:hint="eastAsia"/>
              </w:rPr>
              <w:t>仪表空气用量约700Nm</w:t>
            </w:r>
            <w:r>
              <w:rPr>
                <w:rFonts w:hint="eastAsia"/>
                <w:vertAlign w:val="superscript"/>
              </w:rPr>
              <w:t>3</w:t>
            </w:r>
            <w:r>
              <w:rPr>
                <w:rFonts w:hint="eastAsia"/>
              </w:rPr>
              <w:t>/h，项目不设置空压站，仪表空气依托梅塞尔公司空压站供给</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环保工程</w:t>
            </w:r>
          </w:p>
        </w:tc>
        <w:tc>
          <w:tcPr>
            <w:tcW w:w="1559" w:type="dxa"/>
            <w:vAlign w:val="center"/>
          </w:tcPr>
          <w:p>
            <w:pPr>
              <w:pStyle w:val="42"/>
              <w:adjustRightInd w:val="0"/>
              <w:textAlignment w:val="baseline"/>
            </w:pPr>
            <w:r>
              <w:rPr>
                <w:rFonts w:hint="eastAsia"/>
              </w:rPr>
              <w:t>废气治理设施</w:t>
            </w:r>
          </w:p>
        </w:tc>
        <w:tc>
          <w:tcPr>
            <w:tcW w:w="5103" w:type="dxa"/>
            <w:vAlign w:val="center"/>
          </w:tcPr>
          <w:p>
            <w:pPr>
              <w:pStyle w:val="42"/>
              <w:adjustRightInd w:val="0"/>
              <w:textAlignment w:val="baseline"/>
            </w:pPr>
            <w:r>
              <w:rPr>
                <w:rFonts w:hint="eastAsia"/>
              </w:rPr>
              <w:t>氨洗塔：项目设置氨洗塔1套，闪蒸槽闪蒸气和氨分离器驰放气集中收集，排入氨洗塔采用脱盐水洗涤后，排入一段转化炉作为燃料；</w:t>
            </w:r>
          </w:p>
          <w:p>
            <w:pPr>
              <w:pStyle w:val="42"/>
              <w:adjustRightInd w:val="0"/>
              <w:textAlignment w:val="baseline"/>
            </w:pPr>
            <w:r>
              <w:rPr>
                <w:rFonts w:hint="eastAsia"/>
              </w:rPr>
              <w:t>一段转化炉燃烧烟气：集中收集60m高空排放；</w:t>
            </w:r>
          </w:p>
          <w:p>
            <w:pPr>
              <w:pStyle w:val="42"/>
              <w:adjustRightInd w:val="0"/>
              <w:textAlignment w:val="baseline"/>
            </w:pPr>
            <w:r>
              <w:rPr>
                <w:rFonts w:hint="eastAsia"/>
              </w:rPr>
              <w:t>废水处理站臭气处理、排放系统：废水处理站产臭构筑物加盖密闭，臭气集中收集，采用“活性炭吸附”处理达标后，经15m高排气筒排放；</w:t>
            </w:r>
          </w:p>
          <w:p>
            <w:pPr>
              <w:pStyle w:val="42"/>
              <w:adjustRightInd w:val="0"/>
              <w:textAlignment w:val="baseline"/>
            </w:pPr>
            <w:r>
              <w:rPr>
                <w:rFonts w:hint="eastAsia"/>
              </w:rPr>
              <w:t>事故应急火炬系统：依托重庆化医恩力吉投资有限责任公司拟建火炬系统（火炬装置计划于2022年3月31日试车）。</w:t>
            </w:r>
          </w:p>
        </w:tc>
        <w:tc>
          <w:tcPr>
            <w:tcW w:w="759" w:type="dxa"/>
            <w:vAlign w:val="center"/>
          </w:tcPr>
          <w:p>
            <w:pPr>
              <w:pStyle w:val="42"/>
              <w:adjustRightInd w:val="0"/>
              <w:textAlignment w:val="baseline"/>
            </w:pPr>
            <w:r>
              <w:rPr>
                <w:rFonts w:hint="eastAsia"/>
              </w:rPr>
              <w:t>新建+依托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废水处理设施</w:t>
            </w:r>
          </w:p>
        </w:tc>
        <w:tc>
          <w:tcPr>
            <w:tcW w:w="5103" w:type="dxa"/>
            <w:vAlign w:val="center"/>
          </w:tcPr>
          <w:p>
            <w:pPr>
              <w:pStyle w:val="42"/>
              <w:adjustRightInd w:val="0"/>
              <w:textAlignment w:val="baseline"/>
            </w:pPr>
            <w:r>
              <w:rPr>
                <w:rFonts w:hint="eastAsia"/>
              </w:rPr>
              <w:t>厂区内设置处理规模为20m</w:t>
            </w:r>
            <w:r>
              <w:rPr>
                <w:rFonts w:hint="eastAsia"/>
                <w:vertAlign w:val="superscript"/>
              </w:rPr>
              <w:t>3</w:t>
            </w:r>
            <w:r>
              <w:rPr>
                <w:rFonts w:hint="eastAsia"/>
              </w:rPr>
              <w:t>/d的废水处理站1座，采用SBR生化处理工艺</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危险废物暂存间</w:t>
            </w:r>
          </w:p>
        </w:tc>
        <w:tc>
          <w:tcPr>
            <w:tcW w:w="5103" w:type="dxa"/>
            <w:vAlign w:val="center"/>
          </w:tcPr>
          <w:p>
            <w:pPr>
              <w:pStyle w:val="42"/>
              <w:adjustRightInd w:val="0"/>
              <w:textAlignment w:val="baseline"/>
            </w:pPr>
            <w:r>
              <w:rPr>
                <w:rFonts w:hint="eastAsia"/>
              </w:rPr>
              <w:t>建筑面积：175m</w:t>
            </w:r>
            <w:r>
              <w:rPr>
                <w:rFonts w:hint="eastAsia"/>
                <w:vertAlign w:val="superscript"/>
              </w:rPr>
              <w:t>2</w:t>
            </w:r>
            <w:r>
              <w:rPr>
                <w:rFonts w:hint="eastAsia"/>
              </w:rPr>
              <w:t>，地面</w:t>
            </w:r>
            <w:r>
              <w:rPr>
                <w:rFonts w:hint="eastAsia"/>
                <w:szCs w:val="21"/>
              </w:rPr>
              <w:t>“防腐、防渗”，</w:t>
            </w:r>
            <w:r>
              <w:rPr>
                <w:rFonts w:hint="eastAsia"/>
              </w:rPr>
              <w:t>采取“防风、防雨、防晒”三防措施，配套设置导流设施</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事故池</w:t>
            </w:r>
          </w:p>
        </w:tc>
        <w:tc>
          <w:tcPr>
            <w:tcW w:w="5103" w:type="dxa"/>
            <w:vAlign w:val="center"/>
          </w:tcPr>
          <w:p>
            <w:pPr>
              <w:pStyle w:val="42"/>
              <w:adjustRightInd w:val="0"/>
              <w:textAlignment w:val="baseline"/>
            </w:pPr>
            <w:r>
              <w:rPr>
                <w:rFonts w:hint="eastAsia"/>
              </w:rPr>
              <w:t>有效容积1850m</w:t>
            </w:r>
            <w:r>
              <w:rPr>
                <w:rFonts w:hint="eastAsia"/>
                <w:vertAlign w:val="superscript"/>
              </w:rPr>
              <w:t>3</w:t>
            </w:r>
            <w:r>
              <w:rPr>
                <w:rFonts w:hint="eastAsia"/>
              </w:rPr>
              <w:t>，配套设置“雨污切换阀”</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水喷淋装置</w:t>
            </w:r>
          </w:p>
        </w:tc>
        <w:tc>
          <w:tcPr>
            <w:tcW w:w="5103" w:type="dxa"/>
            <w:vAlign w:val="center"/>
          </w:tcPr>
          <w:p>
            <w:pPr>
              <w:pStyle w:val="42"/>
              <w:adjustRightInd w:val="0"/>
              <w:textAlignment w:val="baseline"/>
            </w:pPr>
            <w:r>
              <w:rPr>
                <w:rFonts w:hint="eastAsia"/>
              </w:rPr>
              <w:t>合成氨装置区设置水喷淋吸收设施</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消防水池</w:t>
            </w:r>
          </w:p>
        </w:tc>
        <w:tc>
          <w:tcPr>
            <w:tcW w:w="5103" w:type="dxa"/>
            <w:vAlign w:val="center"/>
          </w:tcPr>
          <w:p>
            <w:pPr>
              <w:pStyle w:val="42"/>
              <w:adjustRightInd w:val="0"/>
              <w:textAlignment w:val="baseline"/>
            </w:pPr>
            <w:r>
              <w:rPr>
                <w:rFonts w:hint="eastAsia"/>
              </w:rPr>
              <w:t>依托飞华公司现有有效容积1700m</w:t>
            </w:r>
            <w:r>
              <w:rPr>
                <w:rFonts w:hint="eastAsia"/>
                <w:vertAlign w:val="superscript"/>
              </w:rPr>
              <w:t>3</w:t>
            </w:r>
            <w:r>
              <w:rPr>
                <w:rFonts w:hint="eastAsia"/>
              </w:rPr>
              <w:t>的消防水池</w:t>
            </w:r>
          </w:p>
        </w:tc>
        <w:tc>
          <w:tcPr>
            <w:tcW w:w="759" w:type="dxa"/>
            <w:vAlign w:val="center"/>
          </w:tcPr>
          <w:p>
            <w:pPr>
              <w:pStyle w:val="42"/>
              <w:adjustRightInd w:val="0"/>
              <w:textAlignment w:val="baseline"/>
            </w:pPr>
            <w:r>
              <w:rPr>
                <w:rFonts w:hint="eastAsia"/>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pStyle w:val="42"/>
              <w:adjustRightInd w:val="0"/>
              <w:textAlignment w:val="baseline"/>
            </w:pPr>
            <w:r>
              <w:rPr>
                <w:rFonts w:hint="eastAsia"/>
              </w:rPr>
              <w:t>储运工程</w:t>
            </w:r>
          </w:p>
        </w:tc>
        <w:tc>
          <w:tcPr>
            <w:tcW w:w="1559" w:type="dxa"/>
            <w:vAlign w:val="center"/>
          </w:tcPr>
          <w:p>
            <w:pPr>
              <w:pStyle w:val="42"/>
              <w:adjustRightInd w:val="0"/>
              <w:textAlignment w:val="baseline"/>
            </w:pPr>
            <w:r>
              <w:rPr>
                <w:rFonts w:hint="eastAsia"/>
              </w:rPr>
              <w:t>CO</w:t>
            </w:r>
            <w:r>
              <w:rPr>
                <w:rFonts w:hint="eastAsia"/>
                <w:vertAlign w:val="subscript"/>
              </w:rPr>
              <w:t>2</w:t>
            </w:r>
            <w:r>
              <w:rPr>
                <w:rFonts w:hint="eastAsia"/>
              </w:rPr>
              <w:t>储罐</w:t>
            </w:r>
          </w:p>
        </w:tc>
        <w:tc>
          <w:tcPr>
            <w:tcW w:w="5103" w:type="dxa"/>
            <w:vAlign w:val="center"/>
          </w:tcPr>
          <w:p>
            <w:pPr>
              <w:pStyle w:val="42"/>
              <w:adjustRightInd w:val="0"/>
              <w:textAlignment w:val="baseline"/>
            </w:pPr>
            <w:r>
              <w:rPr>
                <w:rFonts w:hint="eastAsia"/>
              </w:rPr>
              <w:t>CO</w:t>
            </w:r>
            <w:r>
              <w:rPr>
                <w:rFonts w:hint="eastAsia"/>
                <w:vertAlign w:val="subscript"/>
              </w:rPr>
              <w:t>2</w:t>
            </w:r>
            <w:r>
              <w:rPr>
                <w:rFonts w:hint="eastAsia"/>
              </w:rPr>
              <w:t>球罐3个，设计储存温度-30</w:t>
            </w:r>
            <w:r>
              <w:rPr>
                <w:rFonts w:hint="eastAsia" w:ascii="宋体" w:hAnsi="宋体"/>
              </w:rPr>
              <w:t>℃</w:t>
            </w:r>
            <w:r>
              <w:rPr>
                <w:rFonts w:hint="eastAsia"/>
              </w:rPr>
              <w:t>，储罐规模：</w:t>
            </w:r>
          </w:p>
          <w:p>
            <w:pPr>
              <w:pStyle w:val="42"/>
              <w:adjustRightInd w:val="0"/>
              <w:textAlignment w:val="baseline"/>
            </w:pPr>
            <w:r>
              <w:rPr>
                <w:rFonts w:hint="eastAsia"/>
              </w:rPr>
              <w:t>1000m</w:t>
            </w:r>
            <w:r>
              <w:rPr>
                <w:rFonts w:hint="eastAsia"/>
                <w:vertAlign w:val="superscript"/>
              </w:rPr>
              <w:t>3</w:t>
            </w:r>
            <w:r>
              <w:rPr>
                <w:rFonts w:hint="eastAsia"/>
              </w:rPr>
              <w:t>×2；650m</w:t>
            </w:r>
            <w:r>
              <w:rPr>
                <w:rFonts w:hint="eastAsia"/>
                <w:vertAlign w:val="superscript"/>
              </w:rPr>
              <w:t>3</w:t>
            </w:r>
            <w:r>
              <w:rPr>
                <w:rFonts w:hint="eastAsia"/>
              </w:rPr>
              <w:t>×1</w:t>
            </w:r>
          </w:p>
        </w:tc>
        <w:tc>
          <w:tcPr>
            <w:tcW w:w="759" w:type="dxa"/>
            <w:vAlign w:val="center"/>
          </w:tcPr>
          <w:p>
            <w:pPr>
              <w:pStyle w:val="42"/>
              <w:adjustRightInd w:val="0"/>
              <w:textAlignment w:val="baseline"/>
            </w:pPr>
            <w:r>
              <w:rPr>
                <w:rFonts w:hint="eastAsi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pStyle w:val="42"/>
              <w:adjustRightInd w:val="0"/>
              <w:textAlignment w:val="baseline"/>
            </w:pPr>
          </w:p>
        </w:tc>
        <w:tc>
          <w:tcPr>
            <w:tcW w:w="1559" w:type="dxa"/>
            <w:vAlign w:val="center"/>
          </w:tcPr>
          <w:p>
            <w:pPr>
              <w:pStyle w:val="42"/>
              <w:adjustRightInd w:val="0"/>
              <w:textAlignment w:val="baseline"/>
            </w:pPr>
            <w:r>
              <w:rPr>
                <w:rFonts w:hint="eastAsia"/>
              </w:rPr>
              <w:t>液氨输送管道</w:t>
            </w:r>
          </w:p>
        </w:tc>
        <w:tc>
          <w:tcPr>
            <w:tcW w:w="5103" w:type="dxa"/>
            <w:vAlign w:val="center"/>
          </w:tcPr>
          <w:p>
            <w:pPr>
              <w:pStyle w:val="42"/>
              <w:adjustRightInd w:val="0"/>
              <w:textAlignment w:val="baseline"/>
            </w:pPr>
            <w:r>
              <w:rPr>
                <w:rFonts w:hint="eastAsia"/>
              </w:rPr>
              <w:t>内径15cm，管材：低温碳钢，设计压力2.0MPa、温度50</w:t>
            </w:r>
            <w:r>
              <w:rPr>
                <w:rFonts w:hint="eastAsia" w:ascii="宋体" w:hAnsi="宋体"/>
              </w:rPr>
              <w:t>℃</w:t>
            </w:r>
            <w:r>
              <w:rPr>
                <w:rFonts w:hint="eastAsia"/>
              </w:rPr>
              <w:t>，操作压力1.6MPa、温度10</w:t>
            </w:r>
            <w:r>
              <w:rPr>
                <w:rFonts w:hint="eastAsia" w:ascii="宋体" w:hAnsi="宋体"/>
              </w:rPr>
              <w:t>℃</w:t>
            </w:r>
          </w:p>
        </w:tc>
        <w:tc>
          <w:tcPr>
            <w:tcW w:w="759" w:type="dxa"/>
            <w:vAlign w:val="center"/>
          </w:tcPr>
          <w:p>
            <w:pPr>
              <w:pStyle w:val="42"/>
              <w:adjustRightInd w:val="0"/>
              <w:textAlignment w:val="baseline"/>
            </w:pPr>
            <w:r>
              <w:rPr>
                <w:rFonts w:hint="eastAsia"/>
              </w:rPr>
              <w:t>新建</w:t>
            </w:r>
          </w:p>
        </w:tc>
      </w:tr>
    </w:tbl>
    <w:p>
      <w:pPr>
        <w:pStyle w:val="4"/>
        <w:spacing w:before="163" w:after="163"/>
      </w:pPr>
      <w:bookmarkStart w:id="205" w:name="_Toc84844366"/>
      <w:r>
        <w:rPr>
          <w:rFonts w:hint="eastAsia"/>
        </w:rPr>
        <w:t>9.4.2主要原辅材料组分</w:t>
      </w:r>
      <w:bookmarkEnd w:id="205"/>
    </w:p>
    <w:p>
      <w:pPr>
        <w:ind w:firstLine="480"/>
      </w:pPr>
      <w:r>
        <w:rPr>
          <w:rFonts w:hint="eastAsia"/>
        </w:rPr>
        <w:t>拟建项目各产品主要原辅料组分详见下表9.4-2。</w:t>
      </w:r>
    </w:p>
    <w:p>
      <w:pPr>
        <w:pStyle w:val="41"/>
      </w:pPr>
      <w:r>
        <w:rPr>
          <w:rFonts w:hint="eastAsia"/>
        </w:rPr>
        <w:t>表9.4-2  拟建项目原辅材料组成一览表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408"/>
        <w:gridCol w:w="1601"/>
        <w:gridCol w:w="1408"/>
        <w:gridCol w:w="1981"/>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名称</w:t>
            </w:r>
          </w:p>
        </w:tc>
        <w:tc>
          <w:tcPr>
            <w:tcW w:w="831" w:type="pct"/>
            <w:vAlign w:val="center"/>
          </w:tcPr>
          <w:p>
            <w:pPr>
              <w:pStyle w:val="42"/>
              <w:adjustRightInd w:val="0"/>
              <w:textAlignment w:val="baseline"/>
              <w:rPr>
                <w:szCs w:val="21"/>
              </w:rPr>
            </w:pPr>
            <w:r>
              <w:rPr>
                <w:rFonts w:hint="eastAsia"/>
                <w:szCs w:val="21"/>
              </w:rPr>
              <w:t>规格</w:t>
            </w:r>
          </w:p>
        </w:tc>
        <w:tc>
          <w:tcPr>
            <w:tcW w:w="915" w:type="pct"/>
            <w:vAlign w:val="center"/>
          </w:tcPr>
          <w:p>
            <w:pPr>
              <w:pStyle w:val="42"/>
              <w:adjustRightInd w:val="0"/>
              <w:textAlignment w:val="baseline"/>
              <w:rPr>
                <w:szCs w:val="21"/>
              </w:rPr>
            </w:pPr>
            <w:r>
              <w:rPr>
                <w:rFonts w:hint="eastAsia"/>
                <w:szCs w:val="21"/>
              </w:rPr>
              <w:t>年耗量</w:t>
            </w:r>
          </w:p>
        </w:tc>
        <w:tc>
          <w:tcPr>
            <w:tcW w:w="831" w:type="pct"/>
            <w:vAlign w:val="center"/>
          </w:tcPr>
          <w:p>
            <w:pPr>
              <w:pStyle w:val="42"/>
              <w:adjustRightInd w:val="0"/>
              <w:textAlignment w:val="baseline"/>
              <w:rPr>
                <w:szCs w:val="21"/>
              </w:rPr>
            </w:pPr>
            <w:r>
              <w:rPr>
                <w:rFonts w:hint="eastAsia"/>
                <w:szCs w:val="21"/>
              </w:rPr>
              <w:t>单耗</w:t>
            </w:r>
          </w:p>
        </w:tc>
        <w:tc>
          <w:tcPr>
            <w:tcW w:w="1167" w:type="pct"/>
            <w:vAlign w:val="center"/>
          </w:tcPr>
          <w:p>
            <w:pPr>
              <w:pStyle w:val="42"/>
              <w:adjustRightInd w:val="0"/>
              <w:textAlignment w:val="baseline"/>
              <w:rPr>
                <w:szCs w:val="21"/>
              </w:rPr>
            </w:pPr>
            <w:r>
              <w:rPr>
                <w:rFonts w:hint="eastAsia"/>
                <w:szCs w:val="21"/>
              </w:rPr>
              <w:t>来源</w:t>
            </w:r>
          </w:p>
        </w:tc>
        <w:tc>
          <w:tcPr>
            <w:tcW w:w="443" w:type="pct"/>
            <w:vAlign w:val="center"/>
          </w:tcPr>
          <w:p>
            <w:pPr>
              <w:pStyle w:val="42"/>
              <w:adjustRightInd w:val="0"/>
              <w:textAlignment w:val="baseline"/>
              <w:rPr>
                <w:szCs w:val="21"/>
              </w:rPr>
            </w:pPr>
            <w:r>
              <w:rPr>
                <w:rFonts w:hint="eastAsia"/>
                <w:szCs w:val="21"/>
              </w:rPr>
              <w:t>输送方式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天然气</w:t>
            </w:r>
          </w:p>
        </w:tc>
        <w:tc>
          <w:tcPr>
            <w:tcW w:w="831" w:type="pct"/>
            <w:vAlign w:val="center"/>
          </w:tcPr>
          <w:p>
            <w:pPr>
              <w:pStyle w:val="42"/>
              <w:adjustRightInd w:val="0"/>
              <w:textAlignment w:val="baseline"/>
              <w:rPr>
                <w:szCs w:val="21"/>
              </w:rPr>
            </w:pPr>
            <w:r>
              <w:rPr>
                <w:rFonts w:hint="eastAsia"/>
                <w:szCs w:val="21"/>
              </w:rPr>
              <w:t>CH</w:t>
            </w:r>
            <w:r>
              <w:rPr>
                <w:rFonts w:hint="eastAsia"/>
                <w:szCs w:val="21"/>
                <w:vertAlign w:val="subscript"/>
              </w:rPr>
              <w:t>4</w:t>
            </w:r>
            <w:r>
              <w:rPr>
                <w:rFonts w:hint="eastAsia" w:ascii="宋体" w:hAnsi="宋体"/>
                <w:szCs w:val="21"/>
              </w:rPr>
              <w:t>≥</w:t>
            </w:r>
            <w:r>
              <w:rPr>
                <w:rFonts w:hint="eastAsia"/>
                <w:szCs w:val="21"/>
              </w:rPr>
              <w:t>98.21%（v/v）</w:t>
            </w:r>
          </w:p>
        </w:tc>
        <w:tc>
          <w:tcPr>
            <w:tcW w:w="915" w:type="pct"/>
            <w:vAlign w:val="center"/>
          </w:tcPr>
          <w:p>
            <w:pPr>
              <w:pStyle w:val="42"/>
              <w:adjustRightInd w:val="0"/>
              <w:textAlignment w:val="baseline"/>
              <w:rPr>
                <w:szCs w:val="21"/>
              </w:rPr>
            </w:pPr>
            <w:r>
              <w:rPr>
                <w:rFonts w:hint="eastAsia"/>
                <w:szCs w:val="21"/>
              </w:rPr>
              <w:t>6865.6万m</w:t>
            </w:r>
            <w:r>
              <w:rPr>
                <w:rFonts w:hint="eastAsia"/>
                <w:szCs w:val="21"/>
                <w:vertAlign w:val="superscript"/>
              </w:rPr>
              <w:t>3</w:t>
            </w:r>
            <w:r>
              <w:rPr>
                <w:rFonts w:hint="eastAsia"/>
                <w:szCs w:val="21"/>
              </w:rPr>
              <w:t>/a</w:t>
            </w:r>
          </w:p>
        </w:tc>
        <w:tc>
          <w:tcPr>
            <w:tcW w:w="831" w:type="pct"/>
            <w:vAlign w:val="center"/>
          </w:tcPr>
          <w:p>
            <w:pPr>
              <w:pStyle w:val="42"/>
              <w:adjustRightInd w:val="0"/>
              <w:textAlignment w:val="baseline"/>
              <w:rPr>
                <w:szCs w:val="21"/>
              </w:rPr>
            </w:pPr>
            <w:r>
              <w:rPr>
                <w:szCs w:val="21"/>
              </w:rPr>
              <w:t>343.28</w:t>
            </w:r>
            <w:r>
              <w:rPr>
                <w:rFonts w:hint="eastAsia"/>
                <w:szCs w:val="21"/>
              </w:rPr>
              <w:t>m</w:t>
            </w:r>
            <w:r>
              <w:rPr>
                <w:rFonts w:hint="eastAsia"/>
                <w:szCs w:val="21"/>
                <w:vertAlign w:val="superscript"/>
              </w:rPr>
              <w:t>3</w:t>
            </w:r>
            <w:r>
              <w:rPr>
                <w:rFonts w:hint="eastAsia"/>
                <w:szCs w:val="21"/>
              </w:rPr>
              <w:t>/t液氨</w:t>
            </w:r>
          </w:p>
        </w:tc>
        <w:tc>
          <w:tcPr>
            <w:tcW w:w="1167" w:type="pct"/>
            <w:vAlign w:val="center"/>
          </w:tcPr>
          <w:p>
            <w:pPr>
              <w:pStyle w:val="42"/>
              <w:adjustRightInd w:val="0"/>
              <w:textAlignment w:val="baseline"/>
              <w:rPr>
                <w:szCs w:val="21"/>
              </w:rPr>
            </w:pPr>
            <w:r>
              <w:rPr>
                <w:rFonts w:hint="eastAsia"/>
                <w:szCs w:val="21"/>
              </w:rPr>
              <w:t>园区</w:t>
            </w:r>
          </w:p>
        </w:tc>
        <w:tc>
          <w:tcPr>
            <w:tcW w:w="443" w:type="pct"/>
            <w:vAlign w:val="center"/>
          </w:tcPr>
          <w:p>
            <w:pPr>
              <w:pStyle w:val="42"/>
              <w:adjustRightInd w:val="0"/>
              <w:textAlignment w:val="baseline"/>
              <w:rPr>
                <w:szCs w:val="21"/>
              </w:rPr>
            </w:pPr>
            <w:r>
              <w:rPr>
                <w:rFonts w:hint="eastAsia"/>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弛放气</w:t>
            </w:r>
          </w:p>
        </w:tc>
        <w:tc>
          <w:tcPr>
            <w:tcW w:w="831" w:type="pct"/>
            <w:vAlign w:val="center"/>
          </w:tcPr>
          <w:p>
            <w:pPr>
              <w:pStyle w:val="42"/>
              <w:adjustRightInd w:val="0"/>
              <w:textAlignment w:val="baseline"/>
              <w:rPr>
                <w:szCs w:val="21"/>
              </w:rPr>
            </w:pPr>
          </w:p>
        </w:tc>
        <w:tc>
          <w:tcPr>
            <w:tcW w:w="915" w:type="pct"/>
            <w:vAlign w:val="center"/>
          </w:tcPr>
          <w:p>
            <w:pPr>
              <w:pStyle w:val="42"/>
              <w:adjustRightInd w:val="0"/>
              <w:textAlignment w:val="baseline"/>
              <w:rPr>
                <w:szCs w:val="21"/>
              </w:rPr>
            </w:pPr>
            <w:r>
              <w:rPr>
                <w:rFonts w:hint="eastAsia"/>
                <w:szCs w:val="21"/>
              </w:rPr>
              <w:t>18792万m</w:t>
            </w:r>
            <w:r>
              <w:rPr>
                <w:rFonts w:hint="eastAsia"/>
                <w:szCs w:val="21"/>
                <w:vertAlign w:val="superscript"/>
              </w:rPr>
              <w:t>3</w:t>
            </w:r>
            <w:r>
              <w:rPr>
                <w:rFonts w:hint="eastAsia"/>
                <w:szCs w:val="21"/>
              </w:rPr>
              <w:t>/a</w:t>
            </w:r>
          </w:p>
        </w:tc>
        <w:tc>
          <w:tcPr>
            <w:tcW w:w="831" w:type="pct"/>
            <w:vAlign w:val="center"/>
          </w:tcPr>
          <w:p>
            <w:pPr>
              <w:pStyle w:val="42"/>
              <w:adjustRightInd w:val="0"/>
              <w:textAlignment w:val="baseline"/>
              <w:rPr>
                <w:szCs w:val="21"/>
              </w:rPr>
            </w:pPr>
            <w:r>
              <w:rPr>
                <w:szCs w:val="21"/>
              </w:rPr>
              <w:t>939.6</w:t>
            </w:r>
            <w:r>
              <w:rPr>
                <w:rFonts w:hint="eastAsia"/>
                <w:szCs w:val="21"/>
              </w:rPr>
              <w:t xml:space="preserve"> m</w:t>
            </w:r>
            <w:r>
              <w:rPr>
                <w:rFonts w:hint="eastAsia"/>
                <w:szCs w:val="21"/>
                <w:vertAlign w:val="superscript"/>
              </w:rPr>
              <w:t>3</w:t>
            </w:r>
            <w:r>
              <w:rPr>
                <w:rFonts w:hint="eastAsia"/>
                <w:szCs w:val="21"/>
              </w:rPr>
              <w:t>/t液氨</w:t>
            </w:r>
          </w:p>
        </w:tc>
        <w:tc>
          <w:tcPr>
            <w:tcW w:w="1167" w:type="pct"/>
            <w:vAlign w:val="center"/>
          </w:tcPr>
          <w:p>
            <w:pPr>
              <w:pStyle w:val="42"/>
              <w:adjustRightInd w:val="0"/>
              <w:textAlignment w:val="baseline"/>
              <w:rPr>
                <w:szCs w:val="21"/>
              </w:rPr>
            </w:pPr>
            <w:r>
              <w:rPr>
                <w:rFonts w:hint="eastAsia"/>
                <w:szCs w:val="21"/>
              </w:rPr>
              <w:t>重庆卡贝乐化工有限责任公司</w:t>
            </w:r>
          </w:p>
        </w:tc>
        <w:tc>
          <w:tcPr>
            <w:tcW w:w="443" w:type="pct"/>
            <w:vAlign w:val="center"/>
          </w:tcPr>
          <w:p>
            <w:pPr>
              <w:pStyle w:val="42"/>
              <w:adjustRightInd w:val="0"/>
              <w:textAlignment w:val="baseline"/>
              <w:rPr>
                <w:szCs w:val="21"/>
              </w:rPr>
            </w:pPr>
            <w:r>
              <w:rPr>
                <w:rFonts w:hint="eastAsia"/>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氮气</w:t>
            </w:r>
          </w:p>
        </w:tc>
        <w:tc>
          <w:tcPr>
            <w:tcW w:w="831" w:type="pct"/>
            <w:vAlign w:val="center"/>
          </w:tcPr>
          <w:p>
            <w:pPr>
              <w:pStyle w:val="42"/>
              <w:adjustRightInd w:val="0"/>
              <w:textAlignment w:val="baseline"/>
              <w:rPr>
                <w:szCs w:val="21"/>
              </w:rPr>
            </w:pPr>
            <w:r>
              <w:rPr>
                <w:rFonts w:hint="eastAsia" w:ascii="宋体" w:hAnsi="宋体"/>
                <w:szCs w:val="21"/>
              </w:rPr>
              <w:t>≥</w:t>
            </w:r>
            <w:r>
              <w:rPr>
                <w:rFonts w:hint="eastAsia"/>
                <w:szCs w:val="21"/>
              </w:rPr>
              <w:t>99.9%</w:t>
            </w:r>
          </w:p>
        </w:tc>
        <w:tc>
          <w:tcPr>
            <w:tcW w:w="915" w:type="pct"/>
            <w:vAlign w:val="center"/>
          </w:tcPr>
          <w:p>
            <w:pPr>
              <w:pStyle w:val="42"/>
              <w:adjustRightInd w:val="0"/>
              <w:textAlignment w:val="baseline"/>
              <w:rPr>
                <w:szCs w:val="21"/>
              </w:rPr>
            </w:pPr>
            <w:r>
              <w:rPr>
                <w:rFonts w:hint="eastAsia"/>
                <w:szCs w:val="21"/>
              </w:rPr>
              <w:t>10.118万m</w:t>
            </w:r>
            <w:r>
              <w:rPr>
                <w:rFonts w:hint="eastAsia"/>
                <w:szCs w:val="21"/>
                <w:vertAlign w:val="superscript"/>
              </w:rPr>
              <w:t>3</w:t>
            </w:r>
            <w:r>
              <w:rPr>
                <w:rFonts w:hint="eastAsia"/>
                <w:szCs w:val="21"/>
              </w:rPr>
              <w:t>/a</w:t>
            </w:r>
          </w:p>
        </w:tc>
        <w:tc>
          <w:tcPr>
            <w:tcW w:w="831" w:type="pct"/>
            <w:vAlign w:val="center"/>
          </w:tcPr>
          <w:p>
            <w:pPr>
              <w:pStyle w:val="42"/>
              <w:adjustRightInd w:val="0"/>
              <w:textAlignment w:val="baseline"/>
              <w:rPr>
                <w:szCs w:val="21"/>
              </w:rPr>
            </w:pPr>
            <w:r>
              <w:rPr>
                <w:szCs w:val="21"/>
              </w:rPr>
              <w:t>0.5059</w:t>
            </w:r>
            <w:r>
              <w:rPr>
                <w:rFonts w:hint="eastAsia"/>
                <w:szCs w:val="21"/>
              </w:rPr>
              <w:t xml:space="preserve"> m</w:t>
            </w:r>
            <w:r>
              <w:rPr>
                <w:rFonts w:hint="eastAsia"/>
                <w:szCs w:val="21"/>
                <w:vertAlign w:val="superscript"/>
              </w:rPr>
              <w:t>3</w:t>
            </w:r>
            <w:r>
              <w:rPr>
                <w:rFonts w:hint="eastAsia"/>
                <w:szCs w:val="21"/>
              </w:rPr>
              <w:t>/t液氨</w:t>
            </w:r>
          </w:p>
        </w:tc>
        <w:tc>
          <w:tcPr>
            <w:tcW w:w="1167" w:type="pct"/>
            <w:vAlign w:val="center"/>
          </w:tcPr>
          <w:p>
            <w:pPr>
              <w:pStyle w:val="42"/>
              <w:adjustRightInd w:val="0"/>
              <w:textAlignment w:val="baseline"/>
              <w:rPr>
                <w:szCs w:val="21"/>
              </w:rPr>
            </w:pPr>
            <w:r>
              <w:rPr>
                <w:rFonts w:hint="eastAsia"/>
                <w:szCs w:val="21"/>
              </w:rPr>
              <w:t>重庆攀钢梅塞尔气体产品有限公司</w:t>
            </w:r>
          </w:p>
        </w:tc>
        <w:tc>
          <w:tcPr>
            <w:tcW w:w="443" w:type="pct"/>
            <w:vAlign w:val="center"/>
          </w:tcPr>
          <w:p>
            <w:pPr>
              <w:pStyle w:val="42"/>
              <w:adjustRightInd w:val="0"/>
              <w:textAlignment w:val="baseline"/>
              <w:rPr>
                <w:szCs w:val="21"/>
              </w:rPr>
            </w:pPr>
            <w:r>
              <w:rPr>
                <w:rFonts w:hint="eastAsia"/>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钴钼脱硫剂</w:t>
            </w:r>
          </w:p>
        </w:tc>
        <w:tc>
          <w:tcPr>
            <w:tcW w:w="831" w:type="pct"/>
            <w:vAlign w:val="center"/>
          </w:tcPr>
          <w:p>
            <w:pPr>
              <w:pStyle w:val="42"/>
              <w:adjustRightInd w:val="0"/>
              <w:textAlignment w:val="baseline"/>
              <w:rPr>
                <w:szCs w:val="21"/>
              </w:rPr>
            </w:pPr>
          </w:p>
        </w:tc>
        <w:tc>
          <w:tcPr>
            <w:tcW w:w="915" w:type="pct"/>
            <w:vAlign w:val="center"/>
          </w:tcPr>
          <w:p>
            <w:pPr>
              <w:pStyle w:val="42"/>
              <w:adjustRightInd w:val="0"/>
              <w:textAlignment w:val="baseline"/>
              <w:rPr>
                <w:szCs w:val="21"/>
              </w:rPr>
            </w:pPr>
            <w:r>
              <w:rPr>
                <w:rFonts w:hint="eastAsia"/>
                <w:szCs w:val="21"/>
              </w:rPr>
              <w:t>153t/次，</w:t>
            </w:r>
          </w:p>
          <w:p>
            <w:pPr>
              <w:pStyle w:val="42"/>
              <w:adjustRightInd w:val="0"/>
              <w:textAlignment w:val="baseline"/>
              <w:rPr>
                <w:szCs w:val="21"/>
              </w:rPr>
            </w:pPr>
            <w:r>
              <w:rPr>
                <w:rFonts w:hint="eastAsia"/>
                <w:szCs w:val="21"/>
              </w:rPr>
              <w:t>3年更换一次</w:t>
            </w:r>
          </w:p>
        </w:tc>
        <w:tc>
          <w:tcPr>
            <w:tcW w:w="831" w:type="pct"/>
            <w:vAlign w:val="center"/>
          </w:tcPr>
          <w:p>
            <w:pPr>
              <w:pStyle w:val="42"/>
              <w:adjustRightInd w:val="0"/>
              <w:textAlignment w:val="baseline"/>
              <w:rPr>
                <w:szCs w:val="21"/>
              </w:rPr>
            </w:pPr>
            <w:r>
              <w:rPr>
                <w:rFonts w:hint="eastAsia"/>
                <w:szCs w:val="21"/>
              </w:rPr>
              <w:t>0.255kg/t液氨</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氧化锌脱硫剂</w:t>
            </w:r>
          </w:p>
        </w:tc>
        <w:tc>
          <w:tcPr>
            <w:tcW w:w="831" w:type="pct"/>
            <w:vAlign w:val="center"/>
          </w:tcPr>
          <w:p>
            <w:pPr>
              <w:pStyle w:val="42"/>
              <w:adjustRightInd w:val="0"/>
              <w:textAlignment w:val="baseline"/>
              <w:rPr>
                <w:szCs w:val="21"/>
              </w:rPr>
            </w:pPr>
            <w:r>
              <w:rPr>
                <w:szCs w:val="21"/>
              </w:rPr>
              <w:t>ZnO</w:t>
            </w:r>
          </w:p>
        </w:tc>
        <w:tc>
          <w:tcPr>
            <w:tcW w:w="915" w:type="pct"/>
            <w:vAlign w:val="center"/>
          </w:tcPr>
          <w:p>
            <w:pPr>
              <w:pStyle w:val="42"/>
              <w:adjustRightInd w:val="0"/>
              <w:textAlignment w:val="baseline"/>
              <w:rPr>
                <w:szCs w:val="21"/>
              </w:rPr>
            </w:pPr>
            <w:r>
              <w:rPr>
                <w:rFonts w:hint="eastAsia"/>
                <w:szCs w:val="21"/>
              </w:rPr>
              <w:t>1.6t/次，</w:t>
            </w:r>
          </w:p>
          <w:p>
            <w:pPr>
              <w:pStyle w:val="42"/>
              <w:adjustRightInd w:val="0"/>
              <w:textAlignment w:val="baseline"/>
              <w:rPr>
                <w:szCs w:val="21"/>
              </w:rPr>
            </w:pPr>
            <w:r>
              <w:rPr>
                <w:rFonts w:hint="eastAsia"/>
                <w:szCs w:val="21"/>
              </w:rPr>
              <w:t>2年更换一次</w:t>
            </w:r>
          </w:p>
        </w:tc>
        <w:tc>
          <w:tcPr>
            <w:tcW w:w="831" w:type="pct"/>
            <w:vAlign w:val="center"/>
          </w:tcPr>
          <w:p>
            <w:pPr>
              <w:pStyle w:val="42"/>
              <w:adjustRightInd w:val="0"/>
              <w:textAlignment w:val="baseline"/>
              <w:rPr>
                <w:szCs w:val="21"/>
              </w:rPr>
            </w:pPr>
            <w:r>
              <w:rPr>
                <w:rFonts w:hint="eastAsia"/>
                <w:szCs w:val="21"/>
              </w:rPr>
              <w:t>0.004kg/t液氨</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镍系催化剂</w:t>
            </w:r>
          </w:p>
        </w:tc>
        <w:tc>
          <w:tcPr>
            <w:tcW w:w="831" w:type="pct"/>
            <w:vAlign w:val="center"/>
          </w:tcPr>
          <w:p>
            <w:pPr>
              <w:pStyle w:val="42"/>
              <w:adjustRightInd w:val="0"/>
              <w:textAlignment w:val="baseline"/>
              <w:rPr>
                <w:szCs w:val="21"/>
              </w:rPr>
            </w:pPr>
            <w:r>
              <w:rPr>
                <w:rFonts w:hint="eastAsia"/>
                <w:szCs w:val="21"/>
              </w:rPr>
              <w:t>NiO等</w:t>
            </w:r>
          </w:p>
        </w:tc>
        <w:tc>
          <w:tcPr>
            <w:tcW w:w="915" w:type="pct"/>
            <w:vAlign w:val="center"/>
          </w:tcPr>
          <w:p>
            <w:pPr>
              <w:pStyle w:val="42"/>
              <w:adjustRightInd w:val="0"/>
              <w:textAlignment w:val="baseline"/>
              <w:rPr>
                <w:szCs w:val="21"/>
              </w:rPr>
            </w:pPr>
            <w:r>
              <w:rPr>
                <w:rFonts w:hint="eastAsia"/>
                <w:szCs w:val="21"/>
              </w:rPr>
              <w:t>297t/次，</w:t>
            </w:r>
          </w:p>
          <w:p>
            <w:pPr>
              <w:pStyle w:val="42"/>
              <w:adjustRightInd w:val="0"/>
              <w:textAlignment w:val="baseline"/>
              <w:rPr>
                <w:szCs w:val="21"/>
              </w:rPr>
            </w:pPr>
            <w:r>
              <w:rPr>
                <w:rFonts w:hint="eastAsia"/>
                <w:szCs w:val="21"/>
              </w:rPr>
              <w:t>3年更换一次</w:t>
            </w:r>
          </w:p>
        </w:tc>
        <w:tc>
          <w:tcPr>
            <w:tcW w:w="831" w:type="pct"/>
            <w:vAlign w:val="center"/>
          </w:tcPr>
          <w:p>
            <w:pPr>
              <w:pStyle w:val="42"/>
              <w:adjustRightInd w:val="0"/>
              <w:textAlignment w:val="baseline"/>
              <w:rPr>
                <w:szCs w:val="21"/>
              </w:rPr>
            </w:pPr>
            <w:r>
              <w:rPr>
                <w:rFonts w:hint="eastAsia"/>
                <w:szCs w:val="21"/>
              </w:rPr>
              <w:t>0.495kg/t液氨</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吸附剂（PSA装置）</w:t>
            </w:r>
          </w:p>
        </w:tc>
        <w:tc>
          <w:tcPr>
            <w:tcW w:w="831" w:type="pct"/>
            <w:vAlign w:val="center"/>
          </w:tcPr>
          <w:p>
            <w:pPr>
              <w:pStyle w:val="42"/>
              <w:adjustRightInd w:val="0"/>
              <w:textAlignment w:val="baseline"/>
              <w:rPr>
                <w:szCs w:val="21"/>
              </w:rPr>
            </w:pPr>
            <w:r>
              <w:rPr>
                <w:rFonts w:hint="eastAsia"/>
                <w:szCs w:val="21"/>
              </w:rPr>
              <w:t>氧化铝、分子筛和活性炭</w:t>
            </w:r>
          </w:p>
        </w:tc>
        <w:tc>
          <w:tcPr>
            <w:tcW w:w="915" w:type="pct"/>
            <w:vAlign w:val="center"/>
          </w:tcPr>
          <w:p>
            <w:pPr>
              <w:pStyle w:val="42"/>
              <w:adjustRightInd w:val="0"/>
              <w:textAlignment w:val="baseline"/>
              <w:rPr>
                <w:szCs w:val="21"/>
              </w:rPr>
            </w:pPr>
            <w:r>
              <w:rPr>
                <w:rFonts w:hint="eastAsia"/>
                <w:szCs w:val="21"/>
              </w:rPr>
              <w:t>503t/次，</w:t>
            </w:r>
          </w:p>
          <w:p>
            <w:pPr>
              <w:pStyle w:val="42"/>
              <w:adjustRightInd w:val="0"/>
              <w:textAlignment w:val="baseline"/>
              <w:rPr>
                <w:szCs w:val="21"/>
              </w:rPr>
            </w:pPr>
            <w:r>
              <w:rPr>
                <w:rFonts w:hint="eastAsia"/>
                <w:szCs w:val="21"/>
              </w:rPr>
              <w:t>15年更换一次</w:t>
            </w:r>
          </w:p>
        </w:tc>
        <w:tc>
          <w:tcPr>
            <w:tcW w:w="831" w:type="pct"/>
            <w:vAlign w:val="center"/>
          </w:tcPr>
          <w:p>
            <w:pPr>
              <w:pStyle w:val="42"/>
              <w:adjustRightInd w:val="0"/>
              <w:textAlignment w:val="baseline"/>
              <w:rPr>
                <w:szCs w:val="21"/>
              </w:rPr>
            </w:pPr>
            <w:r>
              <w:rPr>
                <w:rFonts w:hint="eastAsia"/>
                <w:szCs w:val="21"/>
              </w:rPr>
              <w:t>0.168kg/t液氨</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合成氨催化剂</w:t>
            </w:r>
          </w:p>
        </w:tc>
        <w:tc>
          <w:tcPr>
            <w:tcW w:w="831" w:type="pct"/>
            <w:vAlign w:val="center"/>
          </w:tcPr>
          <w:p>
            <w:pPr>
              <w:pStyle w:val="42"/>
              <w:adjustRightInd w:val="0"/>
              <w:textAlignment w:val="baseline"/>
              <w:rPr>
                <w:szCs w:val="21"/>
              </w:rPr>
            </w:pPr>
            <w:r>
              <w:rPr>
                <w:rFonts w:hint="eastAsia"/>
                <w:szCs w:val="21"/>
              </w:rPr>
              <w:t>Fe</w:t>
            </w:r>
            <w:r>
              <w:rPr>
                <w:rFonts w:hint="eastAsia"/>
                <w:szCs w:val="21"/>
                <w:vertAlign w:val="subscript"/>
              </w:rPr>
              <w:t>4</w:t>
            </w:r>
            <w:r>
              <w:rPr>
                <w:rFonts w:hint="eastAsia"/>
                <w:szCs w:val="21"/>
              </w:rPr>
              <w:t>O</w:t>
            </w:r>
            <w:r>
              <w:rPr>
                <w:rFonts w:hint="eastAsia"/>
                <w:szCs w:val="21"/>
                <w:vertAlign w:val="subscript"/>
              </w:rPr>
              <w:t>3</w:t>
            </w:r>
            <w:r>
              <w:rPr>
                <w:rFonts w:hint="eastAsia"/>
                <w:szCs w:val="21"/>
              </w:rPr>
              <w:t>、Al</w:t>
            </w:r>
            <w:r>
              <w:rPr>
                <w:rFonts w:hint="eastAsia"/>
                <w:szCs w:val="21"/>
                <w:vertAlign w:val="subscript"/>
              </w:rPr>
              <w:t>2</w:t>
            </w:r>
            <w:r>
              <w:rPr>
                <w:rFonts w:hint="eastAsia"/>
                <w:szCs w:val="21"/>
              </w:rPr>
              <w:t>O</w:t>
            </w:r>
            <w:r>
              <w:rPr>
                <w:rFonts w:hint="eastAsia"/>
                <w:szCs w:val="21"/>
                <w:vertAlign w:val="subscript"/>
              </w:rPr>
              <w:t>3</w:t>
            </w:r>
          </w:p>
        </w:tc>
        <w:tc>
          <w:tcPr>
            <w:tcW w:w="915" w:type="pct"/>
            <w:vAlign w:val="center"/>
          </w:tcPr>
          <w:p>
            <w:pPr>
              <w:pStyle w:val="42"/>
              <w:adjustRightInd w:val="0"/>
              <w:textAlignment w:val="baseline"/>
              <w:rPr>
                <w:szCs w:val="21"/>
              </w:rPr>
            </w:pPr>
            <w:r>
              <w:rPr>
                <w:rFonts w:hint="eastAsia"/>
                <w:szCs w:val="21"/>
              </w:rPr>
              <w:t>220t/次，</w:t>
            </w:r>
          </w:p>
          <w:p>
            <w:pPr>
              <w:pStyle w:val="42"/>
              <w:adjustRightInd w:val="0"/>
              <w:textAlignment w:val="baseline"/>
              <w:rPr>
                <w:szCs w:val="21"/>
              </w:rPr>
            </w:pPr>
            <w:r>
              <w:rPr>
                <w:rFonts w:hint="eastAsia"/>
                <w:szCs w:val="21"/>
              </w:rPr>
              <w:t>10年更换一次</w:t>
            </w:r>
          </w:p>
        </w:tc>
        <w:tc>
          <w:tcPr>
            <w:tcW w:w="831" w:type="pct"/>
            <w:vAlign w:val="center"/>
          </w:tcPr>
          <w:p>
            <w:pPr>
              <w:pStyle w:val="42"/>
              <w:adjustRightInd w:val="0"/>
              <w:textAlignment w:val="baseline"/>
              <w:rPr>
                <w:szCs w:val="21"/>
              </w:rPr>
            </w:pPr>
            <w:r>
              <w:rPr>
                <w:rFonts w:hint="eastAsia"/>
                <w:szCs w:val="21"/>
              </w:rPr>
              <w:t>0.11kg/t液氨</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钯系催化剂</w:t>
            </w:r>
          </w:p>
        </w:tc>
        <w:tc>
          <w:tcPr>
            <w:tcW w:w="831" w:type="pct"/>
            <w:vAlign w:val="center"/>
          </w:tcPr>
          <w:p>
            <w:pPr>
              <w:pStyle w:val="42"/>
              <w:adjustRightInd w:val="0"/>
              <w:textAlignment w:val="baseline"/>
              <w:rPr>
                <w:szCs w:val="21"/>
              </w:rPr>
            </w:pPr>
          </w:p>
        </w:tc>
        <w:tc>
          <w:tcPr>
            <w:tcW w:w="915" w:type="pct"/>
            <w:vAlign w:val="center"/>
          </w:tcPr>
          <w:p>
            <w:pPr>
              <w:pStyle w:val="42"/>
              <w:adjustRightInd w:val="0"/>
              <w:textAlignment w:val="baseline"/>
              <w:rPr>
                <w:szCs w:val="21"/>
              </w:rPr>
            </w:pPr>
            <w:r>
              <w:rPr>
                <w:rFonts w:hint="eastAsia"/>
                <w:szCs w:val="21"/>
              </w:rPr>
              <w:t>84t/次，</w:t>
            </w:r>
          </w:p>
          <w:p>
            <w:pPr>
              <w:pStyle w:val="42"/>
              <w:adjustRightInd w:val="0"/>
              <w:textAlignment w:val="baseline"/>
              <w:rPr>
                <w:szCs w:val="21"/>
              </w:rPr>
            </w:pPr>
            <w:r>
              <w:rPr>
                <w:rFonts w:hint="eastAsia"/>
                <w:szCs w:val="21"/>
              </w:rPr>
              <w:t>3年更换一次</w:t>
            </w:r>
          </w:p>
        </w:tc>
        <w:tc>
          <w:tcPr>
            <w:tcW w:w="831" w:type="pct"/>
            <w:vAlign w:val="center"/>
          </w:tcPr>
          <w:p>
            <w:pPr>
              <w:pStyle w:val="42"/>
              <w:adjustRightInd w:val="0"/>
              <w:textAlignment w:val="baseline"/>
              <w:rPr>
                <w:szCs w:val="21"/>
              </w:rPr>
            </w:pPr>
            <w:r>
              <w:rPr>
                <w:rFonts w:hint="eastAsia"/>
                <w:szCs w:val="21"/>
              </w:rPr>
              <w:t>0.357kg/tCO</w:t>
            </w:r>
            <w:r>
              <w:rPr>
                <w:rFonts w:hint="eastAsia"/>
                <w:szCs w:val="21"/>
                <w:vertAlign w:val="subscript"/>
              </w:rPr>
              <w:t>2</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吸附剂（纯化干燥）</w:t>
            </w:r>
          </w:p>
        </w:tc>
        <w:tc>
          <w:tcPr>
            <w:tcW w:w="831" w:type="pct"/>
            <w:vAlign w:val="center"/>
          </w:tcPr>
          <w:p>
            <w:pPr>
              <w:pStyle w:val="42"/>
              <w:adjustRightInd w:val="0"/>
              <w:textAlignment w:val="baseline"/>
              <w:rPr>
                <w:szCs w:val="21"/>
              </w:rPr>
            </w:pPr>
            <w:r>
              <w:rPr>
                <w:rFonts w:hint="eastAsia"/>
                <w:szCs w:val="21"/>
              </w:rPr>
              <w:t>氧化铝、分子筛和活性炭</w:t>
            </w:r>
          </w:p>
        </w:tc>
        <w:tc>
          <w:tcPr>
            <w:tcW w:w="915" w:type="pct"/>
            <w:vAlign w:val="center"/>
          </w:tcPr>
          <w:p>
            <w:pPr>
              <w:pStyle w:val="42"/>
              <w:adjustRightInd w:val="0"/>
              <w:textAlignment w:val="baseline"/>
              <w:rPr>
                <w:szCs w:val="21"/>
              </w:rPr>
            </w:pPr>
            <w:r>
              <w:rPr>
                <w:rFonts w:hint="eastAsia"/>
                <w:szCs w:val="21"/>
              </w:rPr>
              <w:t>15.5t/次，</w:t>
            </w:r>
          </w:p>
          <w:p>
            <w:pPr>
              <w:pStyle w:val="42"/>
              <w:adjustRightInd w:val="0"/>
              <w:textAlignment w:val="baseline"/>
              <w:rPr>
                <w:szCs w:val="21"/>
              </w:rPr>
            </w:pPr>
            <w:r>
              <w:rPr>
                <w:rFonts w:hint="eastAsia"/>
                <w:szCs w:val="21"/>
              </w:rPr>
              <w:t>2年更换一次</w:t>
            </w:r>
          </w:p>
        </w:tc>
        <w:tc>
          <w:tcPr>
            <w:tcW w:w="831" w:type="pct"/>
            <w:vAlign w:val="center"/>
          </w:tcPr>
          <w:p>
            <w:pPr>
              <w:pStyle w:val="42"/>
              <w:adjustRightInd w:val="0"/>
              <w:textAlignment w:val="baseline"/>
              <w:rPr>
                <w:szCs w:val="21"/>
              </w:rPr>
            </w:pPr>
            <w:r>
              <w:rPr>
                <w:rFonts w:hint="eastAsia"/>
                <w:szCs w:val="21"/>
              </w:rPr>
              <w:t>0.099kg/tCO</w:t>
            </w:r>
            <w:r>
              <w:rPr>
                <w:rFonts w:hint="eastAsia"/>
                <w:szCs w:val="21"/>
                <w:vertAlign w:val="subscript"/>
              </w:rPr>
              <w:t>2</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脱硫剂</w:t>
            </w:r>
          </w:p>
        </w:tc>
        <w:tc>
          <w:tcPr>
            <w:tcW w:w="831" w:type="pct"/>
            <w:vAlign w:val="center"/>
          </w:tcPr>
          <w:p>
            <w:pPr>
              <w:pStyle w:val="42"/>
              <w:adjustRightInd w:val="0"/>
              <w:textAlignment w:val="baseline"/>
              <w:rPr>
                <w:szCs w:val="21"/>
              </w:rPr>
            </w:pPr>
            <w:r>
              <w:rPr>
                <w:rFonts w:hint="eastAsia"/>
                <w:szCs w:val="21"/>
              </w:rPr>
              <w:t>氧化铁和活性炭徐鹤</w:t>
            </w:r>
          </w:p>
        </w:tc>
        <w:tc>
          <w:tcPr>
            <w:tcW w:w="915" w:type="pct"/>
            <w:vAlign w:val="center"/>
          </w:tcPr>
          <w:p>
            <w:pPr>
              <w:pStyle w:val="42"/>
              <w:adjustRightInd w:val="0"/>
              <w:textAlignment w:val="baseline"/>
              <w:rPr>
                <w:szCs w:val="21"/>
              </w:rPr>
            </w:pPr>
            <w:r>
              <w:rPr>
                <w:rFonts w:hint="eastAsia"/>
                <w:szCs w:val="21"/>
              </w:rPr>
              <w:t>67.7t/次，2年更换一次</w:t>
            </w:r>
          </w:p>
        </w:tc>
        <w:tc>
          <w:tcPr>
            <w:tcW w:w="831" w:type="pct"/>
            <w:vAlign w:val="center"/>
          </w:tcPr>
          <w:p>
            <w:pPr>
              <w:pStyle w:val="42"/>
              <w:adjustRightInd w:val="0"/>
              <w:textAlignment w:val="baseline"/>
              <w:rPr>
                <w:szCs w:val="21"/>
              </w:rPr>
            </w:pPr>
            <w:r>
              <w:rPr>
                <w:rFonts w:hint="eastAsia"/>
                <w:szCs w:val="21"/>
              </w:rPr>
              <w:t>0.43 kg/tCO</w:t>
            </w:r>
            <w:r>
              <w:rPr>
                <w:rFonts w:hint="eastAsia"/>
                <w:szCs w:val="21"/>
                <w:vertAlign w:val="subscript"/>
              </w:rPr>
              <w:t>2</w:t>
            </w:r>
          </w:p>
        </w:tc>
        <w:tc>
          <w:tcPr>
            <w:tcW w:w="1167" w:type="pct"/>
            <w:vAlign w:val="center"/>
          </w:tcPr>
          <w:p>
            <w:pPr>
              <w:pStyle w:val="42"/>
              <w:adjustRightInd w:val="0"/>
              <w:textAlignment w:val="baseline"/>
              <w:rPr>
                <w:szCs w:val="21"/>
              </w:rPr>
            </w:pPr>
            <w:r>
              <w:rPr>
                <w:rFonts w:hint="eastAsia"/>
                <w:szCs w:val="21"/>
              </w:rPr>
              <w:t>国内</w:t>
            </w:r>
          </w:p>
        </w:tc>
        <w:tc>
          <w:tcPr>
            <w:tcW w:w="443" w:type="pct"/>
            <w:vAlign w:val="center"/>
          </w:tcPr>
          <w:p>
            <w:pPr>
              <w:pStyle w:val="42"/>
              <w:adjustRightInd w:val="0"/>
              <w:textAlignment w:val="baseline"/>
              <w:rPr>
                <w:szCs w:val="21"/>
              </w:rPr>
            </w:pPr>
            <w:r>
              <w:rPr>
                <w:rFonts w:hint="eastAsia"/>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电</w:t>
            </w:r>
          </w:p>
        </w:tc>
        <w:tc>
          <w:tcPr>
            <w:tcW w:w="831" w:type="pct"/>
            <w:vAlign w:val="center"/>
          </w:tcPr>
          <w:p>
            <w:pPr>
              <w:pStyle w:val="42"/>
              <w:adjustRightInd w:val="0"/>
              <w:textAlignment w:val="baseline"/>
              <w:rPr>
                <w:szCs w:val="21"/>
              </w:rPr>
            </w:pPr>
            <w:r>
              <w:rPr>
                <w:rFonts w:hint="eastAsia"/>
                <w:szCs w:val="21"/>
              </w:rPr>
              <w:t>/</w:t>
            </w:r>
          </w:p>
        </w:tc>
        <w:tc>
          <w:tcPr>
            <w:tcW w:w="915" w:type="pct"/>
            <w:vAlign w:val="center"/>
          </w:tcPr>
          <w:p>
            <w:pPr>
              <w:pStyle w:val="42"/>
              <w:adjustRightInd w:val="0"/>
              <w:textAlignment w:val="baseline"/>
              <w:rPr>
                <w:szCs w:val="21"/>
              </w:rPr>
            </w:pPr>
            <w:r>
              <w:rPr>
                <w:szCs w:val="21"/>
              </w:rPr>
              <w:t>3.487×10</w:t>
            </w:r>
            <w:r>
              <w:rPr>
                <w:szCs w:val="21"/>
                <w:vertAlign w:val="superscript"/>
              </w:rPr>
              <w:t>7</w:t>
            </w:r>
            <w:r>
              <w:rPr>
                <w:rFonts w:hint="eastAsia"/>
                <w:szCs w:val="21"/>
              </w:rPr>
              <w:t>kwh/a</w:t>
            </w:r>
          </w:p>
        </w:tc>
        <w:tc>
          <w:tcPr>
            <w:tcW w:w="831" w:type="pct"/>
            <w:vAlign w:val="center"/>
          </w:tcPr>
          <w:p>
            <w:pPr>
              <w:pStyle w:val="42"/>
              <w:adjustRightInd w:val="0"/>
              <w:textAlignment w:val="baseline"/>
              <w:rPr>
                <w:szCs w:val="21"/>
              </w:rPr>
            </w:pPr>
            <w:r>
              <w:rPr>
                <w:rFonts w:hint="eastAsia"/>
                <w:szCs w:val="21"/>
              </w:rPr>
              <w:t>115kwh/t</w:t>
            </w:r>
          </w:p>
        </w:tc>
        <w:tc>
          <w:tcPr>
            <w:tcW w:w="1167" w:type="pct"/>
            <w:vAlign w:val="center"/>
          </w:tcPr>
          <w:p>
            <w:pPr>
              <w:pStyle w:val="42"/>
              <w:adjustRightInd w:val="0"/>
              <w:textAlignment w:val="baseline"/>
              <w:rPr>
                <w:szCs w:val="21"/>
              </w:rPr>
            </w:pPr>
            <w:r>
              <w:rPr>
                <w:rFonts w:hint="eastAsia"/>
                <w:szCs w:val="21"/>
              </w:rPr>
              <w:t>园区</w:t>
            </w:r>
          </w:p>
        </w:tc>
        <w:tc>
          <w:tcPr>
            <w:tcW w:w="443" w:type="pct"/>
            <w:vAlign w:val="center"/>
          </w:tcPr>
          <w:p>
            <w:pPr>
              <w:pStyle w:val="42"/>
              <w:adjustRightInd w:val="0"/>
              <w:textAlignment w:val="baseline"/>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循环冷却水</w:t>
            </w:r>
          </w:p>
        </w:tc>
        <w:tc>
          <w:tcPr>
            <w:tcW w:w="831" w:type="pct"/>
            <w:vAlign w:val="center"/>
          </w:tcPr>
          <w:p>
            <w:pPr>
              <w:pStyle w:val="42"/>
              <w:adjustRightInd w:val="0"/>
              <w:textAlignment w:val="baseline"/>
              <w:rPr>
                <w:szCs w:val="21"/>
              </w:rPr>
            </w:pPr>
            <w:r>
              <w:rPr>
                <w:rFonts w:hint="eastAsia"/>
                <w:szCs w:val="21"/>
              </w:rPr>
              <w:t>/</w:t>
            </w:r>
          </w:p>
        </w:tc>
        <w:tc>
          <w:tcPr>
            <w:tcW w:w="915" w:type="pct"/>
            <w:vAlign w:val="center"/>
          </w:tcPr>
          <w:p>
            <w:pPr>
              <w:pStyle w:val="42"/>
              <w:adjustRightInd w:val="0"/>
              <w:textAlignment w:val="baseline"/>
              <w:rPr>
                <w:szCs w:val="21"/>
              </w:rPr>
            </w:pPr>
            <w:r>
              <w:rPr>
                <w:rFonts w:hint="eastAsia"/>
                <w:szCs w:val="21"/>
              </w:rPr>
              <w:t>816万t/a</w:t>
            </w:r>
          </w:p>
        </w:tc>
        <w:tc>
          <w:tcPr>
            <w:tcW w:w="831" w:type="pct"/>
            <w:vAlign w:val="center"/>
          </w:tcPr>
          <w:p>
            <w:pPr>
              <w:pStyle w:val="42"/>
              <w:adjustRightInd w:val="0"/>
              <w:textAlignment w:val="baseline"/>
              <w:rPr>
                <w:szCs w:val="21"/>
              </w:rPr>
            </w:pPr>
            <w:r>
              <w:rPr>
                <w:rFonts w:hint="eastAsia"/>
                <w:szCs w:val="21"/>
              </w:rPr>
              <w:t>40.8t/t</w:t>
            </w:r>
          </w:p>
        </w:tc>
        <w:tc>
          <w:tcPr>
            <w:tcW w:w="1167" w:type="pct"/>
            <w:vMerge w:val="restart"/>
            <w:vAlign w:val="center"/>
          </w:tcPr>
          <w:p>
            <w:pPr>
              <w:pStyle w:val="42"/>
              <w:adjustRightInd w:val="0"/>
              <w:textAlignment w:val="baseline"/>
              <w:rPr>
                <w:szCs w:val="21"/>
              </w:rPr>
            </w:pPr>
            <w:r>
              <w:rPr>
                <w:rFonts w:hint="eastAsia"/>
                <w:szCs w:val="21"/>
              </w:rPr>
              <w:t>重庆化医恩力吉投资有限责任公司</w:t>
            </w:r>
          </w:p>
        </w:tc>
        <w:tc>
          <w:tcPr>
            <w:tcW w:w="443" w:type="pct"/>
            <w:vAlign w:val="center"/>
          </w:tcPr>
          <w:p>
            <w:pPr>
              <w:pStyle w:val="42"/>
              <w:adjustRightInd w:val="0"/>
              <w:textAlignment w:val="baseline"/>
              <w:rPr>
                <w:szCs w:val="21"/>
              </w:rPr>
            </w:pPr>
            <w:r>
              <w:rPr>
                <w:rFonts w:hint="eastAsia"/>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脱盐水</w:t>
            </w:r>
          </w:p>
        </w:tc>
        <w:tc>
          <w:tcPr>
            <w:tcW w:w="831" w:type="pct"/>
            <w:vAlign w:val="center"/>
          </w:tcPr>
          <w:p>
            <w:pPr>
              <w:pStyle w:val="42"/>
              <w:adjustRightInd w:val="0"/>
              <w:textAlignment w:val="baseline"/>
              <w:rPr>
                <w:szCs w:val="21"/>
              </w:rPr>
            </w:pPr>
            <w:r>
              <w:rPr>
                <w:rFonts w:hint="eastAsia"/>
                <w:szCs w:val="21"/>
              </w:rPr>
              <w:t>/</w:t>
            </w:r>
          </w:p>
        </w:tc>
        <w:tc>
          <w:tcPr>
            <w:tcW w:w="915" w:type="pct"/>
            <w:vAlign w:val="center"/>
          </w:tcPr>
          <w:p>
            <w:pPr>
              <w:pStyle w:val="42"/>
              <w:adjustRightInd w:val="0"/>
              <w:textAlignment w:val="baseline"/>
              <w:rPr>
                <w:szCs w:val="21"/>
              </w:rPr>
            </w:pPr>
            <w:r>
              <w:rPr>
                <w:szCs w:val="21"/>
              </w:rPr>
              <w:t>6.08×10</w:t>
            </w:r>
            <w:r>
              <w:rPr>
                <w:szCs w:val="21"/>
                <w:vertAlign w:val="superscript"/>
              </w:rPr>
              <w:t>5</w:t>
            </w:r>
            <w:r>
              <w:rPr>
                <w:rFonts w:hint="eastAsia"/>
                <w:szCs w:val="21"/>
              </w:rPr>
              <w:t>t/a</w:t>
            </w:r>
          </w:p>
        </w:tc>
        <w:tc>
          <w:tcPr>
            <w:tcW w:w="831" w:type="pct"/>
            <w:vAlign w:val="center"/>
          </w:tcPr>
          <w:p>
            <w:pPr>
              <w:pStyle w:val="42"/>
              <w:adjustRightInd w:val="0"/>
              <w:textAlignment w:val="baseline"/>
              <w:rPr>
                <w:szCs w:val="21"/>
              </w:rPr>
            </w:pPr>
            <w:r>
              <w:rPr>
                <w:rFonts w:hint="eastAsia"/>
                <w:szCs w:val="21"/>
              </w:rPr>
              <w:t>2.01t/a</w:t>
            </w:r>
          </w:p>
        </w:tc>
        <w:tc>
          <w:tcPr>
            <w:tcW w:w="1167" w:type="pct"/>
            <w:vMerge w:val="continue"/>
            <w:vAlign w:val="center"/>
          </w:tcPr>
          <w:p>
            <w:pPr>
              <w:pStyle w:val="42"/>
              <w:adjustRightInd w:val="0"/>
              <w:textAlignment w:val="baseline"/>
              <w:rPr>
                <w:szCs w:val="21"/>
              </w:rPr>
            </w:pPr>
          </w:p>
        </w:tc>
        <w:tc>
          <w:tcPr>
            <w:tcW w:w="443" w:type="pct"/>
            <w:vAlign w:val="center"/>
          </w:tcPr>
          <w:p>
            <w:pPr>
              <w:pStyle w:val="42"/>
              <w:adjustRightInd w:val="0"/>
              <w:textAlignment w:val="baseline"/>
              <w:rPr>
                <w:szCs w:val="21"/>
              </w:rPr>
            </w:pPr>
            <w:r>
              <w:rPr>
                <w:rFonts w:hint="eastAsia"/>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42"/>
              <w:adjustRightInd w:val="0"/>
              <w:textAlignment w:val="baseline"/>
              <w:rPr>
                <w:szCs w:val="21"/>
              </w:rPr>
            </w:pPr>
            <w:r>
              <w:rPr>
                <w:rFonts w:hint="eastAsia"/>
                <w:szCs w:val="21"/>
              </w:rPr>
              <w:t>仪表空气</w:t>
            </w:r>
          </w:p>
        </w:tc>
        <w:tc>
          <w:tcPr>
            <w:tcW w:w="831" w:type="pct"/>
            <w:vAlign w:val="center"/>
          </w:tcPr>
          <w:p>
            <w:pPr>
              <w:pStyle w:val="42"/>
              <w:adjustRightInd w:val="0"/>
              <w:textAlignment w:val="baseline"/>
              <w:rPr>
                <w:szCs w:val="21"/>
              </w:rPr>
            </w:pPr>
            <w:r>
              <w:rPr>
                <w:rFonts w:hint="eastAsia"/>
                <w:szCs w:val="21"/>
              </w:rPr>
              <w:t>/</w:t>
            </w:r>
          </w:p>
        </w:tc>
        <w:tc>
          <w:tcPr>
            <w:tcW w:w="915" w:type="pct"/>
            <w:vAlign w:val="center"/>
          </w:tcPr>
          <w:p>
            <w:pPr>
              <w:pStyle w:val="42"/>
              <w:adjustRightInd w:val="0"/>
              <w:textAlignment w:val="baseline"/>
              <w:rPr>
                <w:szCs w:val="21"/>
              </w:rPr>
            </w:pPr>
            <w:r>
              <w:rPr>
                <w:szCs w:val="21"/>
              </w:rPr>
              <w:t>5.60×10</w:t>
            </w:r>
            <w:r>
              <w:rPr>
                <w:szCs w:val="21"/>
                <w:vertAlign w:val="superscript"/>
              </w:rPr>
              <w:t>6</w:t>
            </w:r>
            <w:r>
              <w:rPr>
                <w:rFonts w:hint="eastAsia"/>
                <w:szCs w:val="21"/>
              </w:rPr>
              <w:t>m</w:t>
            </w:r>
            <w:r>
              <w:rPr>
                <w:rFonts w:hint="eastAsia"/>
                <w:szCs w:val="21"/>
                <w:vertAlign w:val="superscript"/>
              </w:rPr>
              <w:t>3</w:t>
            </w:r>
            <w:r>
              <w:rPr>
                <w:rFonts w:hint="eastAsia"/>
                <w:szCs w:val="21"/>
              </w:rPr>
              <w:t>/a</w:t>
            </w:r>
          </w:p>
        </w:tc>
        <w:tc>
          <w:tcPr>
            <w:tcW w:w="831" w:type="pct"/>
            <w:vAlign w:val="center"/>
          </w:tcPr>
          <w:p>
            <w:pPr>
              <w:pStyle w:val="42"/>
              <w:adjustRightInd w:val="0"/>
              <w:textAlignment w:val="baseline"/>
              <w:rPr>
                <w:szCs w:val="21"/>
              </w:rPr>
            </w:pPr>
            <w:r>
              <w:rPr>
                <w:rFonts w:hint="eastAsia"/>
                <w:szCs w:val="21"/>
              </w:rPr>
              <w:t>18.52 m</w:t>
            </w:r>
            <w:r>
              <w:rPr>
                <w:rFonts w:hint="eastAsia"/>
                <w:szCs w:val="21"/>
                <w:vertAlign w:val="superscript"/>
              </w:rPr>
              <w:t>3</w:t>
            </w:r>
            <w:r>
              <w:rPr>
                <w:rFonts w:hint="eastAsia"/>
                <w:szCs w:val="21"/>
              </w:rPr>
              <w:t>/t</w:t>
            </w:r>
          </w:p>
        </w:tc>
        <w:tc>
          <w:tcPr>
            <w:tcW w:w="1167" w:type="pct"/>
            <w:vAlign w:val="center"/>
          </w:tcPr>
          <w:p>
            <w:pPr>
              <w:pStyle w:val="42"/>
              <w:adjustRightInd w:val="0"/>
              <w:textAlignment w:val="baseline"/>
              <w:rPr>
                <w:szCs w:val="21"/>
              </w:rPr>
            </w:pPr>
            <w:r>
              <w:rPr>
                <w:rFonts w:hint="eastAsia"/>
                <w:szCs w:val="21"/>
              </w:rPr>
              <w:t>重庆攀钢梅塞尔气体产品有限公司</w:t>
            </w:r>
          </w:p>
        </w:tc>
        <w:tc>
          <w:tcPr>
            <w:tcW w:w="443" w:type="pct"/>
            <w:vAlign w:val="center"/>
          </w:tcPr>
          <w:p>
            <w:pPr>
              <w:pStyle w:val="42"/>
              <w:adjustRightInd w:val="0"/>
              <w:textAlignment w:val="baseline"/>
              <w:rPr>
                <w:szCs w:val="21"/>
              </w:rPr>
            </w:pPr>
            <w:r>
              <w:rPr>
                <w:rFonts w:hint="eastAsia"/>
                <w:szCs w:val="21"/>
              </w:rPr>
              <w:t>管道</w:t>
            </w:r>
          </w:p>
        </w:tc>
      </w:tr>
    </w:tbl>
    <w:p>
      <w:pPr>
        <w:pStyle w:val="4"/>
        <w:spacing w:before="163" w:after="163"/>
      </w:pPr>
      <w:bookmarkStart w:id="206" w:name="_Toc84844367"/>
      <w:r>
        <w:rPr>
          <w:rFonts w:hint="eastAsia"/>
        </w:rPr>
        <w:t>9.4.3主要环境保护措施</w:t>
      </w:r>
      <w:bookmarkEnd w:id="206"/>
    </w:p>
    <w:p>
      <w:pPr>
        <w:ind w:firstLine="480"/>
      </w:pPr>
      <w:r>
        <w:rPr>
          <w:rFonts w:hint="eastAsia"/>
        </w:rPr>
        <w:t>拟建项目主要环境保护措施及风险防范措施详见下表9.4-3和9.4-4。</w:t>
      </w:r>
    </w:p>
    <w:p>
      <w:pPr>
        <w:pStyle w:val="41"/>
      </w:pPr>
      <w:r>
        <w:rPr>
          <w:rFonts w:hint="eastAsia"/>
        </w:rPr>
        <w:t>表9.4-3  拟建项目的主要环保措施一览表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2"/>
        <w:gridCol w:w="1408"/>
        <w:gridCol w:w="170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11" w:type="pct"/>
            <w:vAlign w:val="center"/>
          </w:tcPr>
          <w:p>
            <w:pPr>
              <w:pStyle w:val="42"/>
            </w:pPr>
            <w:r>
              <w:t>项目</w:t>
            </w:r>
          </w:p>
        </w:tc>
        <w:tc>
          <w:tcPr>
            <w:tcW w:w="842" w:type="pct"/>
            <w:shd w:val="clear" w:color="auto" w:fill="auto"/>
            <w:vAlign w:val="center"/>
          </w:tcPr>
          <w:p>
            <w:pPr>
              <w:pStyle w:val="42"/>
            </w:pPr>
            <w:r>
              <w:t>污染源</w:t>
            </w:r>
          </w:p>
        </w:tc>
        <w:tc>
          <w:tcPr>
            <w:tcW w:w="1022" w:type="pct"/>
            <w:vAlign w:val="center"/>
          </w:tcPr>
          <w:p>
            <w:pPr>
              <w:pStyle w:val="42"/>
            </w:pPr>
            <w:r>
              <w:t>验收点</w:t>
            </w:r>
          </w:p>
        </w:tc>
        <w:tc>
          <w:tcPr>
            <w:tcW w:w="2525" w:type="pct"/>
            <w:vAlign w:val="center"/>
          </w:tcPr>
          <w:p>
            <w:pPr>
              <w:pStyle w:val="42"/>
            </w:pPr>
            <w: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11" w:type="pct"/>
            <w:vMerge w:val="restart"/>
            <w:vAlign w:val="center"/>
          </w:tcPr>
          <w:p>
            <w:pPr>
              <w:pStyle w:val="42"/>
            </w:pPr>
            <w:r>
              <w:t>废气</w:t>
            </w:r>
          </w:p>
        </w:tc>
        <w:tc>
          <w:tcPr>
            <w:tcW w:w="842" w:type="pct"/>
            <w:shd w:val="clear" w:color="auto" w:fill="auto"/>
            <w:vAlign w:val="center"/>
          </w:tcPr>
          <w:p>
            <w:pPr>
              <w:pStyle w:val="42"/>
            </w:pPr>
            <w:r>
              <w:rPr>
                <w:rFonts w:hint="eastAsia"/>
              </w:rPr>
              <w:t>一段转化炉</w:t>
            </w:r>
          </w:p>
        </w:tc>
        <w:tc>
          <w:tcPr>
            <w:tcW w:w="1022" w:type="pct"/>
            <w:vAlign w:val="center"/>
          </w:tcPr>
          <w:p>
            <w:pPr>
              <w:pStyle w:val="42"/>
            </w:pPr>
            <w:r>
              <w:rPr>
                <w:rFonts w:hint="eastAsia"/>
              </w:rPr>
              <w:t>排气筒出口</w:t>
            </w:r>
          </w:p>
        </w:tc>
        <w:tc>
          <w:tcPr>
            <w:tcW w:w="2525" w:type="pct"/>
            <w:vAlign w:val="center"/>
          </w:tcPr>
          <w:p>
            <w:pPr>
              <w:pStyle w:val="42"/>
            </w:pPr>
            <w:r>
              <w:rPr>
                <w:rFonts w:hint="eastAsia"/>
              </w:rPr>
              <w:t>集中收集60m高排气筒排放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11" w:type="pct"/>
            <w:vMerge w:val="continue"/>
            <w:vAlign w:val="center"/>
          </w:tcPr>
          <w:p>
            <w:pPr>
              <w:pStyle w:val="42"/>
            </w:pPr>
          </w:p>
        </w:tc>
        <w:tc>
          <w:tcPr>
            <w:tcW w:w="842" w:type="pct"/>
            <w:shd w:val="clear" w:color="auto" w:fill="auto"/>
            <w:vAlign w:val="center"/>
          </w:tcPr>
          <w:p>
            <w:pPr>
              <w:pStyle w:val="42"/>
            </w:pPr>
            <w:r>
              <w:rPr>
                <w:rFonts w:hint="eastAsia"/>
              </w:rPr>
              <w:t>废水处理站</w:t>
            </w:r>
          </w:p>
        </w:tc>
        <w:tc>
          <w:tcPr>
            <w:tcW w:w="1022" w:type="pct"/>
            <w:vAlign w:val="center"/>
          </w:tcPr>
          <w:p>
            <w:pPr>
              <w:pStyle w:val="42"/>
            </w:pPr>
            <w:r>
              <w:rPr>
                <w:rFonts w:hint="eastAsia"/>
              </w:rPr>
              <w:t>排气筒出口</w:t>
            </w:r>
          </w:p>
        </w:tc>
        <w:tc>
          <w:tcPr>
            <w:tcW w:w="2525" w:type="pct"/>
            <w:vAlign w:val="center"/>
          </w:tcPr>
          <w:p>
            <w:pPr>
              <w:pStyle w:val="42"/>
            </w:pPr>
            <w:r>
              <w:rPr>
                <w:rFonts w:hint="eastAsia"/>
              </w:rPr>
              <w:t>废水处理站产臭构筑物加盖密闭，臭气管道收集，采用“活性炭吸附”处理达标后，经15高排气筒排放；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trPr>
        <w:tc>
          <w:tcPr>
            <w:tcW w:w="611" w:type="pct"/>
            <w:vMerge w:val="continue"/>
            <w:vAlign w:val="center"/>
          </w:tcPr>
          <w:p>
            <w:pPr>
              <w:pStyle w:val="42"/>
            </w:pPr>
          </w:p>
        </w:tc>
        <w:tc>
          <w:tcPr>
            <w:tcW w:w="842" w:type="pct"/>
            <w:vAlign w:val="center"/>
          </w:tcPr>
          <w:p>
            <w:pPr>
              <w:pStyle w:val="42"/>
            </w:pPr>
            <w:r>
              <w:rPr>
                <w:rFonts w:hint="eastAsia"/>
              </w:rPr>
              <w:t>装置区无组织排放</w:t>
            </w:r>
          </w:p>
        </w:tc>
        <w:tc>
          <w:tcPr>
            <w:tcW w:w="1022" w:type="pct"/>
            <w:vAlign w:val="center"/>
          </w:tcPr>
          <w:p>
            <w:pPr>
              <w:pStyle w:val="42"/>
            </w:pPr>
            <w:r>
              <w:rPr>
                <w:rFonts w:hint="eastAsia"/>
              </w:rPr>
              <w:t>厂界</w:t>
            </w:r>
          </w:p>
        </w:tc>
        <w:tc>
          <w:tcPr>
            <w:tcW w:w="2525" w:type="pct"/>
            <w:vAlign w:val="center"/>
          </w:tcPr>
          <w:p>
            <w:pPr>
              <w:pStyle w:val="42"/>
            </w:pPr>
            <w:r>
              <w:rPr>
                <w:rFonts w:hint="eastAsia"/>
              </w:rPr>
              <w:t>加强日常管理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11" w:type="pct"/>
            <w:vMerge w:val="restart"/>
            <w:vAlign w:val="center"/>
          </w:tcPr>
          <w:p>
            <w:pPr>
              <w:pStyle w:val="42"/>
            </w:pPr>
            <w:r>
              <w:t>废水</w:t>
            </w:r>
          </w:p>
        </w:tc>
        <w:tc>
          <w:tcPr>
            <w:tcW w:w="842" w:type="pct"/>
            <w:vAlign w:val="center"/>
          </w:tcPr>
          <w:p>
            <w:pPr>
              <w:pStyle w:val="42"/>
            </w:pPr>
            <w:r>
              <w:rPr>
                <w:rFonts w:hint="eastAsia"/>
              </w:rPr>
              <w:t>生活污水和地坪清洗水</w:t>
            </w:r>
          </w:p>
        </w:tc>
        <w:tc>
          <w:tcPr>
            <w:tcW w:w="1022" w:type="pct"/>
            <w:vAlign w:val="center"/>
          </w:tcPr>
          <w:p>
            <w:pPr>
              <w:pStyle w:val="42"/>
            </w:pPr>
            <w:r>
              <w:rPr>
                <w:rFonts w:hint="eastAsia"/>
              </w:rPr>
              <w:t>废水</w:t>
            </w:r>
            <w:r>
              <w:t>处理站废水进、出口</w:t>
            </w:r>
          </w:p>
        </w:tc>
        <w:tc>
          <w:tcPr>
            <w:tcW w:w="2525" w:type="pct"/>
            <w:vAlign w:val="center"/>
          </w:tcPr>
          <w:p>
            <w:pPr>
              <w:pStyle w:val="42"/>
            </w:pPr>
            <w:r>
              <w:rPr>
                <w:rFonts w:hint="eastAsia"/>
              </w:rPr>
              <w:t>设置处理规模为20m</w:t>
            </w:r>
            <w:r>
              <w:rPr>
                <w:rFonts w:hint="eastAsia"/>
                <w:vertAlign w:val="superscript"/>
              </w:rPr>
              <w:t>3</w:t>
            </w:r>
            <w:r>
              <w:rPr>
                <w:rFonts w:hint="eastAsia"/>
              </w:rPr>
              <w:t>/d的废水处理站1座，采用SBR生化处理工艺，废水处理达标后排入园区污水处理厂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11" w:type="pct"/>
            <w:vMerge w:val="continue"/>
            <w:vAlign w:val="center"/>
          </w:tcPr>
          <w:p>
            <w:pPr>
              <w:pStyle w:val="42"/>
            </w:pPr>
          </w:p>
        </w:tc>
        <w:tc>
          <w:tcPr>
            <w:tcW w:w="842" w:type="pct"/>
            <w:vAlign w:val="center"/>
          </w:tcPr>
          <w:p>
            <w:pPr>
              <w:pStyle w:val="42"/>
            </w:pPr>
            <w:r>
              <w:rPr>
                <w:rFonts w:hint="eastAsia"/>
              </w:rPr>
              <w:t>热交换器</w:t>
            </w:r>
          </w:p>
        </w:tc>
        <w:tc>
          <w:tcPr>
            <w:tcW w:w="1022" w:type="pct"/>
            <w:vAlign w:val="center"/>
          </w:tcPr>
          <w:p>
            <w:pPr>
              <w:pStyle w:val="42"/>
            </w:pPr>
            <w:r>
              <w:rPr>
                <w:rFonts w:hint="eastAsia"/>
              </w:rPr>
              <w:t>清下水收集管网</w:t>
            </w:r>
          </w:p>
        </w:tc>
        <w:tc>
          <w:tcPr>
            <w:tcW w:w="2525" w:type="pct"/>
            <w:vAlign w:val="center"/>
          </w:tcPr>
          <w:p>
            <w:pPr>
              <w:pStyle w:val="42"/>
            </w:pPr>
            <w:r>
              <w:rPr>
                <w:rFonts w:hint="eastAsia"/>
              </w:rPr>
              <w:t>热交换器排水经清下水管网集中收集至厂区雨水总排口，经雨水排口排入园区雨水系统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611" w:type="pct"/>
            <w:vMerge w:val="restart"/>
            <w:vAlign w:val="center"/>
          </w:tcPr>
          <w:p>
            <w:pPr>
              <w:pStyle w:val="42"/>
            </w:pPr>
            <w:r>
              <w:t>固废</w:t>
            </w:r>
          </w:p>
        </w:tc>
        <w:tc>
          <w:tcPr>
            <w:tcW w:w="842" w:type="pct"/>
            <w:vAlign w:val="center"/>
          </w:tcPr>
          <w:p>
            <w:pPr>
              <w:pStyle w:val="42"/>
            </w:pPr>
            <w:r>
              <w:rPr>
                <w:rFonts w:hint="eastAsia"/>
              </w:rPr>
              <w:t>生产装置区、废气处理系统</w:t>
            </w:r>
          </w:p>
        </w:tc>
        <w:tc>
          <w:tcPr>
            <w:tcW w:w="1022" w:type="pct"/>
            <w:vAlign w:val="center"/>
          </w:tcPr>
          <w:p>
            <w:pPr>
              <w:pStyle w:val="42"/>
            </w:pPr>
            <w:r>
              <w:rPr>
                <w:rFonts w:hint="eastAsia"/>
              </w:rPr>
              <w:t>危废暂存间</w:t>
            </w:r>
          </w:p>
        </w:tc>
        <w:tc>
          <w:tcPr>
            <w:tcW w:w="2525" w:type="pct"/>
            <w:vAlign w:val="center"/>
          </w:tcPr>
          <w:p>
            <w:pPr>
              <w:pStyle w:val="42"/>
            </w:pPr>
            <w:r>
              <w:rPr>
                <w:rFonts w:hint="eastAsia"/>
              </w:rPr>
              <w:t>设置危废暂存间，建筑面积175m</w:t>
            </w:r>
            <w:r>
              <w:rPr>
                <w:rFonts w:hint="eastAsia"/>
                <w:vertAlign w:val="superscript"/>
              </w:rPr>
              <w:t>2</w:t>
            </w:r>
            <w:r>
              <w:rPr>
                <w:rFonts w:hint="eastAsia"/>
              </w:rPr>
              <w:t>，地面</w:t>
            </w:r>
            <w:r>
              <w:rPr>
                <w:rFonts w:hint="eastAsia"/>
                <w:szCs w:val="21"/>
              </w:rPr>
              <w:t>“防腐、防渗”，</w:t>
            </w:r>
            <w:r>
              <w:rPr>
                <w:rFonts w:hint="eastAsia"/>
              </w:rPr>
              <w:t>采取“防风、防雨、防晒”三防措施，配套设置导流设施</w:t>
            </w:r>
            <w:r>
              <w:rPr>
                <w:rFonts w:hint="eastAsia"/>
                <w:szCs w:val="21"/>
              </w:rPr>
              <w:t>，</w:t>
            </w:r>
            <w:r>
              <w:rPr>
                <w:rFonts w:hint="eastAsia"/>
              </w:rPr>
              <w:t>废催化剂、废脱硫剂、废吸附剂和废活性炭等分类收集，采用专用容器包装，交有资质单位处置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611" w:type="pct"/>
            <w:vMerge w:val="continue"/>
            <w:vAlign w:val="center"/>
          </w:tcPr>
          <w:p>
            <w:pPr>
              <w:pStyle w:val="42"/>
            </w:pPr>
          </w:p>
        </w:tc>
        <w:tc>
          <w:tcPr>
            <w:tcW w:w="842" w:type="pct"/>
            <w:vAlign w:val="center"/>
          </w:tcPr>
          <w:p>
            <w:pPr>
              <w:pStyle w:val="42"/>
            </w:pPr>
            <w:r>
              <w:rPr>
                <w:rFonts w:hint="eastAsia"/>
              </w:rPr>
              <w:t>废水处理站</w:t>
            </w:r>
          </w:p>
        </w:tc>
        <w:tc>
          <w:tcPr>
            <w:tcW w:w="1022" w:type="pct"/>
            <w:vAlign w:val="center"/>
          </w:tcPr>
          <w:p>
            <w:pPr>
              <w:pStyle w:val="42"/>
            </w:pPr>
            <w:r>
              <w:rPr>
                <w:rFonts w:hint="eastAsia"/>
              </w:rPr>
              <w:t>废水处理站污泥</w:t>
            </w:r>
          </w:p>
        </w:tc>
        <w:tc>
          <w:tcPr>
            <w:tcW w:w="2525" w:type="pct"/>
            <w:vAlign w:val="center"/>
          </w:tcPr>
          <w:p>
            <w:pPr>
              <w:pStyle w:val="42"/>
            </w:pPr>
            <w:r>
              <w:rPr>
                <w:rFonts w:hint="eastAsia"/>
              </w:rPr>
              <w:t>定期清掏，集中收集，交垃圾填埋场统一处理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611" w:type="pct"/>
            <w:vMerge w:val="continue"/>
            <w:vAlign w:val="center"/>
          </w:tcPr>
          <w:p>
            <w:pPr>
              <w:pStyle w:val="42"/>
            </w:pPr>
          </w:p>
        </w:tc>
        <w:tc>
          <w:tcPr>
            <w:tcW w:w="842" w:type="pct"/>
            <w:vAlign w:val="center"/>
          </w:tcPr>
          <w:p>
            <w:pPr>
              <w:pStyle w:val="42"/>
            </w:pPr>
            <w:r>
              <w:rPr>
                <w:rFonts w:hint="eastAsia"/>
              </w:rPr>
              <w:t>生活垃圾</w:t>
            </w:r>
          </w:p>
        </w:tc>
        <w:tc>
          <w:tcPr>
            <w:tcW w:w="1022" w:type="pct"/>
            <w:vAlign w:val="center"/>
          </w:tcPr>
          <w:p>
            <w:pPr>
              <w:pStyle w:val="42"/>
            </w:pPr>
            <w:r>
              <w:rPr>
                <w:rFonts w:hint="eastAsia"/>
              </w:rPr>
              <w:t>生活区域垃圾桶</w:t>
            </w:r>
          </w:p>
        </w:tc>
        <w:tc>
          <w:tcPr>
            <w:tcW w:w="2525" w:type="pct"/>
            <w:vAlign w:val="center"/>
          </w:tcPr>
          <w:p>
            <w:pPr>
              <w:pStyle w:val="42"/>
            </w:pPr>
            <w:r>
              <w:t>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9" w:hRule="atLeast"/>
        </w:trPr>
        <w:tc>
          <w:tcPr>
            <w:tcW w:w="611" w:type="pct"/>
            <w:vAlign w:val="center"/>
          </w:tcPr>
          <w:p>
            <w:pPr>
              <w:pStyle w:val="42"/>
            </w:pPr>
            <w:r>
              <w:t>噪声</w:t>
            </w:r>
          </w:p>
        </w:tc>
        <w:tc>
          <w:tcPr>
            <w:tcW w:w="842" w:type="pct"/>
            <w:vAlign w:val="center"/>
          </w:tcPr>
          <w:p>
            <w:pPr>
              <w:pStyle w:val="42"/>
            </w:pPr>
            <w:r>
              <w:rPr>
                <w:rFonts w:hint="eastAsia"/>
              </w:rPr>
              <w:t>各类泵、风机、压缩机组、制冷机组</w:t>
            </w:r>
            <w:r>
              <w:t>等</w:t>
            </w:r>
          </w:p>
        </w:tc>
        <w:tc>
          <w:tcPr>
            <w:tcW w:w="1022" w:type="pct"/>
            <w:vAlign w:val="center"/>
          </w:tcPr>
          <w:p>
            <w:pPr>
              <w:pStyle w:val="42"/>
            </w:pPr>
            <w:r>
              <w:t>厂界</w:t>
            </w:r>
          </w:p>
        </w:tc>
        <w:tc>
          <w:tcPr>
            <w:tcW w:w="2525" w:type="pct"/>
            <w:vAlign w:val="center"/>
          </w:tcPr>
          <w:p>
            <w:pPr>
              <w:pStyle w:val="42"/>
            </w:pPr>
            <w:r>
              <w:t>采取隔声、减振、吸声、消声和绿化等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9" w:hRule="atLeast"/>
        </w:trPr>
        <w:tc>
          <w:tcPr>
            <w:tcW w:w="611" w:type="pct"/>
            <w:vAlign w:val="center"/>
          </w:tcPr>
          <w:p>
            <w:pPr>
              <w:pStyle w:val="42"/>
            </w:pPr>
            <w:r>
              <w:t>地下水</w:t>
            </w:r>
          </w:p>
        </w:tc>
        <w:tc>
          <w:tcPr>
            <w:tcW w:w="1864" w:type="pct"/>
            <w:gridSpan w:val="2"/>
            <w:vAlign w:val="center"/>
          </w:tcPr>
          <w:p>
            <w:pPr>
              <w:pStyle w:val="42"/>
            </w:pPr>
            <w:r>
              <w:t>生产</w:t>
            </w:r>
            <w:r>
              <w:rPr>
                <w:rFonts w:hint="eastAsia"/>
              </w:rPr>
              <w:t>装置区</w:t>
            </w:r>
            <w:r>
              <w:t>、危废暂存</w:t>
            </w:r>
            <w:r>
              <w:rPr>
                <w:rFonts w:hint="eastAsia"/>
              </w:rPr>
              <w:t>间</w:t>
            </w:r>
            <w:r>
              <w:t>、污水处理站</w:t>
            </w:r>
            <w:r>
              <w:rPr>
                <w:rFonts w:hint="eastAsia"/>
              </w:rPr>
              <w:t>和事故池</w:t>
            </w:r>
            <w:r>
              <w:t>等</w:t>
            </w:r>
          </w:p>
        </w:tc>
        <w:tc>
          <w:tcPr>
            <w:tcW w:w="2525" w:type="pct"/>
            <w:vAlign w:val="center"/>
          </w:tcPr>
          <w:p>
            <w:pPr>
              <w:pStyle w:val="42"/>
            </w:pPr>
            <w:r>
              <w:t>分区防渗、</w:t>
            </w:r>
            <w:r>
              <w:rPr>
                <w:rFonts w:hint="eastAsia"/>
              </w:rPr>
              <w:t>废水</w:t>
            </w:r>
            <w:r>
              <w:t>管道可视化，排水管道采用防腐蚀、防渗材料</w:t>
            </w:r>
          </w:p>
        </w:tc>
      </w:tr>
    </w:tbl>
    <w:p>
      <w:pPr>
        <w:pStyle w:val="41"/>
      </w:pPr>
      <w:r>
        <w:rPr>
          <w:rFonts w:hint="eastAsia"/>
        </w:rPr>
        <w:t>表9.4-4 环境风险防范措施一览表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53"/>
        <w:gridCol w:w="2146"/>
        <w:gridCol w:w="1075"/>
        <w:gridCol w:w="3214"/>
        <w:gridCol w:w="15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sz w:val="18"/>
                <w:szCs w:val="18"/>
              </w:rPr>
              <w:t>序号</w:t>
            </w:r>
          </w:p>
        </w:tc>
        <w:tc>
          <w:tcPr>
            <w:tcW w:w="1259" w:type="pct"/>
            <w:vAlign w:val="center"/>
          </w:tcPr>
          <w:p>
            <w:pPr>
              <w:pStyle w:val="42"/>
              <w:rPr>
                <w:sz w:val="18"/>
                <w:szCs w:val="18"/>
              </w:rPr>
            </w:pPr>
            <w:r>
              <w:rPr>
                <w:sz w:val="18"/>
                <w:szCs w:val="18"/>
              </w:rPr>
              <w:t>风险防范措施</w:t>
            </w:r>
          </w:p>
        </w:tc>
        <w:tc>
          <w:tcPr>
            <w:tcW w:w="631" w:type="pct"/>
            <w:vAlign w:val="center"/>
          </w:tcPr>
          <w:p>
            <w:pPr>
              <w:pStyle w:val="42"/>
              <w:rPr>
                <w:sz w:val="18"/>
                <w:szCs w:val="18"/>
              </w:rPr>
            </w:pPr>
            <w:r>
              <w:rPr>
                <w:sz w:val="18"/>
                <w:szCs w:val="18"/>
              </w:rPr>
              <w:t>数量</w:t>
            </w:r>
          </w:p>
          <w:p>
            <w:pPr>
              <w:pStyle w:val="42"/>
              <w:rPr>
                <w:sz w:val="18"/>
                <w:szCs w:val="18"/>
              </w:rPr>
            </w:pPr>
            <w:r>
              <w:rPr>
                <w:sz w:val="18"/>
                <w:szCs w:val="18"/>
              </w:rPr>
              <w:t>（个</w:t>
            </w:r>
            <w:r>
              <w:rPr>
                <w:rFonts w:hint="eastAsia"/>
                <w:sz w:val="18"/>
                <w:szCs w:val="18"/>
              </w:rPr>
              <w:t>/套</w:t>
            </w:r>
            <w:r>
              <w:rPr>
                <w:sz w:val="18"/>
                <w:szCs w:val="18"/>
              </w:rPr>
              <w:t>）</w:t>
            </w:r>
          </w:p>
        </w:tc>
        <w:tc>
          <w:tcPr>
            <w:tcW w:w="1886" w:type="pct"/>
            <w:vAlign w:val="center"/>
          </w:tcPr>
          <w:p>
            <w:pPr>
              <w:pStyle w:val="42"/>
              <w:rPr>
                <w:sz w:val="18"/>
                <w:szCs w:val="18"/>
              </w:rPr>
            </w:pPr>
            <w:r>
              <w:rPr>
                <w:sz w:val="18"/>
                <w:szCs w:val="18"/>
              </w:rPr>
              <w:t>规格要求</w:t>
            </w:r>
          </w:p>
        </w:tc>
        <w:tc>
          <w:tcPr>
            <w:tcW w:w="900" w:type="pct"/>
            <w:vAlign w:val="center"/>
          </w:tcPr>
          <w:p>
            <w:pPr>
              <w:pStyle w:val="42"/>
              <w:rPr>
                <w:sz w:val="18"/>
                <w:szCs w:val="18"/>
              </w:rPr>
            </w:pPr>
            <w:r>
              <w:rPr>
                <w:sz w:val="18"/>
                <w:szCs w:val="18"/>
              </w:rPr>
              <w:t>作用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一</w:t>
            </w:r>
          </w:p>
        </w:tc>
        <w:tc>
          <w:tcPr>
            <w:tcW w:w="4676" w:type="pct"/>
            <w:gridSpan w:val="4"/>
            <w:vAlign w:val="center"/>
          </w:tcPr>
          <w:p>
            <w:pPr>
              <w:pStyle w:val="42"/>
              <w:rPr>
                <w:sz w:val="18"/>
                <w:szCs w:val="18"/>
              </w:rPr>
            </w:pPr>
            <w:r>
              <w:rPr>
                <w:rFonts w:hint="eastAsia"/>
                <w:sz w:val="18"/>
                <w:szCs w:val="18"/>
              </w:rPr>
              <w:t>生产装置区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1</w:t>
            </w:r>
          </w:p>
        </w:tc>
        <w:tc>
          <w:tcPr>
            <w:tcW w:w="1259" w:type="pct"/>
            <w:vAlign w:val="center"/>
          </w:tcPr>
          <w:p>
            <w:pPr>
              <w:pStyle w:val="42"/>
              <w:rPr>
                <w:sz w:val="18"/>
                <w:szCs w:val="18"/>
              </w:rPr>
            </w:pPr>
            <w:r>
              <w:rPr>
                <w:rFonts w:hint="eastAsia"/>
                <w:sz w:val="18"/>
                <w:szCs w:val="18"/>
              </w:rPr>
              <w:t>设置NH</w:t>
            </w:r>
            <w:r>
              <w:rPr>
                <w:rFonts w:hint="eastAsia"/>
                <w:sz w:val="18"/>
                <w:szCs w:val="18"/>
                <w:vertAlign w:val="subscript"/>
              </w:rPr>
              <w:t>3</w:t>
            </w:r>
            <w:r>
              <w:rPr>
                <w:rFonts w:hint="eastAsia"/>
                <w:sz w:val="18"/>
                <w:szCs w:val="18"/>
              </w:rPr>
              <w:t>、CO、甲烷、氢气等</w:t>
            </w:r>
            <w:r>
              <w:rPr>
                <w:sz w:val="18"/>
                <w:szCs w:val="18"/>
              </w:rPr>
              <w:t>有毒</w:t>
            </w:r>
            <w:r>
              <w:rPr>
                <w:rFonts w:hint="eastAsia"/>
                <w:sz w:val="18"/>
                <w:szCs w:val="18"/>
              </w:rPr>
              <w:t>有害</w:t>
            </w:r>
            <w:r>
              <w:rPr>
                <w:sz w:val="18"/>
                <w:szCs w:val="18"/>
              </w:rPr>
              <w:t>、可燃气体</w:t>
            </w:r>
            <w:r>
              <w:rPr>
                <w:rFonts w:hint="eastAsia"/>
                <w:sz w:val="18"/>
                <w:szCs w:val="18"/>
              </w:rPr>
              <w:t>探测</w:t>
            </w:r>
            <w:r>
              <w:rPr>
                <w:sz w:val="18"/>
                <w:szCs w:val="18"/>
              </w:rPr>
              <w:t>报警</w:t>
            </w:r>
            <w:r>
              <w:rPr>
                <w:rFonts w:hint="eastAsia"/>
                <w:sz w:val="18"/>
                <w:szCs w:val="18"/>
              </w:rPr>
              <w:t>装置</w:t>
            </w:r>
          </w:p>
        </w:tc>
        <w:tc>
          <w:tcPr>
            <w:tcW w:w="631" w:type="pct"/>
            <w:vAlign w:val="center"/>
          </w:tcPr>
          <w:p>
            <w:pPr>
              <w:pStyle w:val="42"/>
              <w:rPr>
                <w:sz w:val="18"/>
                <w:szCs w:val="18"/>
              </w:rPr>
            </w:pPr>
            <w:r>
              <w:rPr>
                <w:rFonts w:hint="eastAsia"/>
                <w:sz w:val="18"/>
                <w:szCs w:val="18"/>
              </w:rPr>
              <w:t>若干</w:t>
            </w:r>
          </w:p>
        </w:tc>
        <w:tc>
          <w:tcPr>
            <w:tcW w:w="1886" w:type="pct"/>
            <w:vAlign w:val="center"/>
          </w:tcPr>
          <w:p>
            <w:pPr>
              <w:pStyle w:val="42"/>
              <w:rPr>
                <w:sz w:val="18"/>
                <w:szCs w:val="18"/>
              </w:rPr>
            </w:pPr>
            <w:r>
              <w:rPr>
                <w:sz w:val="18"/>
                <w:szCs w:val="18"/>
              </w:rPr>
              <w:t>与</w:t>
            </w:r>
            <w:r>
              <w:rPr>
                <w:rFonts w:hint="eastAsia"/>
                <w:sz w:val="18"/>
                <w:szCs w:val="18"/>
              </w:rPr>
              <w:t>厂区</w:t>
            </w:r>
            <w:r>
              <w:rPr>
                <w:sz w:val="18"/>
                <w:szCs w:val="18"/>
              </w:rPr>
              <w:t>报警系统联动</w:t>
            </w:r>
          </w:p>
        </w:tc>
        <w:tc>
          <w:tcPr>
            <w:tcW w:w="900" w:type="pct"/>
            <w:vAlign w:val="center"/>
          </w:tcPr>
          <w:p>
            <w:pPr>
              <w:pStyle w:val="42"/>
              <w:rPr>
                <w:sz w:val="18"/>
                <w:szCs w:val="18"/>
              </w:rPr>
            </w:pPr>
            <w:r>
              <w:rPr>
                <w:sz w:val="18"/>
                <w:szCs w:val="18"/>
              </w:rPr>
              <w:t>及时发现泄漏，及时处理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2</w:t>
            </w:r>
          </w:p>
        </w:tc>
        <w:tc>
          <w:tcPr>
            <w:tcW w:w="1259" w:type="pct"/>
            <w:vAlign w:val="center"/>
          </w:tcPr>
          <w:p>
            <w:pPr>
              <w:pStyle w:val="42"/>
              <w:rPr>
                <w:sz w:val="18"/>
                <w:szCs w:val="18"/>
              </w:rPr>
            </w:pPr>
            <w:r>
              <w:rPr>
                <w:rFonts w:hint="eastAsia"/>
                <w:sz w:val="18"/>
                <w:szCs w:val="18"/>
              </w:rPr>
              <w:t>合成氨装置区和二氧化碳回收装置区设置围堤和导流设施</w:t>
            </w:r>
          </w:p>
        </w:tc>
        <w:tc>
          <w:tcPr>
            <w:tcW w:w="631" w:type="pct"/>
            <w:vAlign w:val="center"/>
          </w:tcPr>
          <w:p>
            <w:pPr>
              <w:pStyle w:val="42"/>
              <w:rPr>
                <w:sz w:val="18"/>
                <w:szCs w:val="18"/>
              </w:rPr>
            </w:pPr>
            <w:r>
              <w:rPr>
                <w:rFonts w:hint="eastAsia"/>
                <w:sz w:val="18"/>
                <w:szCs w:val="18"/>
              </w:rPr>
              <w:t>2</w:t>
            </w:r>
          </w:p>
        </w:tc>
        <w:tc>
          <w:tcPr>
            <w:tcW w:w="1886" w:type="pct"/>
            <w:vAlign w:val="center"/>
          </w:tcPr>
          <w:p>
            <w:pPr>
              <w:pStyle w:val="42"/>
              <w:rPr>
                <w:sz w:val="18"/>
                <w:szCs w:val="18"/>
              </w:rPr>
            </w:pPr>
            <w:r>
              <w:rPr>
                <w:rFonts w:hint="eastAsia"/>
                <w:sz w:val="18"/>
                <w:szCs w:val="18"/>
              </w:rPr>
              <w:t>围堤和导流设施均防腐、防渗处理</w:t>
            </w:r>
          </w:p>
        </w:tc>
        <w:tc>
          <w:tcPr>
            <w:tcW w:w="900" w:type="pct"/>
            <w:vAlign w:val="center"/>
          </w:tcPr>
          <w:p>
            <w:pPr>
              <w:pStyle w:val="42"/>
              <w:rPr>
                <w:sz w:val="18"/>
                <w:szCs w:val="18"/>
              </w:rPr>
            </w:pPr>
            <w:r>
              <w:rPr>
                <w:rFonts w:hint="eastAsia"/>
                <w:sz w:val="18"/>
                <w:szCs w:val="18"/>
              </w:rPr>
              <w:t>有效收集泄漏的物料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3</w:t>
            </w:r>
          </w:p>
        </w:tc>
        <w:tc>
          <w:tcPr>
            <w:tcW w:w="1259" w:type="pct"/>
            <w:vAlign w:val="center"/>
          </w:tcPr>
          <w:p>
            <w:pPr>
              <w:pStyle w:val="42"/>
              <w:rPr>
                <w:sz w:val="18"/>
                <w:szCs w:val="18"/>
              </w:rPr>
            </w:pPr>
            <w:r>
              <w:rPr>
                <w:rFonts w:hint="eastAsia"/>
                <w:sz w:val="18"/>
                <w:szCs w:val="18"/>
              </w:rPr>
              <w:t>合成氨装置区设置水喷淋装置</w:t>
            </w:r>
          </w:p>
        </w:tc>
        <w:tc>
          <w:tcPr>
            <w:tcW w:w="631" w:type="pct"/>
            <w:vAlign w:val="center"/>
          </w:tcPr>
          <w:p>
            <w:pPr>
              <w:pStyle w:val="42"/>
              <w:rPr>
                <w:sz w:val="18"/>
                <w:szCs w:val="18"/>
              </w:rPr>
            </w:pPr>
            <w:r>
              <w:rPr>
                <w:rFonts w:hint="eastAsia"/>
                <w:sz w:val="18"/>
                <w:szCs w:val="18"/>
              </w:rPr>
              <w:t>1</w:t>
            </w:r>
          </w:p>
        </w:tc>
        <w:tc>
          <w:tcPr>
            <w:tcW w:w="1886" w:type="pct"/>
            <w:vAlign w:val="center"/>
          </w:tcPr>
          <w:p>
            <w:pPr>
              <w:pStyle w:val="42"/>
              <w:rPr>
                <w:sz w:val="18"/>
                <w:szCs w:val="18"/>
              </w:rPr>
            </w:pPr>
            <w:r>
              <w:rPr>
                <w:rFonts w:hint="eastAsia"/>
                <w:sz w:val="18"/>
                <w:szCs w:val="18"/>
              </w:rPr>
              <w:t>/</w:t>
            </w:r>
          </w:p>
        </w:tc>
        <w:tc>
          <w:tcPr>
            <w:tcW w:w="900" w:type="pct"/>
            <w:vAlign w:val="center"/>
          </w:tcPr>
          <w:p>
            <w:pPr>
              <w:pStyle w:val="42"/>
              <w:rPr>
                <w:sz w:val="18"/>
                <w:szCs w:val="18"/>
              </w:rPr>
            </w:pPr>
            <w:r>
              <w:rPr>
                <w:rFonts w:hint="eastAsia"/>
                <w:sz w:val="18"/>
                <w:szCs w:val="18"/>
              </w:rPr>
              <w:t>吸收、处理事故性泄漏的氨气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二</w:t>
            </w:r>
          </w:p>
        </w:tc>
        <w:tc>
          <w:tcPr>
            <w:tcW w:w="4676" w:type="pct"/>
            <w:gridSpan w:val="4"/>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储罐区和液氨输送管道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4</w:t>
            </w:r>
          </w:p>
        </w:tc>
        <w:tc>
          <w:tcPr>
            <w:tcW w:w="1259" w:type="pct"/>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储罐安全阀</w:t>
            </w:r>
          </w:p>
        </w:tc>
        <w:tc>
          <w:tcPr>
            <w:tcW w:w="631" w:type="pct"/>
            <w:vAlign w:val="center"/>
          </w:tcPr>
          <w:p>
            <w:pPr>
              <w:pStyle w:val="42"/>
              <w:rPr>
                <w:sz w:val="18"/>
                <w:szCs w:val="18"/>
              </w:rPr>
            </w:pPr>
            <w:r>
              <w:rPr>
                <w:rFonts w:hint="eastAsia"/>
                <w:sz w:val="18"/>
                <w:szCs w:val="18"/>
              </w:rPr>
              <w:t>3</w:t>
            </w:r>
          </w:p>
        </w:tc>
        <w:tc>
          <w:tcPr>
            <w:tcW w:w="1886" w:type="pct"/>
            <w:vAlign w:val="center"/>
          </w:tcPr>
          <w:p>
            <w:pPr>
              <w:pStyle w:val="42"/>
              <w:rPr>
                <w:sz w:val="18"/>
                <w:szCs w:val="18"/>
              </w:rPr>
            </w:pPr>
            <w:r>
              <w:rPr>
                <w:rFonts w:hint="eastAsia"/>
                <w:sz w:val="18"/>
                <w:szCs w:val="18"/>
              </w:rPr>
              <w:t>CO</w:t>
            </w:r>
            <w:r>
              <w:rPr>
                <w:rFonts w:hint="eastAsia"/>
                <w:sz w:val="18"/>
                <w:szCs w:val="18"/>
                <w:vertAlign w:val="subscript"/>
              </w:rPr>
              <w:t>2</w:t>
            </w:r>
            <w:r>
              <w:rPr>
                <w:rFonts w:hint="eastAsia"/>
                <w:sz w:val="18"/>
                <w:szCs w:val="18"/>
              </w:rPr>
              <w:t>储罐配套设置安全阀</w:t>
            </w:r>
          </w:p>
        </w:tc>
        <w:tc>
          <w:tcPr>
            <w:tcW w:w="900" w:type="pct"/>
            <w:vAlign w:val="center"/>
          </w:tcPr>
          <w:p>
            <w:pPr>
              <w:pStyle w:val="42"/>
              <w:rPr>
                <w:sz w:val="18"/>
                <w:szCs w:val="18"/>
              </w:rPr>
            </w:pPr>
            <w:r>
              <w:rPr>
                <w:rFonts w:hint="eastAsia"/>
                <w:sz w:val="18"/>
                <w:szCs w:val="18"/>
              </w:rPr>
              <w:t>控制储罐压力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5</w:t>
            </w:r>
          </w:p>
        </w:tc>
        <w:tc>
          <w:tcPr>
            <w:tcW w:w="1259" w:type="pct"/>
            <w:vAlign w:val="center"/>
          </w:tcPr>
          <w:p>
            <w:pPr>
              <w:pStyle w:val="42"/>
              <w:rPr>
                <w:sz w:val="18"/>
                <w:szCs w:val="18"/>
              </w:rPr>
            </w:pPr>
            <w:r>
              <w:rPr>
                <w:rFonts w:hint="eastAsia"/>
                <w:sz w:val="18"/>
                <w:szCs w:val="18"/>
              </w:rPr>
              <w:t>液氨管道压力监控系统</w:t>
            </w:r>
          </w:p>
        </w:tc>
        <w:tc>
          <w:tcPr>
            <w:tcW w:w="631" w:type="pct"/>
            <w:vAlign w:val="center"/>
          </w:tcPr>
          <w:p>
            <w:pPr>
              <w:pStyle w:val="42"/>
              <w:rPr>
                <w:sz w:val="18"/>
                <w:szCs w:val="18"/>
              </w:rPr>
            </w:pPr>
            <w:r>
              <w:rPr>
                <w:rFonts w:hint="eastAsia"/>
                <w:sz w:val="18"/>
                <w:szCs w:val="18"/>
              </w:rPr>
              <w:t>1</w:t>
            </w:r>
          </w:p>
        </w:tc>
        <w:tc>
          <w:tcPr>
            <w:tcW w:w="1886" w:type="pct"/>
            <w:vAlign w:val="center"/>
          </w:tcPr>
          <w:p>
            <w:pPr>
              <w:pStyle w:val="42"/>
              <w:rPr>
                <w:sz w:val="18"/>
                <w:szCs w:val="18"/>
              </w:rPr>
            </w:pPr>
            <w:r>
              <w:rPr>
                <w:rFonts w:hint="eastAsia"/>
                <w:sz w:val="18"/>
                <w:szCs w:val="18"/>
              </w:rPr>
              <w:t>液氨输送管道设压力监控系统，泄漏后压力下降，可根据泄漏点位置，通过切断两侧阀门，另外管线设计有氮置换排放口，可将管线中的液氨置换排放至氨火炬系统，以控制和处置管道泄漏影响。</w:t>
            </w:r>
          </w:p>
        </w:tc>
        <w:tc>
          <w:tcPr>
            <w:tcW w:w="900" w:type="pct"/>
            <w:vAlign w:val="center"/>
          </w:tcPr>
          <w:p>
            <w:pPr>
              <w:pStyle w:val="42"/>
              <w:rPr>
                <w:sz w:val="18"/>
                <w:szCs w:val="18"/>
              </w:rPr>
            </w:pPr>
            <w:r>
              <w:rPr>
                <w:rFonts w:hint="eastAsia"/>
                <w:sz w:val="18"/>
                <w:szCs w:val="18"/>
              </w:rPr>
              <w:t>第一时间发现泄漏，控制泄漏影响。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三</w:t>
            </w:r>
          </w:p>
        </w:tc>
        <w:tc>
          <w:tcPr>
            <w:tcW w:w="4676" w:type="pct"/>
            <w:gridSpan w:val="4"/>
            <w:vAlign w:val="center"/>
          </w:tcPr>
          <w:p>
            <w:pPr>
              <w:pStyle w:val="42"/>
              <w:rPr>
                <w:sz w:val="18"/>
                <w:szCs w:val="18"/>
              </w:rPr>
            </w:pPr>
            <w:r>
              <w:rPr>
                <w:rFonts w:hint="eastAsia"/>
                <w:sz w:val="18"/>
                <w:szCs w:val="18"/>
              </w:rPr>
              <w:t>其他防范措施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8" w:hRule="atLeast"/>
          <w:jc w:val="center"/>
        </w:trPr>
        <w:tc>
          <w:tcPr>
            <w:tcW w:w="324" w:type="pct"/>
            <w:vAlign w:val="center"/>
          </w:tcPr>
          <w:p>
            <w:pPr>
              <w:pStyle w:val="42"/>
              <w:rPr>
                <w:sz w:val="18"/>
                <w:szCs w:val="18"/>
              </w:rPr>
            </w:pPr>
            <w:r>
              <w:rPr>
                <w:rFonts w:hint="eastAsia"/>
                <w:sz w:val="18"/>
                <w:szCs w:val="18"/>
              </w:rPr>
              <w:t>6</w:t>
            </w:r>
          </w:p>
        </w:tc>
        <w:tc>
          <w:tcPr>
            <w:tcW w:w="1259" w:type="pct"/>
            <w:vAlign w:val="center"/>
          </w:tcPr>
          <w:p>
            <w:pPr>
              <w:pStyle w:val="42"/>
              <w:rPr>
                <w:sz w:val="18"/>
                <w:szCs w:val="18"/>
              </w:rPr>
            </w:pPr>
            <w:r>
              <w:rPr>
                <w:rFonts w:hint="eastAsia"/>
                <w:sz w:val="18"/>
                <w:szCs w:val="18"/>
              </w:rPr>
              <w:t>事故应急池</w:t>
            </w:r>
          </w:p>
        </w:tc>
        <w:tc>
          <w:tcPr>
            <w:tcW w:w="631" w:type="pct"/>
            <w:vAlign w:val="center"/>
          </w:tcPr>
          <w:p>
            <w:pPr>
              <w:pStyle w:val="42"/>
              <w:rPr>
                <w:sz w:val="18"/>
                <w:szCs w:val="18"/>
              </w:rPr>
            </w:pPr>
            <w:r>
              <w:rPr>
                <w:rFonts w:hint="eastAsia"/>
                <w:sz w:val="18"/>
                <w:szCs w:val="18"/>
              </w:rPr>
              <w:t>1</w:t>
            </w:r>
          </w:p>
        </w:tc>
        <w:tc>
          <w:tcPr>
            <w:tcW w:w="1886" w:type="pct"/>
            <w:vAlign w:val="center"/>
          </w:tcPr>
          <w:p>
            <w:pPr>
              <w:pStyle w:val="42"/>
              <w:rPr>
                <w:sz w:val="18"/>
                <w:szCs w:val="18"/>
              </w:rPr>
            </w:pPr>
            <w:r>
              <w:rPr>
                <w:rFonts w:hint="eastAsia"/>
                <w:sz w:val="18"/>
                <w:szCs w:val="18"/>
              </w:rPr>
              <w:t>有效容积1800m</w:t>
            </w:r>
            <w:r>
              <w:rPr>
                <w:rFonts w:hint="eastAsia"/>
                <w:sz w:val="18"/>
                <w:szCs w:val="18"/>
                <w:vertAlign w:val="superscript"/>
              </w:rPr>
              <w:t>3</w:t>
            </w:r>
            <w:r>
              <w:rPr>
                <w:rFonts w:hint="eastAsia"/>
                <w:sz w:val="18"/>
                <w:szCs w:val="18"/>
              </w:rPr>
              <w:t>，</w:t>
            </w:r>
            <w:r>
              <w:rPr>
                <w:sz w:val="18"/>
                <w:szCs w:val="18"/>
              </w:rPr>
              <w:t>各生产</w:t>
            </w:r>
            <w:r>
              <w:rPr>
                <w:rFonts w:hint="eastAsia"/>
                <w:sz w:val="18"/>
                <w:szCs w:val="18"/>
              </w:rPr>
              <w:t>装置区围堤、</w:t>
            </w:r>
            <w:r>
              <w:rPr>
                <w:sz w:val="18"/>
                <w:szCs w:val="18"/>
              </w:rPr>
              <w:t>初期雨水沟</w:t>
            </w:r>
            <w:r>
              <w:rPr>
                <w:rFonts w:hint="eastAsia"/>
                <w:sz w:val="18"/>
                <w:szCs w:val="18"/>
              </w:rPr>
              <w:t>等</w:t>
            </w:r>
            <w:r>
              <w:rPr>
                <w:sz w:val="18"/>
                <w:szCs w:val="18"/>
              </w:rPr>
              <w:t>均与事故池相连，并设有雨污</w:t>
            </w:r>
            <w:r>
              <w:rPr>
                <w:rFonts w:hint="eastAsia"/>
                <w:sz w:val="18"/>
                <w:szCs w:val="18"/>
              </w:rPr>
              <w:t>切换</w:t>
            </w:r>
            <w:r>
              <w:rPr>
                <w:sz w:val="18"/>
                <w:szCs w:val="18"/>
              </w:rPr>
              <w:t xml:space="preserve">阀 </w:t>
            </w:r>
          </w:p>
        </w:tc>
        <w:tc>
          <w:tcPr>
            <w:tcW w:w="900" w:type="pct"/>
            <w:vAlign w:val="center"/>
          </w:tcPr>
          <w:p>
            <w:pPr>
              <w:pStyle w:val="42"/>
              <w:rPr>
                <w:sz w:val="18"/>
                <w:szCs w:val="18"/>
              </w:rPr>
            </w:pPr>
            <w:r>
              <w:rPr>
                <w:rFonts w:hint="eastAsia"/>
                <w:sz w:val="18"/>
                <w:szCs w:val="18"/>
              </w:rPr>
              <w:t>有效收集事故废水，</w:t>
            </w:r>
            <w:r>
              <w:rPr>
                <w:sz w:val="18"/>
                <w:szCs w:val="18"/>
              </w:rPr>
              <w:t>确保事故排污水在第一时间得到收集、处理。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4" w:type="pct"/>
            <w:vAlign w:val="center"/>
          </w:tcPr>
          <w:p>
            <w:pPr>
              <w:pStyle w:val="42"/>
              <w:rPr>
                <w:sz w:val="18"/>
                <w:szCs w:val="18"/>
              </w:rPr>
            </w:pPr>
            <w:r>
              <w:rPr>
                <w:rFonts w:hint="eastAsia"/>
                <w:sz w:val="18"/>
                <w:szCs w:val="18"/>
              </w:rPr>
              <w:t>7</w:t>
            </w:r>
          </w:p>
        </w:tc>
        <w:tc>
          <w:tcPr>
            <w:tcW w:w="1259" w:type="pct"/>
            <w:vAlign w:val="center"/>
          </w:tcPr>
          <w:p>
            <w:pPr>
              <w:pStyle w:val="42"/>
              <w:rPr>
                <w:sz w:val="18"/>
                <w:szCs w:val="18"/>
              </w:rPr>
            </w:pPr>
            <w:r>
              <w:rPr>
                <w:rFonts w:hint="eastAsia"/>
                <w:sz w:val="18"/>
                <w:szCs w:val="18"/>
              </w:rPr>
              <w:t>风险防范制度</w:t>
            </w:r>
          </w:p>
        </w:tc>
        <w:tc>
          <w:tcPr>
            <w:tcW w:w="631" w:type="pct"/>
            <w:vAlign w:val="center"/>
          </w:tcPr>
          <w:p>
            <w:pPr>
              <w:pStyle w:val="42"/>
              <w:rPr>
                <w:sz w:val="18"/>
                <w:szCs w:val="18"/>
              </w:rPr>
            </w:pPr>
            <w:r>
              <w:rPr>
                <w:rFonts w:hint="eastAsia"/>
                <w:sz w:val="18"/>
                <w:szCs w:val="18"/>
              </w:rPr>
              <w:t>/</w:t>
            </w:r>
          </w:p>
        </w:tc>
        <w:tc>
          <w:tcPr>
            <w:tcW w:w="1886" w:type="pct"/>
            <w:vAlign w:val="center"/>
          </w:tcPr>
          <w:p>
            <w:pPr>
              <w:pStyle w:val="42"/>
              <w:rPr>
                <w:sz w:val="18"/>
                <w:szCs w:val="18"/>
              </w:rPr>
            </w:pPr>
            <w:r>
              <w:rPr>
                <w:sz w:val="18"/>
                <w:szCs w:val="18"/>
              </w:rPr>
              <w:t>制定有应急预案</w:t>
            </w:r>
            <w:r>
              <w:rPr>
                <w:rFonts w:hint="eastAsia"/>
                <w:sz w:val="18"/>
                <w:szCs w:val="18"/>
              </w:rPr>
              <w:t>并</w:t>
            </w:r>
            <w:r>
              <w:rPr>
                <w:sz w:val="18"/>
                <w:szCs w:val="18"/>
              </w:rPr>
              <w:t>落实制度；配备有应急</w:t>
            </w:r>
            <w:r>
              <w:rPr>
                <w:rFonts w:hint="eastAsia"/>
                <w:sz w:val="18"/>
                <w:szCs w:val="18"/>
              </w:rPr>
              <w:t>救援物资；设置危险物质特性、应急处置措施及警示的标志</w:t>
            </w:r>
          </w:p>
        </w:tc>
        <w:tc>
          <w:tcPr>
            <w:tcW w:w="900" w:type="pct"/>
            <w:vAlign w:val="center"/>
          </w:tcPr>
          <w:p>
            <w:pPr>
              <w:pStyle w:val="42"/>
              <w:rPr>
                <w:sz w:val="18"/>
                <w:szCs w:val="18"/>
              </w:rPr>
            </w:pPr>
            <w:r>
              <w:rPr>
                <w:rFonts w:hint="eastAsia"/>
                <w:sz w:val="18"/>
                <w:szCs w:val="18"/>
              </w:rPr>
              <w:t>事故状态下及时开展救援工作</w:t>
            </w:r>
          </w:p>
        </w:tc>
      </w:tr>
    </w:tbl>
    <w:p>
      <w:pPr>
        <w:pStyle w:val="4"/>
        <w:spacing w:before="163" w:after="163"/>
      </w:pPr>
      <w:bookmarkStart w:id="207" w:name="_Toc84844368"/>
      <w:r>
        <w:rPr>
          <w:rFonts w:hint="eastAsia"/>
        </w:rPr>
        <w:t>9.4.4污染源排放清单</w:t>
      </w:r>
      <w:bookmarkEnd w:id="207"/>
    </w:p>
    <w:p>
      <w:pPr>
        <w:ind w:firstLine="480"/>
      </w:pPr>
      <w:r>
        <w:rPr>
          <w:rFonts w:hint="eastAsia"/>
        </w:rPr>
        <w:t>拟建项目污染源排放清单见表9.4-5至9.4-8。</w:t>
      </w:r>
    </w:p>
    <w:p>
      <w:pPr>
        <w:pStyle w:val="41"/>
      </w:pPr>
      <w:r>
        <w:rPr>
          <w:rFonts w:hint="eastAsia"/>
        </w:rPr>
        <w:t>表9.4-5废气污染物排放清单</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20"/>
        <w:gridCol w:w="1134"/>
        <w:gridCol w:w="850"/>
        <w:gridCol w:w="850"/>
        <w:gridCol w:w="994"/>
        <w:gridCol w:w="99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restart"/>
            <w:shd w:val="clear" w:color="auto" w:fill="auto"/>
            <w:vAlign w:val="center"/>
          </w:tcPr>
          <w:p>
            <w:pPr>
              <w:pStyle w:val="42"/>
            </w:pPr>
            <w:bookmarkStart w:id="208" w:name="RANGE!B2"/>
            <w:r>
              <w:t>污染源</w:t>
            </w:r>
            <w:bookmarkEnd w:id="208"/>
          </w:p>
        </w:tc>
        <w:tc>
          <w:tcPr>
            <w:tcW w:w="1126" w:type="pct"/>
            <w:vMerge w:val="restart"/>
            <w:shd w:val="clear" w:color="auto" w:fill="auto"/>
            <w:vAlign w:val="center"/>
          </w:tcPr>
          <w:p>
            <w:pPr>
              <w:pStyle w:val="42"/>
            </w:pPr>
            <w:r>
              <w:t>排放标准</w:t>
            </w:r>
          </w:p>
          <w:p>
            <w:pPr>
              <w:pStyle w:val="42"/>
            </w:pPr>
            <w:r>
              <w:t>及标准号</w:t>
            </w:r>
          </w:p>
        </w:tc>
        <w:tc>
          <w:tcPr>
            <w:tcW w:w="665" w:type="pct"/>
            <w:vMerge w:val="restart"/>
            <w:shd w:val="clear" w:color="auto" w:fill="auto"/>
            <w:vAlign w:val="center"/>
          </w:tcPr>
          <w:p>
            <w:pPr>
              <w:pStyle w:val="42"/>
            </w:pPr>
            <w:r>
              <w:t>污染</w:t>
            </w:r>
          </w:p>
          <w:p>
            <w:pPr>
              <w:pStyle w:val="42"/>
            </w:pPr>
            <w:r>
              <w:t>因子</w:t>
            </w:r>
          </w:p>
        </w:tc>
        <w:tc>
          <w:tcPr>
            <w:tcW w:w="1581" w:type="pct"/>
            <w:gridSpan w:val="3"/>
            <w:shd w:val="clear" w:color="auto" w:fill="auto"/>
            <w:vAlign w:val="center"/>
          </w:tcPr>
          <w:p>
            <w:pPr>
              <w:pStyle w:val="42"/>
            </w:pPr>
            <w:r>
              <w:t>有组织排放</w:t>
            </w:r>
          </w:p>
        </w:tc>
        <w:tc>
          <w:tcPr>
            <w:tcW w:w="581" w:type="pct"/>
            <w:vMerge w:val="restart"/>
            <w:shd w:val="clear" w:color="auto" w:fill="auto"/>
            <w:vAlign w:val="center"/>
          </w:tcPr>
          <w:p>
            <w:pPr>
              <w:pStyle w:val="42"/>
            </w:pPr>
            <w:r>
              <w:t>无组织排放浓度值mg/m</w:t>
            </w:r>
            <w:r>
              <w:rPr>
                <w:vertAlign w:val="superscript"/>
              </w:rPr>
              <w:t>3</w:t>
            </w:r>
          </w:p>
        </w:tc>
        <w:tc>
          <w:tcPr>
            <w:tcW w:w="529" w:type="pct"/>
            <w:vMerge w:val="restart"/>
            <w:shd w:val="clear" w:color="auto" w:fill="auto"/>
            <w:vAlign w:val="center"/>
          </w:tcPr>
          <w:p>
            <w:pPr>
              <w:pStyle w:val="42"/>
            </w:pPr>
            <w:r>
              <w:t>总量</w:t>
            </w:r>
          </w:p>
          <w:p>
            <w:pPr>
              <w:pStyle w:val="42"/>
            </w:pPr>
            <w:r>
              <w:t>指标</w:t>
            </w:r>
          </w:p>
          <w:p>
            <w:pPr>
              <w:pStyle w:val="42"/>
            </w:pP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shd w:val="clear" w:color="auto" w:fill="auto"/>
            <w:vAlign w:val="center"/>
          </w:tcPr>
          <w:p>
            <w:pPr>
              <w:pStyle w:val="42"/>
            </w:pPr>
          </w:p>
        </w:tc>
        <w:tc>
          <w:tcPr>
            <w:tcW w:w="665" w:type="pct"/>
            <w:vMerge w:val="continue"/>
            <w:shd w:val="clear" w:color="auto" w:fill="auto"/>
            <w:vAlign w:val="center"/>
          </w:tcPr>
          <w:p>
            <w:pPr>
              <w:pStyle w:val="42"/>
            </w:pPr>
          </w:p>
        </w:tc>
        <w:tc>
          <w:tcPr>
            <w:tcW w:w="499" w:type="pct"/>
            <w:shd w:val="clear" w:color="auto" w:fill="auto"/>
            <w:vAlign w:val="center"/>
          </w:tcPr>
          <w:p>
            <w:pPr>
              <w:pStyle w:val="42"/>
            </w:pPr>
            <w:r>
              <w:t>排放口高度m</w:t>
            </w:r>
          </w:p>
        </w:tc>
        <w:tc>
          <w:tcPr>
            <w:tcW w:w="499" w:type="pct"/>
            <w:shd w:val="clear" w:color="auto" w:fill="auto"/>
            <w:vAlign w:val="center"/>
          </w:tcPr>
          <w:p>
            <w:pPr>
              <w:pStyle w:val="42"/>
            </w:pPr>
            <w:r>
              <w:t>浓度mg/m</w:t>
            </w:r>
            <w:r>
              <w:rPr>
                <w:vertAlign w:val="superscript"/>
              </w:rPr>
              <w:t>3</w:t>
            </w:r>
          </w:p>
        </w:tc>
        <w:tc>
          <w:tcPr>
            <w:tcW w:w="583" w:type="pct"/>
            <w:shd w:val="clear" w:color="auto" w:fill="auto"/>
            <w:vAlign w:val="center"/>
          </w:tcPr>
          <w:p>
            <w:pPr>
              <w:pStyle w:val="42"/>
            </w:pPr>
            <w:r>
              <w:t>速率限值kg/h</w:t>
            </w:r>
          </w:p>
        </w:tc>
        <w:tc>
          <w:tcPr>
            <w:tcW w:w="581" w:type="pct"/>
            <w:vMerge w:val="continue"/>
            <w:vAlign w:val="center"/>
          </w:tcPr>
          <w:p>
            <w:pPr>
              <w:pStyle w:val="42"/>
            </w:pPr>
          </w:p>
        </w:tc>
        <w:tc>
          <w:tcPr>
            <w:tcW w:w="529" w:type="pct"/>
            <w:vMerge w:val="continue"/>
            <w:shd w:val="clear" w:color="auto" w:fill="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17" w:type="pct"/>
            <w:vMerge w:val="restart"/>
            <w:shd w:val="clear" w:color="auto" w:fill="auto"/>
            <w:vAlign w:val="center"/>
          </w:tcPr>
          <w:p>
            <w:pPr>
              <w:pStyle w:val="42"/>
            </w:pPr>
            <w:r>
              <w:rPr>
                <w:rFonts w:hint="eastAsia"/>
              </w:rPr>
              <w:t>一段转化炉</w:t>
            </w:r>
            <w:r>
              <w:t>排气筒</w:t>
            </w:r>
          </w:p>
        </w:tc>
        <w:tc>
          <w:tcPr>
            <w:tcW w:w="1126" w:type="pct"/>
            <w:vMerge w:val="restart"/>
            <w:shd w:val="clear" w:color="auto" w:fill="auto"/>
            <w:vAlign w:val="center"/>
          </w:tcPr>
          <w:p>
            <w:pPr>
              <w:pStyle w:val="42"/>
            </w:pPr>
            <w:r>
              <w:rPr>
                <w:rFonts w:hint="eastAsia"/>
              </w:rPr>
              <w:t>《无机化学工业污染物排放标准》（GB31573-2015）</w:t>
            </w:r>
          </w:p>
        </w:tc>
        <w:tc>
          <w:tcPr>
            <w:tcW w:w="665" w:type="pct"/>
            <w:shd w:val="clear" w:color="auto" w:fill="auto"/>
            <w:vAlign w:val="center"/>
          </w:tcPr>
          <w:p>
            <w:pPr>
              <w:pStyle w:val="42"/>
            </w:pPr>
            <w:r>
              <w:rPr>
                <w:rFonts w:hint="eastAsia"/>
              </w:rPr>
              <w:t>颗粒物</w:t>
            </w:r>
          </w:p>
        </w:tc>
        <w:tc>
          <w:tcPr>
            <w:tcW w:w="499" w:type="pct"/>
            <w:vMerge w:val="restart"/>
            <w:shd w:val="clear" w:color="auto" w:fill="auto"/>
            <w:vAlign w:val="center"/>
          </w:tcPr>
          <w:p>
            <w:pPr>
              <w:pStyle w:val="42"/>
            </w:pPr>
            <w:r>
              <w:rPr>
                <w:rFonts w:hint="eastAsia"/>
              </w:rPr>
              <w:t>60</w:t>
            </w:r>
          </w:p>
        </w:tc>
        <w:tc>
          <w:tcPr>
            <w:tcW w:w="499" w:type="pct"/>
            <w:shd w:val="clear" w:color="auto" w:fill="auto"/>
            <w:vAlign w:val="center"/>
          </w:tcPr>
          <w:p>
            <w:pPr>
              <w:pStyle w:val="42"/>
            </w:pPr>
            <w:r>
              <w:rPr>
                <w:rFonts w:hint="eastAsia"/>
              </w:rPr>
              <w:t>30</w:t>
            </w:r>
          </w:p>
        </w:tc>
        <w:tc>
          <w:tcPr>
            <w:tcW w:w="583" w:type="pct"/>
            <w:shd w:val="clear" w:color="auto" w:fill="auto"/>
            <w:vAlign w:val="center"/>
          </w:tcPr>
          <w:p>
            <w:pPr>
              <w:pStyle w:val="42"/>
            </w:pPr>
            <w:r>
              <w:t>/</w:t>
            </w:r>
          </w:p>
        </w:tc>
        <w:tc>
          <w:tcPr>
            <w:tcW w:w="581" w:type="pct"/>
            <w:vMerge w:val="restart"/>
            <w:shd w:val="clear" w:color="auto" w:fill="auto"/>
            <w:vAlign w:val="center"/>
          </w:tcPr>
          <w:p>
            <w:pPr>
              <w:pStyle w:val="42"/>
            </w:pPr>
            <w:r>
              <w:t>/</w:t>
            </w:r>
          </w:p>
        </w:tc>
        <w:tc>
          <w:tcPr>
            <w:tcW w:w="529" w:type="pct"/>
            <w:shd w:val="clear" w:color="auto" w:fill="auto"/>
            <w:vAlign w:val="center"/>
          </w:tcPr>
          <w:p>
            <w:pPr>
              <w:pStyle w:val="42"/>
              <w:rPr>
                <w:rFonts w:ascii="宋体" w:hAnsi="宋体" w:cs="宋体"/>
              </w:rP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vAlign w:val="center"/>
          </w:tcPr>
          <w:p>
            <w:pPr>
              <w:pStyle w:val="42"/>
            </w:pPr>
          </w:p>
        </w:tc>
        <w:tc>
          <w:tcPr>
            <w:tcW w:w="665" w:type="pct"/>
            <w:shd w:val="clear" w:color="auto" w:fill="auto"/>
            <w:vAlign w:val="center"/>
          </w:tcPr>
          <w:p>
            <w:pPr>
              <w:pStyle w:val="42"/>
            </w:pPr>
            <w:r>
              <w:rPr>
                <w:rFonts w:hint="eastAsia"/>
              </w:rPr>
              <w:t>氮氧化物</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200</w:t>
            </w:r>
          </w:p>
        </w:tc>
        <w:tc>
          <w:tcPr>
            <w:tcW w:w="583" w:type="pct"/>
            <w:shd w:val="clear" w:color="auto" w:fill="auto"/>
            <w:vAlign w:val="center"/>
          </w:tcPr>
          <w:p>
            <w:pPr>
              <w:pStyle w:val="42"/>
            </w:pPr>
            <w:r>
              <w:t>/</w:t>
            </w:r>
          </w:p>
        </w:tc>
        <w:tc>
          <w:tcPr>
            <w:tcW w:w="581" w:type="pct"/>
            <w:vMerge w:val="continue"/>
            <w:vAlign w:val="center"/>
          </w:tcPr>
          <w:p>
            <w:pPr>
              <w:pStyle w:val="42"/>
            </w:pPr>
          </w:p>
        </w:tc>
        <w:tc>
          <w:tcPr>
            <w:tcW w:w="529" w:type="pct"/>
            <w:shd w:val="clear" w:color="auto" w:fill="auto"/>
            <w:vAlign w:val="center"/>
          </w:tcPr>
          <w:p>
            <w:pPr>
              <w:pStyle w:val="42"/>
              <w:rPr>
                <w:rFonts w:ascii="宋体" w:hAnsi="宋体" w:cs="宋体"/>
              </w:rPr>
            </w:pPr>
            <w:r>
              <w:rPr>
                <w:rFonts w:hint="eastAsi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vAlign w:val="center"/>
          </w:tcPr>
          <w:p>
            <w:pPr>
              <w:pStyle w:val="42"/>
            </w:pPr>
          </w:p>
        </w:tc>
        <w:tc>
          <w:tcPr>
            <w:tcW w:w="665" w:type="pct"/>
            <w:shd w:val="clear" w:color="auto" w:fill="auto"/>
            <w:vAlign w:val="center"/>
          </w:tcPr>
          <w:p>
            <w:pPr>
              <w:pStyle w:val="42"/>
            </w:pPr>
            <w:r>
              <w:rPr>
                <w:rFonts w:hint="eastAsia"/>
              </w:rPr>
              <w:t>二氧化硫</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100</w:t>
            </w:r>
          </w:p>
        </w:tc>
        <w:tc>
          <w:tcPr>
            <w:tcW w:w="583" w:type="pct"/>
            <w:shd w:val="clear" w:color="auto" w:fill="auto"/>
            <w:vAlign w:val="center"/>
          </w:tcPr>
          <w:p>
            <w:pPr>
              <w:pStyle w:val="42"/>
            </w:pPr>
            <w:r>
              <w:t>/</w:t>
            </w:r>
          </w:p>
        </w:tc>
        <w:tc>
          <w:tcPr>
            <w:tcW w:w="581" w:type="pct"/>
            <w:vMerge w:val="continue"/>
            <w:vAlign w:val="center"/>
          </w:tcPr>
          <w:p>
            <w:pPr>
              <w:pStyle w:val="42"/>
            </w:pPr>
          </w:p>
        </w:tc>
        <w:tc>
          <w:tcPr>
            <w:tcW w:w="529" w:type="pct"/>
            <w:shd w:val="clear" w:color="auto" w:fill="auto"/>
            <w:vAlign w:val="center"/>
          </w:tcPr>
          <w:p>
            <w:pPr>
              <w:pStyle w:val="42"/>
              <w:rPr>
                <w:rFonts w:ascii="宋体" w:hAnsi="宋体" w:cs="宋体"/>
              </w:rPr>
            </w:pPr>
            <w:r>
              <w:rPr>
                <w:rFonts w:hint="eastAsia"/>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vAlign w:val="center"/>
          </w:tcPr>
          <w:p>
            <w:pPr>
              <w:pStyle w:val="42"/>
            </w:pPr>
          </w:p>
        </w:tc>
        <w:tc>
          <w:tcPr>
            <w:tcW w:w="665" w:type="pct"/>
            <w:shd w:val="clear" w:color="auto" w:fill="auto"/>
            <w:vAlign w:val="center"/>
          </w:tcPr>
          <w:p>
            <w:pPr>
              <w:pStyle w:val="42"/>
            </w:pPr>
            <w:r>
              <w:rPr>
                <w:rFonts w:hint="eastAsia"/>
              </w:rPr>
              <w:t>氨</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20</w:t>
            </w:r>
          </w:p>
        </w:tc>
        <w:tc>
          <w:tcPr>
            <w:tcW w:w="583" w:type="pct"/>
            <w:shd w:val="clear" w:color="auto" w:fill="auto"/>
            <w:vAlign w:val="center"/>
          </w:tcPr>
          <w:p>
            <w:pPr>
              <w:pStyle w:val="42"/>
            </w:pPr>
            <w:r>
              <w:t>/</w:t>
            </w:r>
          </w:p>
        </w:tc>
        <w:tc>
          <w:tcPr>
            <w:tcW w:w="581" w:type="pct"/>
            <w:vMerge w:val="continue"/>
            <w:vAlign w:val="center"/>
          </w:tcPr>
          <w:p>
            <w:pPr>
              <w:pStyle w:val="42"/>
            </w:pPr>
          </w:p>
        </w:tc>
        <w:tc>
          <w:tcPr>
            <w:tcW w:w="529" w:type="pct"/>
            <w:shd w:val="clear" w:color="auto" w:fill="auto"/>
            <w:vAlign w:val="center"/>
          </w:tcPr>
          <w:p>
            <w:pPr>
              <w:pStyle w:val="42"/>
              <w:rPr>
                <w:rFonts w:ascii="宋体" w:hAnsi="宋体" w:cs="宋体"/>
              </w:rPr>
            </w:pPr>
            <w:r>
              <w:rPr>
                <w:rFonts w:hint="eastAsia"/>
              </w:rPr>
              <w:t>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restart"/>
            <w:vAlign w:val="center"/>
          </w:tcPr>
          <w:p>
            <w:pPr>
              <w:pStyle w:val="42"/>
            </w:pPr>
            <w:r>
              <w:rPr>
                <w:rFonts w:hint="eastAsia"/>
              </w:rPr>
              <w:t>重庆市《大气污染物综合排放标准》（DB50/418-2016）</w:t>
            </w:r>
          </w:p>
        </w:tc>
        <w:tc>
          <w:tcPr>
            <w:tcW w:w="665" w:type="pct"/>
            <w:shd w:val="clear" w:color="auto" w:fill="auto"/>
            <w:vAlign w:val="center"/>
          </w:tcPr>
          <w:p>
            <w:pPr>
              <w:pStyle w:val="42"/>
            </w:pPr>
            <w:r>
              <w:rPr>
                <w:rFonts w:hint="eastAsia"/>
              </w:rPr>
              <w:t>甲醇</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190</w:t>
            </w:r>
          </w:p>
        </w:tc>
        <w:tc>
          <w:tcPr>
            <w:tcW w:w="583" w:type="pct"/>
            <w:shd w:val="clear" w:color="auto" w:fill="auto"/>
            <w:vAlign w:val="center"/>
          </w:tcPr>
          <w:p>
            <w:pPr>
              <w:pStyle w:val="42"/>
            </w:pPr>
            <w:r>
              <w:rPr>
                <w:rFonts w:hint="eastAsia"/>
              </w:rPr>
              <w:t>110.9</w:t>
            </w:r>
          </w:p>
        </w:tc>
        <w:tc>
          <w:tcPr>
            <w:tcW w:w="581" w:type="pct"/>
            <w:vMerge w:val="continue"/>
            <w:vAlign w:val="center"/>
          </w:tcPr>
          <w:p>
            <w:pPr>
              <w:pStyle w:val="42"/>
            </w:pPr>
          </w:p>
        </w:tc>
        <w:tc>
          <w:tcPr>
            <w:tcW w:w="529" w:type="pct"/>
            <w:shd w:val="clear" w:color="auto" w:fill="auto"/>
            <w:vAlign w:val="center"/>
          </w:tcPr>
          <w:p>
            <w:pPr>
              <w:pStyle w:val="42"/>
              <w:rPr>
                <w:rFonts w:ascii="宋体" w:hAnsi="宋体" w:cs="宋体"/>
              </w:rPr>
            </w:pPr>
            <w:r>
              <w:rPr>
                <w:rFonts w:hint="eastAsia"/>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vAlign w:val="center"/>
          </w:tcPr>
          <w:p>
            <w:pPr>
              <w:pStyle w:val="42"/>
            </w:pPr>
          </w:p>
        </w:tc>
        <w:tc>
          <w:tcPr>
            <w:tcW w:w="665" w:type="pct"/>
            <w:shd w:val="clear" w:color="auto" w:fill="auto"/>
            <w:vAlign w:val="center"/>
          </w:tcPr>
          <w:p>
            <w:pPr>
              <w:pStyle w:val="42"/>
            </w:pPr>
            <w:r>
              <w:rPr>
                <w:rFonts w:hint="eastAsia"/>
              </w:rPr>
              <w:t>非甲烷总烃</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120</w:t>
            </w:r>
          </w:p>
        </w:tc>
        <w:tc>
          <w:tcPr>
            <w:tcW w:w="583" w:type="pct"/>
            <w:shd w:val="clear" w:color="auto" w:fill="auto"/>
            <w:vAlign w:val="center"/>
          </w:tcPr>
          <w:p>
            <w:pPr>
              <w:pStyle w:val="42"/>
            </w:pPr>
            <w:r>
              <w:rPr>
                <w:rFonts w:hint="eastAsia"/>
              </w:rPr>
              <w:t>224.6</w:t>
            </w:r>
          </w:p>
        </w:tc>
        <w:tc>
          <w:tcPr>
            <w:tcW w:w="581" w:type="pct"/>
            <w:vMerge w:val="continue"/>
            <w:vAlign w:val="center"/>
          </w:tcPr>
          <w:p>
            <w:pPr>
              <w:pStyle w:val="42"/>
            </w:pPr>
          </w:p>
        </w:tc>
        <w:tc>
          <w:tcPr>
            <w:tcW w:w="529" w:type="pct"/>
            <w:shd w:val="clear" w:color="auto" w:fill="auto"/>
            <w:vAlign w:val="center"/>
          </w:tcPr>
          <w:p>
            <w:pPr>
              <w:pStyle w:val="42"/>
              <w:rPr>
                <w:rFonts w:ascii="宋体" w:hAnsi="宋体" w:cs="宋体"/>
              </w:rPr>
            </w:pPr>
            <w:r>
              <w:rPr>
                <w:rFonts w:hint="eastAsia"/>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restart"/>
            <w:vAlign w:val="center"/>
          </w:tcPr>
          <w:p>
            <w:pPr>
              <w:pStyle w:val="42"/>
            </w:pPr>
            <w:r>
              <w:rPr>
                <w:rFonts w:hint="eastAsia"/>
              </w:rPr>
              <w:t>废水处理站臭气排气筒</w:t>
            </w:r>
          </w:p>
        </w:tc>
        <w:tc>
          <w:tcPr>
            <w:tcW w:w="1126" w:type="pct"/>
            <w:vMerge w:val="restart"/>
            <w:vAlign w:val="center"/>
          </w:tcPr>
          <w:p>
            <w:pPr>
              <w:pStyle w:val="42"/>
            </w:pPr>
            <w:r>
              <w:rPr>
                <w:rFonts w:hint="eastAsia"/>
              </w:rPr>
              <w:t>《恶臭污染物排放标准》（GB14554-93）</w:t>
            </w:r>
          </w:p>
        </w:tc>
        <w:tc>
          <w:tcPr>
            <w:tcW w:w="665" w:type="pct"/>
            <w:shd w:val="clear" w:color="auto" w:fill="auto"/>
            <w:vAlign w:val="center"/>
          </w:tcPr>
          <w:p>
            <w:pPr>
              <w:pStyle w:val="42"/>
            </w:pPr>
            <w:r>
              <w:rPr>
                <w:rFonts w:hint="eastAsia"/>
              </w:rPr>
              <w:t>硫化氢</w:t>
            </w:r>
          </w:p>
        </w:tc>
        <w:tc>
          <w:tcPr>
            <w:tcW w:w="499" w:type="pct"/>
            <w:vMerge w:val="restart"/>
            <w:vAlign w:val="center"/>
          </w:tcPr>
          <w:p>
            <w:pPr>
              <w:pStyle w:val="42"/>
            </w:pPr>
            <w:r>
              <w:rPr>
                <w:rFonts w:hint="eastAsia"/>
              </w:rPr>
              <w:t>15</w:t>
            </w:r>
          </w:p>
        </w:tc>
        <w:tc>
          <w:tcPr>
            <w:tcW w:w="499" w:type="pct"/>
            <w:shd w:val="clear" w:color="auto" w:fill="auto"/>
            <w:vAlign w:val="center"/>
          </w:tcPr>
          <w:p>
            <w:pPr>
              <w:pStyle w:val="42"/>
            </w:pPr>
            <w:r>
              <w:rPr>
                <w:rFonts w:hint="eastAsia"/>
              </w:rPr>
              <w:t>/</w:t>
            </w:r>
          </w:p>
        </w:tc>
        <w:tc>
          <w:tcPr>
            <w:tcW w:w="583" w:type="pct"/>
            <w:shd w:val="clear" w:color="auto" w:fill="auto"/>
            <w:vAlign w:val="center"/>
          </w:tcPr>
          <w:p>
            <w:pPr>
              <w:pStyle w:val="42"/>
            </w:pPr>
            <w:r>
              <w:rPr>
                <w:rFonts w:hint="eastAsia"/>
              </w:rPr>
              <w:t>0.33</w:t>
            </w:r>
          </w:p>
        </w:tc>
        <w:tc>
          <w:tcPr>
            <w:tcW w:w="581" w:type="pct"/>
            <w:vMerge w:val="restart"/>
            <w:vAlign w:val="center"/>
          </w:tcPr>
          <w:p>
            <w:pPr>
              <w:pStyle w:val="42"/>
            </w:pPr>
            <w:r>
              <w:rPr>
                <w:rFonts w:hint="eastAsia"/>
              </w:rPr>
              <w:t>/</w:t>
            </w:r>
          </w:p>
        </w:tc>
        <w:tc>
          <w:tcPr>
            <w:tcW w:w="529"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Merge w:val="continue"/>
            <w:vAlign w:val="center"/>
          </w:tcPr>
          <w:p>
            <w:pPr>
              <w:pStyle w:val="42"/>
            </w:pPr>
          </w:p>
        </w:tc>
        <w:tc>
          <w:tcPr>
            <w:tcW w:w="665" w:type="pct"/>
            <w:shd w:val="clear" w:color="auto" w:fill="auto"/>
            <w:vAlign w:val="center"/>
          </w:tcPr>
          <w:p>
            <w:pPr>
              <w:pStyle w:val="42"/>
            </w:pPr>
            <w:r>
              <w:rPr>
                <w:rFonts w:hint="eastAsia"/>
              </w:rPr>
              <w:t>氨</w:t>
            </w:r>
          </w:p>
        </w:tc>
        <w:tc>
          <w:tcPr>
            <w:tcW w:w="499" w:type="pct"/>
            <w:vMerge w:val="continue"/>
            <w:vAlign w:val="center"/>
          </w:tcPr>
          <w:p>
            <w:pPr>
              <w:pStyle w:val="42"/>
            </w:pPr>
          </w:p>
        </w:tc>
        <w:tc>
          <w:tcPr>
            <w:tcW w:w="499" w:type="pct"/>
            <w:shd w:val="clear" w:color="auto" w:fill="auto"/>
            <w:vAlign w:val="center"/>
          </w:tcPr>
          <w:p>
            <w:pPr>
              <w:pStyle w:val="42"/>
            </w:pPr>
            <w:r>
              <w:rPr>
                <w:rFonts w:hint="eastAsia"/>
              </w:rPr>
              <w:t>/</w:t>
            </w:r>
          </w:p>
        </w:tc>
        <w:tc>
          <w:tcPr>
            <w:tcW w:w="583" w:type="pct"/>
            <w:shd w:val="clear" w:color="auto" w:fill="auto"/>
            <w:vAlign w:val="center"/>
          </w:tcPr>
          <w:p>
            <w:pPr>
              <w:pStyle w:val="42"/>
            </w:pPr>
            <w:r>
              <w:rPr>
                <w:rFonts w:hint="eastAsia"/>
              </w:rPr>
              <w:t>4.9</w:t>
            </w:r>
          </w:p>
        </w:tc>
        <w:tc>
          <w:tcPr>
            <w:tcW w:w="581" w:type="pct"/>
            <w:vMerge w:val="continue"/>
            <w:vAlign w:val="center"/>
          </w:tcPr>
          <w:p>
            <w:pPr>
              <w:pStyle w:val="42"/>
            </w:pPr>
          </w:p>
        </w:tc>
        <w:tc>
          <w:tcPr>
            <w:tcW w:w="529"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517" w:type="pct"/>
            <w:vMerge w:val="restart"/>
            <w:vAlign w:val="center"/>
          </w:tcPr>
          <w:p>
            <w:pPr>
              <w:pStyle w:val="42"/>
            </w:pPr>
            <w:r>
              <w:rPr>
                <w:rFonts w:hint="eastAsia"/>
              </w:rPr>
              <w:t>厂界</w:t>
            </w:r>
          </w:p>
        </w:tc>
        <w:tc>
          <w:tcPr>
            <w:tcW w:w="1126" w:type="pct"/>
            <w:vAlign w:val="center"/>
          </w:tcPr>
          <w:p>
            <w:pPr>
              <w:pStyle w:val="42"/>
            </w:pPr>
            <w:r>
              <w:t>《大气污染物综合排放标准》（DB50/418-2016）</w:t>
            </w:r>
          </w:p>
        </w:tc>
        <w:tc>
          <w:tcPr>
            <w:tcW w:w="665" w:type="pct"/>
            <w:shd w:val="clear" w:color="auto" w:fill="auto"/>
            <w:vAlign w:val="center"/>
          </w:tcPr>
          <w:p>
            <w:pPr>
              <w:pStyle w:val="42"/>
            </w:pPr>
            <w:r>
              <w:t>NMHC</w:t>
            </w:r>
          </w:p>
        </w:tc>
        <w:tc>
          <w:tcPr>
            <w:tcW w:w="499" w:type="pct"/>
            <w:vAlign w:val="center"/>
          </w:tcPr>
          <w:p>
            <w:pPr>
              <w:pStyle w:val="42"/>
            </w:pPr>
            <w:r>
              <w:rPr>
                <w:rFonts w:hint="eastAsia"/>
              </w:rPr>
              <w:t>/</w:t>
            </w:r>
          </w:p>
        </w:tc>
        <w:tc>
          <w:tcPr>
            <w:tcW w:w="499" w:type="pct"/>
            <w:shd w:val="clear" w:color="auto" w:fill="auto"/>
            <w:vAlign w:val="center"/>
          </w:tcPr>
          <w:p>
            <w:pPr>
              <w:pStyle w:val="42"/>
            </w:pPr>
            <w:r>
              <w:rPr>
                <w:rFonts w:hint="eastAsia"/>
              </w:rPr>
              <w:t>/</w:t>
            </w:r>
          </w:p>
        </w:tc>
        <w:tc>
          <w:tcPr>
            <w:tcW w:w="583" w:type="pct"/>
            <w:shd w:val="clear" w:color="auto" w:fill="auto"/>
            <w:vAlign w:val="center"/>
          </w:tcPr>
          <w:p>
            <w:pPr>
              <w:pStyle w:val="42"/>
            </w:pPr>
            <w:r>
              <w:rPr>
                <w:rFonts w:hint="eastAsia"/>
              </w:rPr>
              <w:t>/</w:t>
            </w:r>
          </w:p>
        </w:tc>
        <w:tc>
          <w:tcPr>
            <w:tcW w:w="581" w:type="pct"/>
            <w:vAlign w:val="center"/>
          </w:tcPr>
          <w:p>
            <w:pPr>
              <w:pStyle w:val="42"/>
            </w:pPr>
            <w:r>
              <w:rPr>
                <w:rFonts w:hint="eastAsia"/>
              </w:rPr>
              <w:t>4</w:t>
            </w:r>
          </w:p>
        </w:tc>
        <w:tc>
          <w:tcPr>
            <w:tcW w:w="529"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517" w:type="pct"/>
            <w:vMerge w:val="continue"/>
            <w:vAlign w:val="center"/>
          </w:tcPr>
          <w:p>
            <w:pPr>
              <w:pStyle w:val="42"/>
            </w:pPr>
          </w:p>
        </w:tc>
        <w:tc>
          <w:tcPr>
            <w:tcW w:w="1126" w:type="pct"/>
            <w:vAlign w:val="center"/>
          </w:tcPr>
          <w:p>
            <w:pPr>
              <w:pStyle w:val="42"/>
            </w:pPr>
            <w:r>
              <w:rPr>
                <w:rFonts w:hint="eastAsia"/>
              </w:rPr>
              <w:t>《无机化学工业污染物排放标准》（GB31573-2015）</w:t>
            </w:r>
          </w:p>
        </w:tc>
        <w:tc>
          <w:tcPr>
            <w:tcW w:w="665" w:type="pct"/>
            <w:shd w:val="clear" w:color="auto" w:fill="auto"/>
            <w:vAlign w:val="center"/>
          </w:tcPr>
          <w:p>
            <w:pPr>
              <w:pStyle w:val="42"/>
            </w:pPr>
            <w:r>
              <w:rPr>
                <w:rFonts w:hint="eastAsia"/>
              </w:rPr>
              <w:t>氨</w:t>
            </w:r>
          </w:p>
        </w:tc>
        <w:tc>
          <w:tcPr>
            <w:tcW w:w="499" w:type="pct"/>
            <w:vAlign w:val="center"/>
          </w:tcPr>
          <w:p>
            <w:pPr>
              <w:pStyle w:val="42"/>
            </w:pPr>
            <w:r>
              <w:rPr>
                <w:rFonts w:hint="eastAsia"/>
              </w:rPr>
              <w:t>/</w:t>
            </w:r>
          </w:p>
        </w:tc>
        <w:tc>
          <w:tcPr>
            <w:tcW w:w="499" w:type="pct"/>
            <w:shd w:val="clear" w:color="auto" w:fill="auto"/>
            <w:vAlign w:val="center"/>
          </w:tcPr>
          <w:p>
            <w:pPr>
              <w:pStyle w:val="42"/>
            </w:pPr>
            <w:r>
              <w:rPr>
                <w:rFonts w:hint="eastAsia"/>
              </w:rPr>
              <w:t>/</w:t>
            </w:r>
          </w:p>
        </w:tc>
        <w:tc>
          <w:tcPr>
            <w:tcW w:w="583" w:type="pct"/>
            <w:shd w:val="clear" w:color="auto" w:fill="auto"/>
            <w:vAlign w:val="center"/>
          </w:tcPr>
          <w:p>
            <w:pPr>
              <w:pStyle w:val="42"/>
            </w:pPr>
            <w:r>
              <w:rPr>
                <w:rFonts w:hint="eastAsia"/>
              </w:rPr>
              <w:t>/</w:t>
            </w:r>
          </w:p>
        </w:tc>
        <w:tc>
          <w:tcPr>
            <w:tcW w:w="581" w:type="pct"/>
            <w:vAlign w:val="center"/>
          </w:tcPr>
          <w:p>
            <w:pPr>
              <w:pStyle w:val="42"/>
            </w:pPr>
            <w:r>
              <w:rPr>
                <w:rFonts w:hint="eastAsia"/>
              </w:rPr>
              <w:t>0.3</w:t>
            </w:r>
          </w:p>
        </w:tc>
        <w:tc>
          <w:tcPr>
            <w:tcW w:w="529"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17" w:type="pct"/>
            <w:vMerge w:val="continue"/>
            <w:vAlign w:val="center"/>
          </w:tcPr>
          <w:p>
            <w:pPr>
              <w:pStyle w:val="42"/>
            </w:pPr>
          </w:p>
        </w:tc>
        <w:tc>
          <w:tcPr>
            <w:tcW w:w="1126" w:type="pct"/>
            <w:vAlign w:val="center"/>
          </w:tcPr>
          <w:p>
            <w:pPr>
              <w:pStyle w:val="42"/>
            </w:pPr>
            <w:r>
              <w:t>《恶臭污染物排放标准》（GB14554-1993）二级标准</w:t>
            </w:r>
          </w:p>
        </w:tc>
        <w:tc>
          <w:tcPr>
            <w:tcW w:w="665" w:type="pct"/>
            <w:shd w:val="clear" w:color="auto" w:fill="auto"/>
            <w:vAlign w:val="center"/>
          </w:tcPr>
          <w:p>
            <w:pPr>
              <w:pStyle w:val="42"/>
            </w:pPr>
            <w:r>
              <w:rPr>
                <w:rFonts w:hint="eastAsia"/>
              </w:rPr>
              <w:t>臭气浓度</w:t>
            </w:r>
          </w:p>
        </w:tc>
        <w:tc>
          <w:tcPr>
            <w:tcW w:w="499" w:type="pct"/>
            <w:vAlign w:val="center"/>
          </w:tcPr>
          <w:p>
            <w:pPr>
              <w:pStyle w:val="42"/>
            </w:pPr>
            <w:r>
              <w:rPr>
                <w:rFonts w:hint="eastAsia"/>
              </w:rPr>
              <w:t>/</w:t>
            </w:r>
          </w:p>
        </w:tc>
        <w:tc>
          <w:tcPr>
            <w:tcW w:w="499" w:type="pct"/>
            <w:shd w:val="clear" w:color="auto" w:fill="auto"/>
            <w:vAlign w:val="center"/>
          </w:tcPr>
          <w:p>
            <w:pPr>
              <w:pStyle w:val="42"/>
            </w:pPr>
            <w:r>
              <w:rPr>
                <w:rFonts w:hint="eastAsia"/>
              </w:rPr>
              <w:t>/</w:t>
            </w:r>
          </w:p>
        </w:tc>
        <w:tc>
          <w:tcPr>
            <w:tcW w:w="583" w:type="pct"/>
            <w:shd w:val="clear" w:color="auto" w:fill="auto"/>
            <w:vAlign w:val="center"/>
          </w:tcPr>
          <w:p>
            <w:pPr>
              <w:pStyle w:val="42"/>
            </w:pPr>
            <w:r>
              <w:rPr>
                <w:rFonts w:hint="eastAsia"/>
              </w:rPr>
              <w:t>/</w:t>
            </w:r>
          </w:p>
        </w:tc>
        <w:tc>
          <w:tcPr>
            <w:tcW w:w="581" w:type="pct"/>
            <w:vAlign w:val="center"/>
          </w:tcPr>
          <w:p>
            <w:pPr>
              <w:pStyle w:val="42"/>
            </w:pPr>
            <w:r>
              <w:t>20（无量纲）</w:t>
            </w:r>
          </w:p>
        </w:tc>
        <w:tc>
          <w:tcPr>
            <w:tcW w:w="529" w:type="pct"/>
            <w:shd w:val="clear" w:color="auto" w:fill="auto"/>
            <w:vAlign w:val="center"/>
          </w:tcPr>
          <w:p>
            <w:pPr>
              <w:pStyle w:val="42"/>
            </w:pPr>
            <w:r>
              <w:rPr>
                <w:rFonts w:hint="eastAsia"/>
              </w:rPr>
              <w:t>/</w:t>
            </w:r>
          </w:p>
        </w:tc>
      </w:tr>
    </w:tbl>
    <w:p>
      <w:pPr>
        <w:pStyle w:val="41"/>
      </w:pPr>
      <w:r>
        <w:rPr>
          <w:rFonts w:hint="eastAsia"/>
        </w:rPr>
        <w:t>表9.4-6拟建项目废水污染物排放清单</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3504"/>
        <w:gridCol w:w="1558"/>
        <w:gridCol w:w="1132"/>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shd w:val="clear" w:color="auto" w:fill="auto"/>
            <w:vAlign w:val="center"/>
          </w:tcPr>
          <w:p>
            <w:pPr>
              <w:pStyle w:val="42"/>
            </w:pPr>
            <w:r>
              <w:t>污染源</w:t>
            </w:r>
          </w:p>
        </w:tc>
        <w:tc>
          <w:tcPr>
            <w:tcW w:w="2056" w:type="pct"/>
            <w:shd w:val="clear" w:color="auto" w:fill="auto"/>
            <w:vAlign w:val="center"/>
          </w:tcPr>
          <w:p>
            <w:pPr>
              <w:pStyle w:val="42"/>
            </w:pPr>
            <w:r>
              <w:t>排放标准及标准号</w:t>
            </w:r>
          </w:p>
        </w:tc>
        <w:tc>
          <w:tcPr>
            <w:tcW w:w="914" w:type="pct"/>
            <w:shd w:val="clear" w:color="auto" w:fill="auto"/>
            <w:vAlign w:val="center"/>
          </w:tcPr>
          <w:p>
            <w:pPr>
              <w:pStyle w:val="42"/>
            </w:pPr>
            <w:r>
              <w:t>污染</w:t>
            </w:r>
          </w:p>
          <w:p>
            <w:pPr>
              <w:pStyle w:val="42"/>
            </w:pPr>
            <w:r>
              <w:t>因子</w:t>
            </w:r>
          </w:p>
        </w:tc>
        <w:tc>
          <w:tcPr>
            <w:tcW w:w="664" w:type="pct"/>
            <w:shd w:val="clear" w:color="auto" w:fill="auto"/>
            <w:vAlign w:val="center"/>
          </w:tcPr>
          <w:p>
            <w:pPr>
              <w:pStyle w:val="42"/>
            </w:pPr>
            <w:r>
              <w:t>浓度限值（mg/L）</w:t>
            </w:r>
          </w:p>
        </w:tc>
        <w:tc>
          <w:tcPr>
            <w:tcW w:w="780" w:type="pct"/>
            <w:shd w:val="clear" w:color="auto" w:fill="auto"/>
            <w:vAlign w:val="center"/>
          </w:tcPr>
          <w:p>
            <w:pPr>
              <w:pStyle w:val="42"/>
            </w:pPr>
            <w: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restart"/>
            <w:shd w:val="clear" w:color="auto" w:fill="auto"/>
            <w:vAlign w:val="center"/>
          </w:tcPr>
          <w:p>
            <w:pPr>
              <w:pStyle w:val="42"/>
            </w:pPr>
            <w:r>
              <w:t>废水</w:t>
            </w:r>
          </w:p>
        </w:tc>
        <w:tc>
          <w:tcPr>
            <w:tcW w:w="4414" w:type="pct"/>
            <w:gridSpan w:val="4"/>
            <w:shd w:val="clear" w:color="auto" w:fill="auto"/>
            <w:vAlign w:val="center"/>
          </w:tcPr>
          <w:p>
            <w:pPr>
              <w:pStyle w:val="42"/>
              <w:rPr>
                <w:b/>
              </w:rPr>
            </w:pPr>
            <w:r>
              <w:rPr>
                <w:b/>
              </w:rPr>
              <w:t>本项目排放至园区污水处理厂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restart"/>
            <w:shd w:val="clear" w:color="auto" w:fill="auto"/>
            <w:vAlign w:val="center"/>
          </w:tcPr>
          <w:p>
            <w:pPr>
              <w:pStyle w:val="42"/>
            </w:pPr>
            <w:r>
              <w:rPr>
                <w:rFonts w:hint="eastAsia"/>
              </w:rPr>
              <w:t>《合成氨工业水污染物排放标准》（GB13458-2013）表2新建企业水污染物排放浓度限值（间接排放）和单位产品基准排水量</w:t>
            </w:r>
          </w:p>
        </w:tc>
        <w:tc>
          <w:tcPr>
            <w:tcW w:w="914" w:type="pct"/>
            <w:shd w:val="clear" w:color="auto" w:fill="auto"/>
            <w:vAlign w:val="center"/>
          </w:tcPr>
          <w:p>
            <w:pPr>
              <w:pStyle w:val="42"/>
            </w:pPr>
            <w:r>
              <w:t>pH</w:t>
            </w:r>
          </w:p>
        </w:tc>
        <w:tc>
          <w:tcPr>
            <w:tcW w:w="664" w:type="pct"/>
            <w:shd w:val="clear" w:color="auto" w:fill="auto"/>
            <w:vAlign w:val="center"/>
          </w:tcPr>
          <w:p>
            <w:pPr>
              <w:pStyle w:val="42"/>
            </w:pPr>
            <w:r>
              <w:t>6~9</w:t>
            </w:r>
          </w:p>
        </w:tc>
        <w:tc>
          <w:tcPr>
            <w:tcW w:w="780"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COD</w:t>
            </w:r>
          </w:p>
        </w:tc>
        <w:tc>
          <w:tcPr>
            <w:tcW w:w="664" w:type="pct"/>
            <w:shd w:val="clear" w:color="auto" w:fill="auto"/>
            <w:vAlign w:val="center"/>
          </w:tcPr>
          <w:p>
            <w:pPr>
              <w:pStyle w:val="42"/>
            </w:pPr>
            <w:r>
              <w:rPr>
                <w:rFonts w:hint="eastAsia"/>
              </w:rPr>
              <w:t>200</w:t>
            </w:r>
          </w:p>
        </w:tc>
        <w:tc>
          <w:tcPr>
            <w:tcW w:w="780" w:type="pct"/>
            <w:shd w:val="clear" w:color="auto" w:fill="auto"/>
            <w:vAlign w:val="center"/>
          </w:tcPr>
          <w:p>
            <w:pPr>
              <w:pStyle w:val="42"/>
            </w:pPr>
            <w:r>
              <w:rPr>
                <w:rFonts w:hint="eastAsia"/>
              </w:rPr>
              <w:t>0.938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SS</w:t>
            </w:r>
          </w:p>
        </w:tc>
        <w:tc>
          <w:tcPr>
            <w:tcW w:w="664" w:type="pct"/>
            <w:shd w:val="clear" w:color="auto" w:fill="auto"/>
            <w:vAlign w:val="center"/>
          </w:tcPr>
          <w:p>
            <w:pPr>
              <w:pStyle w:val="42"/>
            </w:pPr>
            <w:r>
              <w:rPr>
                <w:rFonts w:hint="eastAsia"/>
              </w:rPr>
              <w:t>100</w:t>
            </w:r>
          </w:p>
        </w:tc>
        <w:tc>
          <w:tcPr>
            <w:tcW w:w="780" w:type="pct"/>
            <w:shd w:val="clear" w:color="auto" w:fill="auto"/>
            <w:vAlign w:val="center"/>
          </w:tcPr>
          <w:p>
            <w:pPr>
              <w:pStyle w:val="42"/>
            </w:pPr>
            <w:r>
              <w:rPr>
                <w:rFonts w:hint="eastAsia"/>
              </w:rPr>
              <w:t>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BOD</w:t>
            </w:r>
            <w:r>
              <w:rPr>
                <w:vertAlign w:val="subscript"/>
              </w:rPr>
              <w:t>5</w:t>
            </w:r>
          </w:p>
        </w:tc>
        <w:tc>
          <w:tcPr>
            <w:tcW w:w="664" w:type="pct"/>
            <w:shd w:val="clear" w:color="auto" w:fill="auto"/>
            <w:vAlign w:val="center"/>
          </w:tcPr>
          <w:p>
            <w:pPr>
              <w:pStyle w:val="42"/>
            </w:pPr>
            <w:r>
              <w:rPr>
                <w:rFonts w:hint="eastAsia"/>
              </w:rPr>
              <w:t>--</w:t>
            </w:r>
          </w:p>
        </w:tc>
        <w:tc>
          <w:tcPr>
            <w:tcW w:w="780" w:type="pct"/>
            <w:shd w:val="clear" w:color="auto" w:fill="auto"/>
            <w:vAlign w:val="center"/>
          </w:tcPr>
          <w:p>
            <w:pPr>
              <w:pStyle w:val="42"/>
            </w:pPr>
            <w:r>
              <w:rPr>
                <w:rFonts w:hint="eastAsia"/>
              </w:rPr>
              <w:t>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NH</w:t>
            </w:r>
            <w:r>
              <w:rPr>
                <w:vertAlign w:val="subscript"/>
              </w:rPr>
              <w:t>3</w:t>
            </w:r>
            <w:r>
              <w:t>-N</w:t>
            </w:r>
          </w:p>
        </w:tc>
        <w:tc>
          <w:tcPr>
            <w:tcW w:w="664" w:type="pct"/>
            <w:shd w:val="clear" w:color="auto" w:fill="auto"/>
            <w:vAlign w:val="center"/>
          </w:tcPr>
          <w:p>
            <w:pPr>
              <w:pStyle w:val="42"/>
            </w:pPr>
            <w:r>
              <w:rPr>
                <w:rFonts w:hint="eastAsia"/>
              </w:rPr>
              <w:t>50</w:t>
            </w:r>
          </w:p>
        </w:tc>
        <w:tc>
          <w:tcPr>
            <w:tcW w:w="780" w:type="pct"/>
            <w:shd w:val="clear" w:color="auto" w:fill="auto"/>
            <w:vAlign w:val="center"/>
          </w:tcPr>
          <w:p>
            <w:pPr>
              <w:pStyle w:val="42"/>
            </w:pPr>
            <w:r>
              <w:rPr>
                <w:rFonts w:hint="eastAsia"/>
              </w:rPr>
              <w:t>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rPr>
                <w:rFonts w:hint="eastAsia"/>
              </w:rPr>
              <w:t>石油类</w:t>
            </w:r>
          </w:p>
        </w:tc>
        <w:tc>
          <w:tcPr>
            <w:tcW w:w="664" w:type="pct"/>
            <w:shd w:val="clear" w:color="auto" w:fill="auto"/>
            <w:vAlign w:val="center"/>
          </w:tcPr>
          <w:p>
            <w:pPr>
              <w:pStyle w:val="42"/>
            </w:pPr>
            <w:r>
              <w:rPr>
                <w:rFonts w:hint="eastAsia"/>
              </w:rPr>
              <w:t>3</w:t>
            </w:r>
          </w:p>
        </w:tc>
        <w:tc>
          <w:tcPr>
            <w:tcW w:w="780" w:type="pct"/>
            <w:shd w:val="clear" w:color="auto" w:fill="auto"/>
            <w:vAlign w:val="center"/>
          </w:tcPr>
          <w:p>
            <w:pPr>
              <w:pStyle w:val="42"/>
            </w:pPr>
            <w:r>
              <w:rPr>
                <w:rFonts w:hint="eastAsi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rPr>
                <w:rFonts w:hint="eastAsia"/>
              </w:rPr>
              <w:t>单位产品基准排水量（m</w:t>
            </w:r>
            <w:r>
              <w:rPr>
                <w:rFonts w:hint="eastAsia"/>
                <w:vertAlign w:val="superscript"/>
              </w:rPr>
              <w:t>3</w:t>
            </w:r>
            <w:r>
              <w:rPr>
                <w:rFonts w:hint="eastAsia"/>
              </w:rPr>
              <w:t>/t氨）</w:t>
            </w:r>
          </w:p>
        </w:tc>
        <w:tc>
          <w:tcPr>
            <w:tcW w:w="664" w:type="pct"/>
            <w:shd w:val="clear" w:color="auto" w:fill="auto"/>
            <w:vAlign w:val="center"/>
          </w:tcPr>
          <w:p>
            <w:pPr>
              <w:pStyle w:val="42"/>
            </w:pPr>
            <w:r>
              <w:rPr>
                <w:rFonts w:hint="eastAsia"/>
              </w:rPr>
              <w:t>10</w:t>
            </w:r>
          </w:p>
        </w:tc>
        <w:tc>
          <w:tcPr>
            <w:tcW w:w="780"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4414" w:type="pct"/>
            <w:gridSpan w:val="4"/>
            <w:shd w:val="clear" w:color="auto" w:fill="auto"/>
            <w:vAlign w:val="center"/>
          </w:tcPr>
          <w:p>
            <w:pPr>
              <w:pStyle w:val="42"/>
              <w:rPr>
                <w:b/>
              </w:rPr>
            </w:pPr>
            <w:r>
              <w:rPr>
                <w:b/>
              </w:rPr>
              <w:t>园区污水处理厂处理后排放至长江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restart"/>
            <w:shd w:val="clear" w:color="auto" w:fill="auto"/>
            <w:vAlign w:val="center"/>
          </w:tcPr>
          <w:p>
            <w:pPr>
              <w:pStyle w:val="42"/>
            </w:pPr>
            <w:r>
              <w:t>《化工园区主要水污染物排放标准》（DB50/457-2012）中表1标准规定（COD执行60mg/L）</w:t>
            </w:r>
          </w:p>
        </w:tc>
        <w:tc>
          <w:tcPr>
            <w:tcW w:w="914" w:type="pct"/>
            <w:shd w:val="clear" w:color="auto" w:fill="auto"/>
            <w:vAlign w:val="center"/>
          </w:tcPr>
          <w:p>
            <w:pPr>
              <w:pStyle w:val="42"/>
            </w:pPr>
            <w:r>
              <w:t>COD</w:t>
            </w:r>
          </w:p>
        </w:tc>
        <w:tc>
          <w:tcPr>
            <w:tcW w:w="664" w:type="pct"/>
            <w:shd w:val="clear" w:color="auto" w:fill="auto"/>
            <w:vAlign w:val="center"/>
          </w:tcPr>
          <w:p>
            <w:pPr>
              <w:pStyle w:val="42"/>
            </w:pPr>
            <w:r>
              <w:rPr>
                <w:rFonts w:hint="eastAsia"/>
              </w:rPr>
              <w:t>60</w:t>
            </w:r>
          </w:p>
        </w:tc>
        <w:tc>
          <w:tcPr>
            <w:tcW w:w="780" w:type="pct"/>
            <w:shd w:val="clear" w:color="auto" w:fill="auto"/>
            <w:vAlign w:val="center"/>
          </w:tcPr>
          <w:p>
            <w:pPr>
              <w:pStyle w:val="42"/>
            </w:pPr>
            <w:r>
              <w:rPr>
                <w:rFonts w:hint="eastAsia"/>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BOD</w:t>
            </w:r>
            <w:r>
              <w:rPr>
                <w:vertAlign w:val="subscript"/>
              </w:rPr>
              <w:t>5</w:t>
            </w:r>
          </w:p>
        </w:tc>
        <w:tc>
          <w:tcPr>
            <w:tcW w:w="664" w:type="pct"/>
            <w:shd w:val="clear" w:color="auto" w:fill="auto"/>
            <w:vAlign w:val="center"/>
          </w:tcPr>
          <w:p>
            <w:pPr>
              <w:pStyle w:val="42"/>
            </w:pPr>
            <w:r>
              <w:rPr>
                <w:rFonts w:hint="eastAsia"/>
              </w:rPr>
              <w:t>20</w:t>
            </w:r>
          </w:p>
        </w:tc>
        <w:tc>
          <w:tcPr>
            <w:tcW w:w="780" w:type="pct"/>
            <w:shd w:val="clear" w:color="auto" w:fill="auto"/>
            <w:vAlign w:val="center"/>
          </w:tcPr>
          <w:p>
            <w:pPr>
              <w:pStyle w:val="42"/>
            </w:pPr>
            <w:r>
              <w:rPr>
                <w:rFonts w:hint="eastAsia"/>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NH</w:t>
            </w:r>
            <w:r>
              <w:rPr>
                <w:vertAlign w:val="subscript"/>
              </w:rPr>
              <w:t>3</w:t>
            </w:r>
            <w:r>
              <w:t>-N</w:t>
            </w:r>
          </w:p>
        </w:tc>
        <w:tc>
          <w:tcPr>
            <w:tcW w:w="664" w:type="pct"/>
            <w:shd w:val="clear" w:color="auto" w:fill="auto"/>
            <w:vAlign w:val="center"/>
          </w:tcPr>
          <w:p>
            <w:pPr>
              <w:pStyle w:val="42"/>
            </w:pPr>
            <w:r>
              <w:rPr>
                <w:rFonts w:hint="eastAsia"/>
              </w:rPr>
              <w:t>10</w:t>
            </w:r>
          </w:p>
        </w:tc>
        <w:tc>
          <w:tcPr>
            <w:tcW w:w="780" w:type="pct"/>
            <w:shd w:val="clear" w:color="auto" w:fill="auto"/>
            <w:vAlign w:val="center"/>
          </w:tcPr>
          <w:p>
            <w:pPr>
              <w:pStyle w:val="42"/>
            </w:pPr>
            <w:r>
              <w:rPr>
                <w:rFonts w:hint="eastAsia"/>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石油类</w:t>
            </w:r>
          </w:p>
        </w:tc>
        <w:tc>
          <w:tcPr>
            <w:tcW w:w="664" w:type="pct"/>
            <w:shd w:val="clear" w:color="auto" w:fill="auto"/>
            <w:vAlign w:val="center"/>
          </w:tcPr>
          <w:p>
            <w:pPr>
              <w:pStyle w:val="42"/>
            </w:pPr>
            <w:r>
              <w:rPr>
                <w:rFonts w:hint="eastAsia"/>
              </w:rPr>
              <w:t>3</w:t>
            </w:r>
          </w:p>
        </w:tc>
        <w:tc>
          <w:tcPr>
            <w:tcW w:w="780" w:type="pct"/>
            <w:shd w:val="clear" w:color="auto" w:fill="auto"/>
            <w:vAlign w:val="center"/>
          </w:tcPr>
          <w:p>
            <w:pPr>
              <w:pStyle w:val="42"/>
            </w:pPr>
            <w:r>
              <w:rPr>
                <w:rFonts w:hint="eastAsia"/>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restart"/>
            <w:shd w:val="clear" w:color="auto" w:fill="auto"/>
            <w:vAlign w:val="center"/>
          </w:tcPr>
          <w:p>
            <w:pPr>
              <w:pStyle w:val="42"/>
            </w:pPr>
            <w:r>
              <w:t>《污水综合排放标准》（GB8978-1996）一级标准</w:t>
            </w:r>
          </w:p>
        </w:tc>
        <w:tc>
          <w:tcPr>
            <w:tcW w:w="914" w:type="pct"/>
            <w:shd w:val="clear" w:color="auto" w:fill="auto"/>
            <w:vAlign w:val="center"/>
          </w:tcPr>
          <w:p>
            <w:pPr>
              <w:pStyle w:val="42"/>
            </w:pPr>
            <w:r>
              <w:t>pH</w:t>
            </w:r>
          </w:p>
        </w:tc>
        <w:tc>
          <w:tcPr>
            <w:tcW w:w="664" w:type="pct"/>
            <w:shd w:val="clear" w:color="auto" w:fill="auto"/>
            <w:vAlign w:val="center"/>
          </w:tcPr>
          <w:p>
            <w:pPr>
              <w:pStyle w:val="42"/>
            </w:pPr>
            <w:r>
              <w:rPr>
                <w:rFonts w:hint="eastAsia"/>
              </w:rPr>
              <w:t>6~9</w:t>
            </w:r>
          </w:p>
        </w:tc>
        <w:tc>
          <w:tcPr>
            <w:tcW w:w="780" w:type="pct"/>
            <w:shd w:val="clear" w:color="auto" w:fill="auto"/>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6" w:type="pct"/>
            <w:vMerge w:val="continue"/>
            <w:shd w:val="clear" w:color="auto" w:fill="auto"/>
            <w:vAlign w:val="center"/>
          </w:tcPr>
          <w:p>
            <w:pPr>
              <w:pStyle w:val="42"/>
            </w:pPr>
          </w:p>
        </w:tc>
        <w:tc>
          <w:tcPr>
            <w:tcW w:w="2056" w:type="pct"/>
            <w:vMerge w:val="continue"/>
            <w:shd w:val="clear" w:color="auto" w:fill="auto"/>
            <w:vAlign w:val="center"/>
          </w:tcPr>
          <w:p>
            <w:pPr>
              <w:pStyle w:val="42"/>
            </w:pPr>
          </w:p>
        </w:tc>
        <w:tc>
          <w:tcPr>
            <w:tcW w:w="914" w:type="pct"/>
            <w:shd w:val="clear" w:color="auto" w:fill="auto"/>
            <w:vAlign w:val="center"/>
          </w:tcPr>
          <w:p>
            <w:pPr>
              <w:pStyle w:val="42"/>
            </w:pPr>
            <w:r>
              <w:t>SS</w:t>
            </w:r>
          </w:p>
        </w:tc>
        <w:tc>
          <w:tcPr>
            <w:tcW w:w="664" w:type="pct"/>
            <w:shd w:val="clear" w:color="auto" w:fill="auto"/>
            <w:vAlign w:val="center"/>
          </w:tcPr>
          <w:p>
            <w:pPr>
              <w:pStyle w:val="42"/>
            </w:pPr>
            <w:r>
              <w:rPr>
                <w:rFonts w:hint="eastAsia"/>
              </w:rPr>
              <w:t>70</w:t>
            </w:r>
          </w:p>
        </w:tc>
        <w:tc>
          <w:tcPr>
            <w:tcW w:w="780" w:type="pct"/>
            <w:shd w:val="clear" w:color="auto" w:fill="auto"/>
            <w:vAlign w:val="center"/>
          </w:tcPr>
          <w:p>
            <w:pPr>
              <w:pStyle w:val="42"/>
            </w:pPr>
            <w:r>
              <w:rPr>
                <w:rFonts w:hint="eastAsia"/>
              </w:rPr>
              <w:t>0.328</w:t>
            </w:r>
          </w:p>
        </w:tc>
      </w:tr>
    </w:tbl>
    <w:p>
      <w:pPr>
        <w:pStyle w:val="41"/>
      </w:pPr>
      <w:r>
        <w:rPr>
          <w:rFonts w:hint="eastAsia"/>
        </w:rPr>
        <w:t>表9.4-7  拟建项目噪声污染物排放清单</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3"/>
        <w:gridCol w:w="2125"/>
        <w:gridCol w:w="141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0" w:type="pct"/>
            <w:gridSpan w:val="2"/>
            <w:vMerge w:val="restart"/>
            <w:vAlign w:val="center"/>
          </w:tcPr>
          <w:p>
            <w:pPr>
              <w:pStyle w:val="42"/>
              <w:ind w:firstLine="480"/>
            </w:pPr>
            <w:r>
              <w:t>排放标准及标准号</w:t>
            </w:r>
          </w:p>
        </w:tc>
        <w:tc>
          <w:tcPr>
            <w:tcW w:w="1610" w:type="pct"/>
            <w:gridSpan w:val="2"/>
            <w:vAlign w:val="center"/>
          </w:tcPr>
          <w:p>
            <w:pPr>
              <w:pStyle w:val="42"/>
            </w:pPr>
            <w:r>
              <w:t>最大允许排放值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0" w:type="pct"/>
            <w:gridSpan w:val="2"/>
            <w:vMerge w:val="continue"/>
            <w:vAlign w:val="center"/>
          </w:tcPr>
          <w:p>
            <w:pPr>
              <w:pStyle w:val="42"/>
            </w:pPr>
          </w:p>
        </w:tc>
        <w:tc>
          <w:tcPr>
            <w:tcW w:w="832" w:type="pct"/>
            <w:vAlign w:val="center"/>
          </w:tcPr>
          <w:p>
            <w:pPr>
              <w:pStyle w:val="42"/>
            </w:pPr>
            <w:r>
              <w:t>昼间dB（A）</w:t>
            </w:r>
          </w:p>
        </w:tc>
        <w:tc>
          <w:tcPr>
            <w:tcW w:w="778" w:type="pct"/>
            <w:vAlign w:val="center"/>
          </w:tcPr>
          <w:p>
            <w:pPr>
              <w:pStyle w:val="42"/>
            </w:pPr>
            <w: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43" w:type="pct"/>
            <w:vAlign w:val="center"/>
          </w:tcPr>
          <w:p>
            <w:pPr>
              <w:pStyle w:val="42"/>
            </w:pPr>
            <w:r>
              <w:t>《工业企业厂界环境噪声排放标准》（GB12348-2008）3类</w:t>
            </w:r>
          </w:p>
        </w:tc>
        <w:tc>
          <w:tcPr>
            <w:tcW w:w="1247" w:type="pct"/>
            <w:vAlign w:val="center"/>
          </w:tcPr>
          <w:p>
            <w:pPr>
              <w:pStyle w:val="42"/>
            </w:pPr>
            <w:r>
              <w:t>东、西、南、北厂界</w:t>
            </w:r>
          </w:p>
        </w:tc>
        <w:tc>
          <w:tcPr>
            <w:tcW w:w="832" w:type="pct"/>
            <w:vAlign w:val="center"/>
          </w:tcPr>
          <w:p>
            <w:pPr>
              <w:pStyle w:val="42"/>
            </w:pPr>
            <w:r>
              <w:t>65</w:t>
            </w:r>
          </w:p>
        </w:tc>
        <w:tc>
          <w:tcPr>
            <w:tcW w:w="778" w:type="pct"/>
            <w:vAlign w:val="center"/>
          </w:tcPr>
          <w:p>
            <w:pPr>
              <w:pStyle w:val="42"/>
            </w:pPr>
            <w:r>
              <w:t>55</w:t>
            </w:r>
          </w:p>
        </w:tc>
      </w:tr>
    </w:tbl>
    <w:p>
      <w:pPr>
        <w:pStyle w:val="41"/>
      </w:pPr>
      <w:r>
        <w:t>表</w:t>
      </w:r>
      <w:r>
        <w:rPr>
          <w:rFonts w:hint="eastAsia"/>
        </w:rPr>
        <w:t>9.4-8</w:t>
      </w:r>
      <w:r>
        <w:t xml:space="preserve">  拟建项目固废污染物排放清单</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277"/>
        <w:gridCol w:w="1842"/>
        <w:gridCol w:w="1277"/>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pPr>
              <w:pStyle w:val="42"/>
              <w:rPr>
                <w:szCs w:val="21"/>
              </w:rPr>
            </w:pPr>
            <w:r>
              <w:rPr>
                <w:rFonts w:hint="eastAsia"/>
                <w:szCs w:val="21"/>
              </w:rPr>
              <w:t>污染物</w:t>
            </w:r>
          </w:p>
        </w:tc>
        <w:tc>
          <w:tcPr>
            <w:tcW w:w="749" w:type="pct"/>
            <w:vAlign w:val="center"/>
          </w:tcPr>
          <w:p>
            <w:pPr>
              <w:pStyle w:val="42"/>
              <w:rPr>
                <w:szCs w:val="21"/>
              </w:rPr>
            </w:pPr>
            <w:r>
              <w:rPr>
                <w:szCs w:val="21"/>
              </w:rPr>
              <w:t>产生量（t/a）</w:t>
            </w:r>
          </w:p>
        </w:tc>
        <w:tc>
          <w:tcPr>
            <w:tcW w:w="1081" w:type="pct"/>
            <w:vAlign w:val="center"/>
          </w:tcPr>
          <w:p>
            <w:pPr>
              <w:pStyle w:val="42"/>
              <w:rPr>
                <w:szCs w:val="21"/>
              </w:rPr>
            </w:pPr>
            <w:r>
              <w:rPr>
                <w:szCs w:val="21"/>
              </w:rPr>
              <w:t>处置方式</w:t>
            </w:r>
          </w:p>
        </w:tc>
        <w:tc>
          <w:tcPr>
            <w:tcW w:w="749" w:type="pct"/>
            <w:vAlign w:val="center"/>
          </w:tcPr>
          <w:p>
            <w:pPr>
              <w:pStyle w:val="42"/>
              <w:rPr>
                <w:szCs w:val="21"/>
              </w:rPr>
            </w:pPr>
            <w:r>
              <w:rPr>
                <w:szCs w:val="21"/>
              </w:rPr>
              <w:t>数量（t/a）</w:t>
            </w:r>
          </w:p>
        </w:tc>
        <w:tc>
          <w:tcPr>
            <w:tcW w:w="611" w:type="pct"/>
            <w:vAlign w:val="center"/>
          </w:tcPr>
          <w:p>
            <w:pPr>
              <w:pStyle w:val="42"/>
              <w:rPr>
                <w:szCs w:val="21"/>
              </w:rPr>
            </w:pPr>
            <w:r>
              <w:rPr>
                <w:szCs w:val="21"/>
              </w:rPr>
              <w:t>占总量（%）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钴钼反应器废催化剂</w:t>
            </w:r>
          </w:p>
        </w:tc>
        <w:tc>
          <w:tcPr>
            <w:tcW w:w="749" w:type="pct"/>
            <w:vAlign w:val="center"/>
          </w:tcPr>
          <w:p>
            <w:pPr>
              <w:pStyle w:val="42"/>
              <w:spacing w:line="240" w:lineRule="auto"/>
              <w:rPr>
                <w:szCs w:val="21"/>
              </w:rPr>
            </w:pPr>
            <w:r>
              <w:rPr>
                <w:rFonts w:hint="eastAsia"/>
                <w:szCs w:val="21"/>
              </w:rPr>
              <w:t>153t/3年</w:t>
            </w:r>
          </w:p>
        </w:tc>
        <w:tc>
          <w:tcPr>
            <w:tcW w:w="1081" w:type="pct"/>
            <w:vMerge w:val="restart"/>
            <w:vAlign w:val="center"/>
          </w:tcPr>
          <w:p>
            <w:pPr>
              <w:pStyle w:val="42"/>
              <w:rPr>
                <w:szCs w:val="21"/>
              </w:rPr>
            </w:pPr>
            <w:r>
              <w:rPr>
                <w:szCs w:val="21"/>
              </w:rPr>
              <w:t>送有资质危废处理单位处置</w:t>
            </w:r>
          </w:p>
        </w:tc>
        <w:tc>
          <w:tcPr>
            <w:tcW w:w="749" w:type="pct"/>
            <w:vAlign w:val="center"/>
          </w:tcPr>
          <w:p>
            <w:pPr>
              <w:pStyle w:val="42"/>
              <w:spacing w:line="240" w:lineRule="auto"/>
              <w:rPr>
                <w:szCs w:val="21"/>
              </w:rPr>
            </w:pPr>
            <w:r>
              <w:rPr>
                <w:rFonts w:hint="eastAsia"/>
                <w:szCs w:val="21"/>
              </w:rPr>
              <w:t>153t/3年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废脱硫剂</w:t>
            </w:r>
          </w:p>
        </w:tc>
        <w:tc>
          <w:tcPr>
            <w:tcW w:w="749" w:type="pct"/>
            <w:vAlign w:val="center"/>
          </w:tcPr>
          <w:p>
            <w:pPr>
              <w:pStyle w:val="42"/>
              <w:spacing w:line="240" w:lineRule="auto"/>
              <w:rPr>
                <w:szCs w:val="21"/>
              </w:rPr>
            </w:pPr>
            <w:r>
              <w:rPr>
                <w:rFonts w:hint="eastAsia"/>
                <w:szCs w:val="21"/>
              </w:rPr>
              <w:t>1.84t/2年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1.84t/2年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氨合成塔废催化剂</w:t>
            </w:r>
          </w:p>
        </w:tc>
        <w:tc>
          <w:tcPr>
            <w:tcW w:w="749" w:type="pct"/>
            <w:vAlign w:val="center"/>
          </w:tcPr>
          <w:p>
            <w:pPr>
              <w:pStyle w:val="42"/>
              <w:spacing w:line="240" w:lineRule="auto"/>
              <w:rPr>
                <w:szCs w:val="21"/>
              </w:rPr>
            </w:pPr>
            <w:r>
              <w:rPr>
                <w:rFonts w:hint="eastAsia"/>
                <w:szCs w:val="21"/>
              </w:rPr>
              <w:t>220t/10年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220t/10年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脱烃反应釜废催化剂</w:t>
            </w:r>
          </w:p>
        </w:tc>
        <w:tc>
          <w:tcPr>
            <w:tcW w:w="749" w:type="pct"/>
            <w:vAlign w:val="center"/>
          </w:tcPr>
          <w:p>
            <w:pPr>
              <w:pStyle w:val="42"/>
              <w:spacing w:line="240" w:lineRule="auto"/>
              <w:rPr>
                <w:szCs w:val="21"/>
              </w:rPr>
            </w:pPr>
            <w:r>
              <w:rPr>
                <w:rFonts w:hint="eastAsia"/>
                <w:szCs w:val="21"/>
              </w:rPr>
              <w:t>84t/3年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84t/3年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一段转化炉废催化剂</w:t>
            </w:r>
          </w:p>
        </w:tc>
        <w:tc>
          <w:tcPr>
            <w:tcW w:w="749" w:type="pct"/>
            <w:vAlign w:val="center"/>
          </w:tcPr>
          <w:p>
            <w:pPr>
              <w:pStyle w:val="42"/>
              <w:spacing w:line="240" w:lineRule="auto"/>
              <w:rPr>
                <w:szCs w:val="21"/>
              </w:rPr>
            </w:pPr>
            <w:r>
              <w:rPr>
                <w:rFonts w:hint="eastAsia"/>
                <w:szCs w:val="21"/>
              </w:rPr>
              <w:t>135t/3年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135t/3年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高温变换炉废催化剂</w:t>
            </w:r>
          </w:p>
        </w:tc>
        <w:tc>
          <w:tcPr>
            <w:tcW w:w="749" w:type="pct"/>
            <w:vAlign w:val="center"/>
          </w:tcPr>
          <w:p>
            <w:pPr>
              <w:pStyle w:val="42"/>
              <w:spacing w:line="240" w:lineRule="auto"/>
              <w:rPr>
                <w:szCs w:val="21"/>
              </w:rPr>
            </w:pPr>
            <w:r>
              <w:rPr>
                <w:rFonts w:hint="eastAsia"/>
                <w:szCs w:val="21"/>
              </w:rPr>
              <w:t>162t/3年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162t/3年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废吸附剂</w:t>
            </w:r>
          </w:p>
        </w:tc>
        <w:tc>
          <w:tcPr>
            <w:tcW w:w="749" w:type="pct"/>
            <w:vAlign w:val="center"/>
          </w:tcPr>
          <w:p>
            <w:pPr>
              <w:pStyle w:val="42"/>
              <w:spacing w:line="240" w:lineRule="auto"/>
              <w:rPr>
                <w:szCs w:val="21"/>
              </w:rPr>
            </w:pPr>
            <w:r>
              <w:rPr>
                <w:rFonts w:hint="eastAsia"/>
                <w:szCs w:val="21"/>
              </w:rPr>
              <w:t>15.5t/2年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15.5t/2年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废脱硫剂</w:t>
            </w:r>
          </w:p>
        </w:tc>
        <w:tc>
          <w:tcPr>
            <w:tcW w:w="749" w:type="pct"/>
            <w:vAlign w:val="center"/>
          </w:tcPr>
          <w:p>
            <w:pPr>
              <w:pStyle w:val="42"/>
              <w:spacing w:line="240" w:lineRule="auto"/>
              <w:rPr>
                <w:szCs w:val="21"/>
              </w:rPr>
            </w:pPr>
            <w:r>
              <w:rPr>
                <w:rFonts w:hint="eastAsia"/>
                <w:szCs w:val="21"/>
              </w:rPr>
              <w:t>67.7t/2年</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67.7t/2年</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10" w:type="pct"/>
            <w:vAlign w:val="center"/>
          </w:tcPr>
          <w:p>
            <w:pPr>
              <w:pStyle w:val="42"/>
              <w:spacing w:line="240" w:lineRule="auto"/>
              <w:rPr>
                <w:szCs w:val="21"/>
              </w:rPr>
            </w:pPr>
            <w:r>
              <w:rPr>
                <w:rFonts w:hint="eastAsia"/>
                <w:szCs w:val="21"/>
              </w:rPr>
              <w:t>废活性炭</w:t>
            </w:r>
          </w:p>
        </w:tc>
        <w:tc>
          <w:tcPr>
            <w:tcW w:w="749" w:type="pct"/>
            <w:vAlign w:val="center"/>
          </w:tcPr>
          <w:p>
            <w:pPr>
              <w:pStyle w:val="42"/>
              <w:spacing w:line="240" w:lineRule="auto"/>
              <w:rPr>
                <w:szCs w:val="21"/>
              </w:rPr>
            </w:pPr>
            <w:r>
              <w:rPr>
                <w:rFonts w:hint="eastAsia"/>
                <w:szCs w:val="21"/>
              </w:rPr>
              <w:t>0.24</w:t>
            </w:r>
          </w:p>
        </w:tc>
        <w:tc>
          <w:tcPr>
            <w:tcW w:w="1081" w:type="pct"/>
            <w:vMerge w:val="continue"/>
            <w:vAlign w:val="center"/>
          </w:tcPr>
          <w:p>
            <w:pPr>
              <w:pStyle w:val="42"/>
              <w:rPr>
                <w:szCs w:val="21"/>
              </w:rPr>
            </w:pPr>
          </w:p>
        </w:tc>
        <w:tc>
          <w:tcPr>
            <w:tcW w:w="749" w:type="pct"/>
            <w:vAlign w:val="center"/>
          </w:tcPr>
          <w:p>
            <w:pPr>
              <w:pStyle w:val="42"/>
              <w:spacing w:line="240" w:lineRule="auto"/>
              <w:rPr>
                <w:szCs w:val="21"/>
              </w:rPr>
            </w:pPr>
            <w:r>
              <w:rPr>
                <w:rFonts w:hint="eastAsia"/>
                <w:szCs w:val="21"/>
              </w:rPr>
              <w:t>0.24</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pPr>
              <w:pStyle w:val="42"/>
              <w:rPr>
                <w:szCs w:val="21"/>
              </w:rPr>
            </w:pPr>
            <w:r>
              <w:rPr>
                <w:szCs w:val="21"/>
              </w:rPr>
              <w:t>生活垃圾</w:t>
            </w:r>
          </w:p>
        </w:tc>
        <w:tc>
          <w:tcPr>
            <w:tcW w:w="749" w:type="pct"/>
            <w:vAlign w:val="center"/>
          </w:tcPr>
          <w:p>
            <w:pPr>
              <w:pStyle w:val="42"/>
              <w:rPr>
                <w:szCs w:val="21"/>
              </w:rPr>
            </w:pPr>
            <w:r>
              <w:rPr>
                <w:rFonts w:hint="eastAsia"/>
                <w:szCs w:val="21"/>
              </w:rPr>
              <w:t>13.32</w:t>
            </w:r>
          </w:p>
        </w:tc>
        <w:tc>
          <w:tcPr>
            <w:tcW w:w="1081" w:type="pct"/>
            <w:vAlign w:val="center"/>
          </w:tcPr>
          <w:p>
            <w:pPr>
              <w:pStyle w:val="42"/>
              <w:rPr>
                <w:szCs w:val="21"/>
              </w:rPr>
            </w:pPr>
            <w:r>
              <w:rPr>
                <w:szCs w:val="21"/>
              </w:rPr>
              <w:t>环卫部门</w:t>
            </w:r>
            <w:r>
              <w:rPr>
                <w:rFonts w:hint="eastAsia"/>
                <w:szCs w:val="21"/>
              </w:rPr>
              <w:t>统一</w:t>
            </w:r>
            <w:r>
              <w:rPr>
                <w:szCs w:val="21"/>
              </w:rPr>
              <w:t>收集处置</w:t>
            </w:r>
          </w:p>
        </w:tc>
        <w:tc>
          <w:tcPr>
            <w:tcW w:w="749" w:type="pct"/>
            <w:vAlign w:val="center"/>
          </w:tcPr>
          <w:p>
            <w:pPr>
              <w:pStyle w:val="42"/>
              <w:rPr>
                <w:szCs w:val="21"/>
              </w:rPr>
            </w:pPr>
            <w:r>
              <w:rPr>
                <w:rFonts w:hint="eastAsia"/>
                <w:szCs w:val="21"/>
              </w:rPr>
              <w:t>13.32</w:t>
            </w:r>
          </w:p>
        </w:tc>
        <w:tc>
          <w:tcPr>
            <w:tcW w:w="611" w:type="pct"/>
            <w:vAlign w:val="center"/>
          </w:tcPr>
          <w:p>
            <w:pPr>
              <w:pStyle w:val="42"/>
              <w:rPr>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pct"/>
            <w:vAlign w:val="center"/>
          </w:tcPr>
          <w:p>
            <w:pPr>
              <w:pStyle w:val="42"/>
              <w:rPr>
                <w:szCs w:val="21"/>
              </w:rPr>
            </w:pPr>
            <w:r>
              <w:rPr>
                <w:rFonts w:hint="eastAsia"/>
                <w:szCs w:val="21"/>
              </w:rPr>
              <w:t>污泥</w:t>
            </w:r>
          </w:p>
        </w:tc>
        <w:tc>
          <w:tcPr>
            <w:tcW w:w="749" w:type="pct"/>
            <w:vAlign w:val="center"/>
          </w:tcPr>
          <w:p>
            <w:pPr>
              <w:pStyle w:val="42"/>
              <w:rPr>
                <w:szCs w:val="21"/>
              </w:rPr>
            </w:pPr>
            <w:r>
              <w:rPr>
                <w:rFonts w:hint="eastAsia"/>
                <w:szCs w:val="21"/>
              </w:rPr>
              <w:t>0.5</w:t>
            </w:r>
          </w:p>
        </w:tc>
        <w:tc>
          <w:tcPr>
            <w:tcW w:w="1081" w:type="pct"/>
            <w:vAlign w:val="center"/>
          </w:tcPr>
          <w:p>
            <w:pPr>
              <w:pStyle w:val="42"/>
              <w:rPr>
                <w:szCs w:val="21"/>
              </w:rPr>
            </w:pPr>
            <w:r>
              <w:rPr>
                <w:rFonts w:hint="eastAsia"/>
                <w:szCs w:val="21"/>
              </w:rPr>
              <w:t>集中收集，交垃圾填埋场统一处理</w:t>
            </w:r>
          </w:p>
        </w:tc>
        <w:tc>
          <w:tcPr>
            <w:tcW w:w="749" w:type="pct"/>
            <w:vAlign w:val="center"/>
          </w:tcPr>
          <w:p>
            <w:pPr>
              <w:pStyle w:val="42"/>
              <w:rPr>
                <w:szCs w:val="21"/>
              </w:rPr>
            </w:pPr>
            <w:r>
              <w:rPr>
                <w:rFonts w:hint="eastAsia"/>
                <w:szCs w:val="21"/>
              </w:rPr>
              <w:t>0.5</w:t>
            </w:r>
          </w:p>
        </w:tc>
        <w:tc>
          <w:tcPr>
            <w:tcW w:w="611" w:type="pct"/>
            <w:vAlign w:val="center"/>
          </w:tcPr>
          <w:p>
            <w:pPr>
              <w:pStyle w:val="42"/>
              <w:rPr>
                <w:szCs w:val="21"/>
              </w:rPr>
            </w:pPr>
            <w:r>
              <w:rPr>
                <w:rFonts w:hint="eastAsia"/>
                <w:szCs w:val="21"/>
              </w:rPr>
              <w:t>100</w:t>
            </w:r>
          </w:p>
        </w:tc>
      </w:tr>
    </w:tbl>
    <w:p>
      <w:pPr>
        <w:pStyle w:val="3"/>
        <w:spacing w:before="163" w:after="163"/>
      </w:pPr>
      <w:bookmarkStart w:id="209" w:name="_Toc84844369"/>
      <w:r>
        <w:rPr>
          <w:rFonts w:hint="eastAsia"/>
        </w:rPr>
        <w:t>9.5环境信息公开及人员培训</w:t>
      </w:r>
      <w:bookmarkEnd w:id="209"/>
    </w:p>
    <w:p>
      <w:pPr>
        <w:pStyle w:val="4"/>
        <w:spacing w:before="163" w:after="163"/>
      </w:pPr>
      <w:bookmarkStart w:id="210" w:name="_Toc84844370"/>
      <w:r>
        <w:rPr>
          <w:rFonts w:hint="eastAsia"/>
        </w:rPr>
        <w:t>9.5.1信息公开</w:t>
      </w:r>
      <w:bookmarkEnd w:id="210"/>
    </w:p>
    <w:p>
      <w:pPr>
        <w:ind w:firstLine="480"/>
      </w:pPr>
      <w:r>
        <w:rPr>
          <w:rFonts w:hint="eastAsia"/>
        </w:rPr>
        <w:t>建设单位应按照《企业事业单位环境信息公开办法》（环保部令第31号）等规定，对单位的基础信息、排污信息、防治污染设施的建设、运行情况和建设项目环境影响评价文件及其他环境保护行政许可等信息进行公开。</w:t>
      </w:r>
    </w:p>
    <w:p>
      <w:pPr>
        <w:ind w:firstLine="480"/>
      </w:pPr>
      <w:r>
        <w:rPr>
          <w:rFonts w:hint="eastAsia"/>
        </w:rPr>
        <w:t>企业公开信息表详见表9.5-1。</w:t>
      </w:r>
    </w:p>
    <w:p>
      <w:pPr>
        <w:pStyle w:val="41"/>
      </w:pPr>
      <w:r>
        <w:rPr>
          <w:rFonts w:hint="eastAsia"/>
        </w:rPr>
        <w:t>表9.5-1     企业环境信息公开信息表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594"/>
        <w:gridCol w:w="6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序号</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项目</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1</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项目名称</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利用化工尾气制20万吨/年合成氨循环经济项目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2</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项目地点</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重庆（长寿）经济技术开发区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3</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单位名称</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重庆建峰化工股份有限公司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4</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法定代表人</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李鹍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5</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联系方式</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张涛，电话：13996724846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6</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公司通讯地址</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重庆市涪陵区白涛街道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7</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项目情况</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拟建项目总投资60986万元，用地面积</w:t>
            </w:r>
            <w:r>
              <w:t>49725</w:t>
            </w:r>
            <w:r>
              <w:rPr>
                <w:rFonts w:hint="eastAsia"/>
              </w:rPr>
              <w:t xml:space="preserve"> m</w:t>
            </w:r>
            <w:r>
              <w:rPr>
                <w:rFonts w:hint="eastAsia"/>
                <w:vertAlign w:val="superscript"/>
              </w:rPr>
              <w:t>2</w:t>
            </w:r>
            <w:r>
              <w:rPr>
                <w:rFonts w:hint="eastAsia"/>
              </w:rPr>
              <w:t>，主要建设内容包括合成氨装置和CO</w:t>
            </w:r>
            <w:r>
              <w:rPr>
                <w:rFonts w:hint="eastAsia"/>
                <w:vertAlign w:val="subscript"/>
              </w:rPr>
              <w:t>2</w:t>
            </w:r>
            <w:r>
              <w:rPr>
                <w:rFonts w:hint="eastAsia"/>
              </w:rPr>
              <w:t>回收液化装置各一套，配套设置分析化验室、中央控制室和配电室等公辅工程，废水处理站和危险废物暂存间等环保工程；另外，本项目循环水系统、脱盐水系统、液氨储罐和事故应急火炬系统依托重庆化医恩力吉投资有限责任公司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pPr>
              <w:pStyle w:val="42"/>
            </w:pPr>
            <w:r>
              <w:t>8</w:t>
            </w:r>
          </w:p>
        </w:tc>
        <w:tc>
          <w:tcPr>
            <w:tcW w:w="935" w:type="pct"/>
            <w:tcBorders>
              <w:top w:val="single" w:color="auto" w:sz="4" w:space="0"/>
              <w:left w:val="single" w:color="auto" w:sz="4" w:space="0"/>
              <w:bottom w:val="single" w:color="auto" w:sz="4" w:space="0"/>
              <w:right w:val="single" w:color="auto" w:sz="4" w:space="0"/>
            </w:tcBorders>
            <w:vAlign w:val="center"/>
          </w:tcPr>
          <w:p>
            <w:pPr>
              <w:pStyle w:val="42"/>
            </w:pPr>
            <w:r>
              <w:t>环保措施</w:t>
            </w:r>
          </w:p>
        </w:tc>
        <w:tc>
          <w:tcPr>
            <w:tcW w:w="3667" w:type="pct"/>
            <w:tcBorders>
              <w:top w:val="single" w:color="auto" w:sz="4" w:space="0"/>
              <w:left w:val="single" w:color="auto" w:sz="4" w:space="0"/>
              <w:bottom w:val="single" w:color="auto" w:sz="4" w:space="0"/>
              <w:right w:val="single" w:color="auto" w:sz="4" w:space="0"/>
            </w:tcBorders>
            <w:vAlign w:val="center"/>
          </w:tcPr>
          <w:p>
            <w:pPr>
              <w:pStyle w:val="42"/>
            </w:pPr>
            <w:r>
              <w:rPr>
                <w:b/>
              </w:rPr>
              <w:t>废气：</w:t>
            </w:r>
            <w:r>
              <w:rPr>
                <w:rFonts w:hint="eastAsia"/>
              </w:rPr>
              <w:t>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废水处理站产生恶臭的构筑物进行加盖密闭，废气管道集中收集；危废暂存间设置抽排风系统，废气集中收集，与废水处理站臭气一并经“活性炭吸附”处理后15m高空达标排放，同时，采取加强周边绿化等措施。</w:t>
            </w:r>
          </w:p>
          <w:p>
            <w:pPr>
              <w:pStyle w:val="42"/>
            </w:pPr>
            <w:r>
              <w:rPr>
                <w:b/>
              </w:rPr>
              <w:t>废水：</w:t>
            </w:r>
            <w:r>
              <w:t>排水系统采用</w:t>
            </w:r>
            <w:r>
              <w:rPr>
                <w:rFonts w:hint="eastAsia"/>
              </w:rPr>
              <w:t>“雨污分流、清污分流”</w:t>
            </w:r>
            <w:r>
              <w:t>制，</w:t>
            </w:r>
            <w:r>
              <w:rPr>
                <w:rFonts w:hint="eastAsia"/>
              </w:rPr>
              <w:t>设置处理规模为20m3/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pStyle w:val="42"/>
            </w:pPr>
            <w:r>
              <w:rPr>
                <w:rFonts w:hint="eastAsia"/>
              </w:rPr>
              <w:t>另外，拟建项目设热交换器，排水量约280.8m</w:t>
            </w:r>
            <w:r>
              <w:rPr>
                <w:rFonts w:hint="eastAsia"/>
                <w:vertAlign w:val="superscript"/>
              </w:rPr>
              <w:t>3</w:t>
            </w:r>
            <w:r>
              <w:rPr>
                <w:rFonts w:hint="eastAsia"/>
              </w:rPr>
              <w:t>/d，经清下水管网集中收集至厂区雨水总排口，经雨水排口排入园区雨水系统；脱盐水和循环冷却水依托恩力吉公司现有装置，脱盐水系统排水和循环水系统排水共计1081.03 m</w:t>
            </w:r>
            <w:r>
              <w:rPr>
                <w:rFonts w:hint="eastAsia"/>
                <w:vertAlign w:val="superscript"/>
              </w:rPr>
              <w:t>3</w:t>
            </w:r>
            <w:r>
              <w:rPr>
                <w:rFonts w:hint="eastAsia"/>
              </w:rPr>
              <w:t>/d，依托恩力吉公司现有清下水管网集中收集，排入园区雨水系统。</w:t>
            </w:r>
          </w:p>
          <w:p>
            <w:pPr>
              <w:pStyle w:val="42"/>
            </w:pPr>
            <w:r>
              <w:rPr>
                <w:rFonts w:hint="eastAsia"/>
                <w:b/>
              </w:rPr>
              <w:t>固体废物</w:t>
            </w:r>
            <w:r>
              <w:rPr>
                <w:b/>
              </w:rPr>
              <w:t>：</w:t>
            </w:r>
            <w:r>
              <w:rPr>
                <w:rFonts w:hint="eastAsia"/>
              </w:rPr>
              <w:t>设置危废暂存间，建筑面积100m</w:t>
            </w:r>
            <w:r>
              <w:rPr>
                <w:rFonts w:hint="eastAsia"/>
                <w:vertAlign w:val="superscript"/>
              </w:rPr>
              <w:t>2</w:t>
            </w:r>
            <w:r>
              <w:rPr>
                <w:rFonts w:hint="eastAsia"/>
              </w:rPr>
              <w:t>，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pStyle w:val="42"/>
            </w:pPr>
            <w:r>
              <w:rPr>
                <w:rFonts w:hint="eastAsia"/>
                <w:b/>
              </w:rPr>
              <w:t>噪声：</w:t>
            </w:r>
            <w:r>
              <w:t>拟建项目的噪声</w:t>
            </w:r>
            <w:r>
              <w:rPr>
                <w:rFonts w:hint="eastAsia"/>
              </w:rPr>
              <w:t>源</w:t>
            </w:r>
            <w:r>
              <w:t>主要有</w:t>
            </w:r>
            <w:r>
              <w:rPr>
                <w:rFonts w:hint="eastAsia"/>
              </w:rPr>
              <w:t>风机、压缩机、制冷机、各类泵等机械设备，采取</w:t>
            </w:r>
            <w:r>
              <w:t>采取隔声、减振、吸声、消声和绿化等</w:t>
            </w:r>
            <w:r>
              <w:rPr>
                <w:rFonts w:hint="eastAsia"/>
              </w:rPr>
              <w:t>降噪措施；</w:t>
            </w:r>
          </w:p>
          <w:p>
            <w:pPr>
              <w:pStyle w:val="42"/>
            </w:pPr>
            <w:r>
              <w:rPr>
                <w:b/>
              </w:rPr>
              <w:t>环境风险：</w:t>
            </w:r>
            <w:r>
              <w:rPr>
                <w:rFonts w:hint="eastAsia"/>
              </w:rPr>
              <w:t>装置区、危废暂存间</w:t>
            </w:r>
            <w:r>
              <w:t>地面做</w:t>
            </w:r>
            <w:r>
              <w:rPr>
                <w:rFonts w:hint="eastAsia"/>
              </w:rPr>
              <w:t>防腐</w:t>
            </w:r>
            <w:r>
              <w:t>防渗措施</w:t>
            </w:r>
            <w:r>
              <w:rPr>
                <w:rFonts w:hint="eastAsia"/>
              </w:rPr>
              <w:t>；装置区设置围堤和导流沟，井</w:t>
            </w:r>
            <w:r>
              <w:t>连通事故池</w:t>
            </w:r>
            <w:r>
              <w:rPr>
                <w:rFonts w:hint="eastAsia"/>
              </w:rPr>
              <w:t>；设置有毒有害、可燃气体检测报警探头</w:t>
            </w:r>
            <w:r>
              <w:t>并接入系统</w:t>
            </w:r>
            <w:r>
              <w:rPr>
                <w:rFonts w:hint="eastAsia"/>
              </w:rPr>
              <w:t>；设置有效容积1800m</w:t>
            </w:r>
            <w:r>
              <w:rPr>
                <w:rFonts w:hint="eastAsia"/>
                <w:vertAlign w:val="superscript"/>
              </w:rPr>
              <w:t>3</w:t>
            </w:r>
            <w:r>
              <w:rPr>
                <w:rFonts w:hint="eastAsia"/>
              </w:rPr>
              <w:t>的事故池及配套雨污切换阀等。</w:t>
            </w:r>
          </w:p>
        </w:tc>
      </w:tr>
    </w:tbl>
    <w:p>
      <w:pPr>
        <w:pStyle w:val="4"/>
        <w:spacing w:before="163" w:after="163"/>
      </w:pPr>
      <w:bookmarkStart w:id="211" w:name="_Toc84844371"/>
      <w:r>
        <w:rPr>
          <w:rFonts w:hint="eastAsia"/>
        </w:rPr>
        <w:t>9.5.2人员培训</w:t>
      </w:r>
      <w:bookmarkEnd w:id="211"/>
    </w:p>
    <w:p>
      <w:pPr>
        <w:ind w:firstLine="480"/>
      </w:pPr>
      <w:r>
        <w:rPr>
          <w:rFonts w:hint="eastAsia"/>
        </w:rPr>
        <w:t>从事工厂环境保护的人员应在有关部门和单位进行专业培训，应对上岗职工进行职业道德、环境保护、劳动卫生、安全生产等法规教育，以增强操作和管理人员的职业精神和业务技能。</w:t>
      </w:r>
    </w:p>
    <w:p>
      <w:pPr>
        <w:pStyle w:val="3"/>
        <w:spacing w:before="163" w:after="163"/>
      </w:pPr>
      <w:bookmarkStart w:id="212" w:name="_Toc84844372"/>
      <w:r>
        <w:rPr>
          <w:rFonts w:hint="eastAsia"/>
        </w:rPr>
        <w:t>9.6竣工环境保护验收</w:t>
      </w:r>
      <w:bookmarkEnd w:id="212"/>
    </w:p>
    <w:p>
      <w:pPr>
        <w:pStyle w:val="4"/>
        <w:spacing w:before="163" w:after="163"/>
      </w:pPr>
      <w:bookmarkStart w:id="213" w:name="_Toc84844373"/>
      <w:r>
        <w:rPr>
          <w:rFonts w:hint="eastAsia"/>
        </w:rPr>
        <w:t>9.6.1环境保护验收要求</w:t>
      </w:r>
      <w:bookmarkEnd w:id="213"/>
    </w:p>
    <w:p>
      <w:pPr>
        <w:ind w:firstLine="480"/>
      </w:pPr>
      <w:r>
        <w:rPr>
          <w:rFonts w:hint="eastAsia"/>
        </w:rPr>
        <w:t>建设项目竣工后，建设单位或者其委托的技术机构应当依照国家有关法律法规、建设项目竣工环境保护验收技术规范、建设项目环境影响报告书和审批决定等要求，如实查验、监测、记载建设项目环境保护设施的建设和调试情况，同时还应如实记载其他环境保护对策措施“三同时”落实情况，编制竣工环境保护验收报告。</w:t>
      </w:r>
    </w:p>
    <w:p>
      <w:pPr>
        <w:ind w:firstLine="480"/>
      </w:pPr>
      <w:r>
        <w:rPr>
          <w:rFonts w:hint="eastAsia"/>
        </w:rPr>
        <w:t>验收报告编制完成后，建设单位应组织成立验收工作组。验收工作组由建设单位、设计单位、施工单位、环境影响报告书编制机构、验收报告编制机构等单位代表和专业技术专家组成。</w:t>
      </w:r>
    </w:p>
    <w:p>
      <w:pPr>
        <w:ind w:firstLine="480"/>
      </w:pPr>
      <w:r>
        <w:rPr>
          <w:rFonts w:hint="eastAsia"/>
        </w:rPr>
        <w:t>验收工作组应当严格依照国家有关法律法规、建设项目竣工环境保护验收技术规范、建设项目环境影响报告书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w:t>
      </w:r>
    </w:p>
    <w:p>
      <w:pPr>
        <w:ind w:firstLine="480"/>
      </w:pPr>
      <w:r>
        <w:rPr>
          <w:rFonts w:hint="eastAsia"/>
        </w:rPr>
        <w:t>建设单位应当对验收工作组提出的问题进行整改，合格后方可出具验收合格的意见。</w:t>
      </w:r>
    </w:p>
    <w:p>
      <w:pPr>
        <w:pStyle w:val="4"/>
        <w:spacing w:before="163" w:after="163"/>
      </w:pPr>
      <w:bookmarkStart w:id="214" w:name="_Toc84844374"/>
      <w:r>
        <w:rPr>
          <w:rFonts w:hint="eastAsia"/>
        </w:rPr>
        <w:t>9.6.2环保竣工验收内容</w:t>
      </w:r>
      <w:bookmarkEnd w:id="214"/>
    </w:p>
    <w:p>
      <w:pPr>
        <w:ind w:firstLine="480"/>
        <w:sectPr>
          <w:headerReference r:id="rId47" w:type="first"/>
          <w:footerReference r:id="rId50" w:type="first"/>
          <w:headerReference r:id="rId45" w:type="default"/>
          <w:footerReference r:id="rId48" w:type="default"/>
          <w:headerReference r:id="rId46" w:type="even"/>
          <w:footerReference r:id="rId49" w:type="even"/>
          <w:pgSz w:w="11906" w:h="16838"/>
          <w:pgMar w:top="1440" w:right="1800" w:bottom="1440" w:left="1800" w:header="851" w:footer="992" w:gutter="0"/>
          <w:cols w:space="425" w:num="1"/>
          <w:docGrid w:type="lines" w:linePitch="326" w:charSpace="0"/>
        </w:sectPr>
      </w:pPr>
      <w:r>
        <w:rPr>
          <w:rFonts w:hint="eastAsia"/>
        </w:rPr>
        <w:t>拟建项目环保设施验收内容及要求见表9.6-1。</w:t>
      </w:r>
    </w:p>
    <w:p>
      <w:pPr>
        <w:pStyle w:val="41"/>
      </w:pPr>
      <w:r>
        <w:rPr>
          <w:rFonts w:hint="eastAsia"/>
        </w:rPr>
        <w:t>表9.6-1   拟建项目环保设施验收内容及要求一览表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087"/>
        <w:gridCol w:w="184"/>
        <w:gridCol w:w="1417"/>
        <w:gridCol w:w="1417"/>
        <w:gridCol w:w="283"/>
        <w:gridCol w:w="3923"/>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序号</w:t>
            </w:r>
          </w:p>
        </w:tc>
        <w:tc>
          <w:tcPr>
            <w:tcW w:w="383" w:type="pct"/>
            <w:vAlign w:val="center"/>
          </w:tcPr>
          <w:p>
            <w:pPr>
              <w:pStyle w:val="42"/>
              <w:adjustRightInd w:val="0"/>
              <w:textAlignment w:val="baseline"/>
            </w:pPr>
            <w:r>
              <w:t>污染源</w:t>
            </w:r>
          </w:p>
        </w:tc>
        <w:tc>
          <w:tcPr>
            <w:tcW w:w="565" w:type="pct"/>
            <w:gridSpan w:val="2"/>
            <w:vAlign w:val="center"/>
          </w:tcPr>
          <w:p>
            <w:pPr>
              <w:pStyle w:val="42"/>
              <w:adjustRightInd w:val="0"/>
              <w:textAlignment w:val="baseline"/>
            </w:pPr>
            <w:r>
              <w:t>验收点</w:t>
            </w:r>
          </w:p>
        </w:tc>
        <w:tc>
          <w:tcPr>
            <w:tcW w:w="600" w:type="pct"/>
            <w:gridSpan w:val="2"/>
            <w:vAlign w:val="center"/>
          </w:tcPr>
          <w:p>
            <w:pPr>
              <w:pStyle w:val="42"/>
              <w:adjustRightInd w:val="0"/>
              <w:textAlignment w:val="baseline"/>
            </w:pPr>
            <w:r>
              <w:rPr>
                <w:rFonts w:hint="eastAsia"/>
              </w:rPr>
              <w:t>控制污染物</w:t>
            </w:r>
          </w:p>
        </w:tc>
        <w:tc>
          <w:tcPr>
            <w:tcW w:w="1384" w:type="pct"/>
            <w:vAlign w:val="center"/>
          </w:tcPr>
          <w:p>
            <w:pPr>
              <w:pStyle w:val="42"/>
              <w:adjustRightInd w:val="0"/>
              <w:textAlignment w:val="baseline"/>
            </w:pPr>
            <w:r>
              <w:rPr>
                <w:rFonts w:hint="eastAsia"/>
              </w:rPr>
              <w:t>验收内容</w:t>
            </w:r>
          </w:p>
        </w:tc>
        <w:tc>
          <w:tcPr>
            <w:tcW w:w="1778" w:type="pct"/>
            <w:vAlign w:val="center"/>
          </w:tcPr>
          <w:p>
            <w:pPr>
              <w:pStyle w:val="42"/>
              <w:adjustRightInd w:val="0"/>
              <w:textAlignment w:val="baseline"/>
            </w:pPr>
            <w:r>
              <w:rPr>
                <w:rFonts w:hint="eastAsia"/>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rPr>
                <w:b/>
              </w:rPr>
            </w:pPr>
            <w:r>
              <w:rPr>
                <w:rFonts w:hint="eastAsia"/>
                <w:b/>
              </w:rPr>
              <w:t>一</w:t>
            </w:r>
          </w:p>
        </w:tc>
        <w:tc>
          <w:tcPr>
            <w:tcW w:w="4710" w:type="pct"/>
            <w:gridSpan w:val="7"/>
            <w:vAlign w:val="center"/>
          </w:tcPr>
          <w:p>
            <w:pPr>
              <w:pStyle w:val="42"/>
              <w:adjustRightInd w:val="0"/>
              <w:textAlignment w:val="baseline"/>
              <w:rPr>
                <w:b/>
              </w:rPr>
            </w:pPr>
            <w:r>
              <w:rPr>
                <w:rFonts w:hint="eastAsia"/>
                <w:b/>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1</w:t>
            </w:r>
          </w:p>
        </w:tc>
        <w:tc>
          <w:tcPr>
            <w:tcW w:w="383" w:type="pct"/>
            <w:vAlign w:val="center"/>
          </w:tcPr>
          <w:p>
            <w:pPr>
              <w:pStyle w:val="42"/>
              <w:adjustRightInd w:val="0"/>
              <w:textAlignment w:val="baseline"/>
            </w:pPr>
            <w:r>
              <w:rPr>
                <w:rFonts w:hint="eastAsia"/>
              </w:rPr>
              <w:t>一段转化炉</w:t>
            </w:r>
          </w:p>
        </w:tc>
        <w:tc>
          <w:tcPr>
            <w:tcW w:w="565" w:type="pct"/>
            <w:gridSpan w:val="2"/>
            <w:vAlign w:val="center"/>
          </w:tcPr>
          <w:p>
            <w:pPr>
              <w:pStyle w:val="42"/>
              <w:adjustRightInd w:val="0"/>
              <w:textAlignment w:val="baseline"/>
            </w:pPr>
            <w:r>
              <w:rPr>
                <w:rFonts w:hint="eastAsia"/>
              </w:rPr>
              <w:t>排气筒出口</w:t>
            </w:r>
          </w:p>
        </w:tc>
        <w:tc>
          <w:tcPr>
            <w:tcW w:w="500" w:type="pct"/>
            <w:vAlign w:val="center"/>
          </w:tcPr>
          <w:p>
            <w:pPr>
              <w:pStyle w:val="42"/>
              <w:adjustRightInd w:val="0"/>
              <w:textAlignment w:val="baseline"/>
            </w:pPr>
            <w:r>
              <w:rPr>
                <w:rFonts w:hint="eastAsia"/>
              </w:rPr>
              <w:t>颗粒物</w:t>
            </w:r>
          </w:p>
          <w:p>
            <w:pPr>
              <w:pStyle w:val="42"/>
              <w:adjustRightInd w:val="0"/>
              <w:textAlignment w:val="baseline"/>
            </w:pPr>
            <w:r>
              <w:rPr>
                <w:rFonts w:hint="eastAsia"/>
              </w:rPr>
              <w:t>氮氧化物</w:t>
            </w:r>
          </w:p>
          <w:p>
            <w:pPr>
              <w:pStyle w:val="42"/>
              <w:adjustRightInd w:val="0"/>
              <w:textAlignment w:val="baseline"/>
            </w:pPr>
            <w:r>
              <w:rPr>
                <w:rFonts w:hint="eastAsia"/>
              </w:rPr>
              <w:t>SO</w:t>
            </w:r>
            <w:r>
              <w:rPr>
                <w:rFonts w:hint="eastAsia"/>
                <w:vertAlign w:val="subscript"/>
              </w:rPr>
              <w:t>2</w:t>
            </w:r>
          </w:p>
          <w:p>
            <w:pPr>
              <w:pStyle w:val="42"/>
              <w:adjustRightInd w:val="0"/>
              <w:textAlignment w:val="baseline"/>
            </w:pPr>
            <w:r>
              <w:rPr>
                <w:rFonts w:hint="eastAsia"/>
              </w:rPr>
              <w:t>氨</w:t>
            </w:r>
          </w:p>
          <w:p>
            <w:pPr>
              <w:pStyle w:val="42"/>
              <w:adjustRightInd w:val="0"/>
              <w:textAlignment w:val="baseline"/>
            </w:pPr>
            <w:r>
              <w:rPr>
                <w:rFonts w:hint="eastAsia"/>
              </w:rPr>
              <w:t>甲醇</w:t>
            </w:r>
          </w:p>
          <w:p>
            <w:pPr>
              <w:pStyle w:val="42"/>
              <w:adjustRightInd w:val="0"/>
              <w:textAlignment w:val="baseline"/>
            </w:pPr>
            <w:r>
              <w:rPr>
                <w:rFonts w:hint="eastAsia"/>
              </w:rPr>
              <w:t>非甲烷总烃</w:t>
            </w:r>
          </w:p>
        </w:tc>
        <w:tc>
          <w:tcPr>
            <w:tcW w:w="1484" w:type="pct"/>
            <w:gridSpan w:val="2"/>
            <w:vAlign w:val="center"/>
          </w:tcPr>
          <w:p>
            <w:pPr>
              <w:pStyle w:val="42"/>
              <w:adjustRightInd w:val="0"/>
              <w:textAlignment w:val="baseline"/>
            </w:pPr>
            <w:r>
              <w:rPr>
                <w:rFonts w:hint="eastAsia"/>
              </w:rPr>
              <w:t>集中收集，60m高排气筒排放</w:t>
            </w:r>
          </w:p>
        </w:tc>
        <w:tc>
          <w:tcPr>
            <w:tcW w:w="1778" w:type="pct"/>
            <w:vAlign w:val="center"/>
          </w:tcPr>
          <w:p>
            <w:pPr>
              <w:pStyle w:val="42"/>
              <w:adjustRightInd w:val="0"/>
              <w:textAlignment w:val="baseline"/>
            </w:pPr>
            <w:r>
              <w:rPr>
                <w:rFonts w:hint="eastAsia"/>
              </w:rPr>
              <w:t>《无机化学工业污染物排放标准》（GB31573-2015）</w:t>
            </w:r>
          </w:p>
          <w:p>
            <w:pPr>
              <w:pStyle w:val="42"/>
              <w:adjustRightInd w:val="0"/>
              <w:textAlignment w:val="baseline"/>
            </w:pPr>
            <w:r>
              <w:rPr>
                <w:rFonts w:hint="eastAsia"/>
              </w:rPr>
              <w:t>颗粒物≤30mg/m</w:t>
            </w:r>
            <w:r>
              <w:rPr>
                <w:rFonts w:hint="eastAsia"/>
                <w:vertAlign w:val="superscript"/>
              </w:rPr>
              <w:t>3</w:t>
            </w:r>
            <w:r>
              <w:rPr>
                <w:rFonts w:hint="eastAsia"/>
              </w:rPr>
              <w:t>；</w:t>
            </w:r>
          </w:p>
          <w:p>
            <w:pPr>
              <w:pStyle w:val="42"/>
              <w:adjustRightInd w:val="0"/>
              <w:textAlignment w:val="baseline"/>
            </w:pPr>
            <w:r>
              <w:rPr>
                <w:rFonts w:hint="eastAsia"/>
              </w:rPr>
              <w:t>氮氧化物≤200mg/m</w:t>
            </w:r>
            <w:r>
              <w:rPr>
                <w:rFonts w:hint="eastAsia"/>
                <w:vertAlign w:val="superscript"/>
              </w:rPr>
              <w:t>3</w:t>
            </w:r>
            <w:r>
              <w:rPr>
                <w:rFonts w:hint="eastAsia"/>
              </w:rPr>
              <w:t>；</w:t>
            </w:r>
          </w:p>
          <w:p>
            <w:pPr>
              <w:pStyle w:val="42"/>
              <w:adjustRightInd w:val="0"/>
              <w:textAlignment w:val="baseline"/>
            </w:pPr>
            <w:r>
              <w:rPr>
                <w:rFonts w:hint="eastAsia"/>
              </w:rPr>
              <w:t>SO</w:t>
            </w:r>
            <w:r>
              <w:rPr>
                <w:rFonts w:hint="eastAsia"/>
                <w:vertAlign w:val="subscript"/>
              </w:rPr>
              <w:t>2</w:t>
            </w:r>
            <w:r>
              <w:rPr>
                <w:rFonts w:hint="eastAsia"/>
              </w:rPr>
              <w:t>≤100mg/m</w:t>
            </w:r>
            <w:r>
              <w:rPr>
                <w:rFonts w:hint="eastAsia"/>
                <w:vertAlign w:val="superscript"/>
              </w:rPr>
              <w:t>3</w:t>
            </w:r>
            <w:r>
              <w:rPr>
                <w:rFonts w:hint="eastAsia"/>
              </w:rPr>
              <w:t>；</w:t>
            </w:r>
          </w:p>
          <w:p>
            <w:pPr>
              <w:pStyle w:val="42"/>
              <w:adjustRightInd w:val="0"/>
              <w:textAlignment w:val="baseline"/>
            </w:pPr>
            <w:r>
              <w:rPr>
                <w:rFonts w:hint="eastAsia"/>
              </w:rPr>
              <w:t>氨≤20mg/m</w:t>
            </w:r>
            <w:r>
              <w:rPr>
                <w:rFonts w:hint="eastAsia"/>
                <w:vertAlign w:val="superscript"/>
              </w:rPr>
              <w:t>3</w:t>
            </w:r>
            <w:r>
              <w:rPr>
                <w:rFonts w:hint="eastAsia"/>
              </w:rPr>
              <w:t>。</w:t>
            </w:r>
          </w:p>
          <w:p>
            <w:pPr>
              <w:pStyle w:val="42"/>
              <w:adjustRightInd w:val="0"/>
              <w:textAlignment w:val="baseline"/>
            </w:pPr>
            <w:r>
              <w:rPr>
                <w:rFonts w:hint="eastAsia"/>
              </w:rPr>
              <w:t>重庆市《大气污染物综合排放标准》（DB50/418-2016）：非甲烷总烃≤120mg/m</w:t>
            </w:r>
            <w:r>
              <w:rPr>
                <w:rFonts w:hint="eastAsia"/>
                <w:vertAlign w:val="superscript"/>
              </w:rPr>
              <w:t>3</w:t>
            </w:r>
            <w:r>
              <w:rPr>
                <w:rFonts w:hint="eastAsia"/>
              </w:rPr>
              <w:t>；</w:t>
            </w:r>
          </w:p>
          <w:p>
            <w:pPr>
              <w:pStyle w:val="42"/>
              <w:adjustRightInd w:val="0"/>
              <w:textAlignment w:val="baseline"/>
            </w:pPr>
            <w:r>
              <w:rPr>
                <w:rFonts w:hint="eastAsia"/>
              </w:rPr>
              <w:t>甲醇≤190mg/m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2</w:t>
            </w:r>
          </w:p>
        </w:tc>
        <w:tc>
          <w:tcPr>
            <w:tcW w:w="383" w:type="pct"/>
            <w:vAlign w:val="center"/>
          </w:tcPr>
          <w:p>
            <w:pPr>
              <w:pStyle w:val="42"/>
              <w:adjustRightInd w:val="0"/>
              <w:textAlignment w:val="baseline"/>
            </w:pPr>
            <w:r>
              <w:rPr>
                <w:rFonts w:hint="eastAsia"/>
              </w:rPr>
              <w:t>废水处理站和危废暂存间</w:t>
            </w:r>
          </w:p>
        </w:tc>
        <w:tc>
          <w:tcPr>
            <w:tcW w:w="565" w:type="pct"/>
            <w:gridSpan w:val="2"/>
            <w:vAlign w:val="center"/>
          </w:tcPr>
          <w:p>
            <w:pPr>
              <w:pStyle w:val="42"/>
              <w:adjustRightInd w:val="0"/>
              <w:textAlignment w:val="baseline"/>
            </w:pPr>
            <w:r>
              <w:rPr>
                <w:rFonts w:hint="eastAsia"/>
              </w:rPr>
              <w:t>排气筒出口</w:t>
            </w:r>
          </w:p>
        </w:tc>
        <w:tc>
          <w:tcPr>
            <w:tcW w:w="500" w:type="pct"/>
            <w:vAlign w:val="center"/>
          </w:tcPr>
          <w:p>
            <w:pPr>
              <w:pStyle w:val="42"/>
              <w:adjustRightInd w:val="0"/>
              <w:textAlignment w:val="baseline"/>
            </w:pPr>
            <w:r>
              <w:rPr>
                <w:rFonts w:hint="eastAsia"/>
              </w:rPr>
              <w:t>硫化氢</w:t>
            </w:r>
          </w:p>
          <w:p>
            <w:pPr>
              <w:pStyle w:val="42"/>
              <w:adjustRightInd w:val="0"/>
              <w:textAlignment w:val="baseline"/>
            </w:pPr>
            <w:r>
              <w:rPr>
                <w:rFonts w:hint="eastAsia"/>
              </w:rPr>
              <w:t>氨</w:t>
            </w:r>
          </w:p>
        </w:tc>
        <w:tc>
          <w:tcPr>
            <w:tcW w:w="1484" w:type="pct"/>
            <w:gridSpan w:val="2"/>
            <w:vAlign w:val="center"/>
          </w:tcPr>
          <w:p>
            <w:pPr>
              <w:pStyle w:val="42"/>
              <w:adjustRightInd w:val="0"/>
              <w:textAlignment w:val="baseline"/>
            </w:pPr>
            <w:r>
              <w:rPr>
                <w:rFonts w:hint="eastAsia"/>
              </w:rPr>
              <w:t>废水处理站产生恶臭的构筑物进行加盖密闭，废气管道集中收集；危废暂存间设置抽排风系统，废气集中收集，与废水处理站臭气一并经“活性炭吸附”处理后15m高空达标排放。</w:t>
            </w:r>
          </w:p>
        </w:tc>
        <w:tc>
          <w:tcPr>
            <w:tcW w:w="1778" w:type="pct"/>
            <w:vAlign w:val="center"/>
          </w:tcPr>
          <w:p>
            <w:pPr>
              <w:pStyle w:val="42"/>
              <w:adjustRightInd w:val="0"/>
              <w:textAlignment w:val="baseline"/>
            </w:pPr>
            <w:r>
              <w:rPr>
                <w:rFonts w:hint="eastAsia"/>
              </w:rPr>
              <w:t>《恶臭污染物排放标准》（GB14554-93）</w:t>
            </w:r>
          </w:p>
          <w:p>
            <w:pPr>
              <w:pStyle w:val="42"/>
              <w:adjustRightInd w:val="0"/>
              <w:textAlignment w:val="baseline"/>
            </w:pPr>
            <w:r>
              <w:rPr>
                <w:rFonts w:hint="eastAsia"/>
              </w:rPr>
              <w:t>硫化氢</w:t>
            </w:r>
            <w:r>
              <w:rPr>
                <w:rFonts w:hint="eastAsia" w:ascii="宋体" w:hAnsi="宋体"/>
              </w:rPr>
              <w:t>≤</w:t>
            </w:r>
            <w:r>
              <w:rPr>
                <w:rFonts w:hint="eastAsia"/>
              </w:rPr>
              <w:t>0.33kg/h；</w:t>
            </w:r>
          </w:p>
          <w:p>
            <w:pPr>
              <w:pStyle w:val="42"/>
              <w:adjustRightInd w:val="0"/>
              <w:textAlignment w:val="baseline"/>
            </w:pPr>
            <w:r>
              <w:rPr>
                <w:rFonts w:hint="eastAsia"/>
              </w:rPr>
              <w:t>氨</w:t>
            </w:r>
            <w:r>
              <w:rPr>
                <w:rFonts w:hint="eastAsia" w:ascii="宋体" w:hAnsi="宋体"/>
              </w:rPr>
              <w:t>≤</w:t>
            </w:r>
            <w:r>
              <w:rPr>
                <w:rFonts w:hint="eastAsia"/>
              </w:rPr>
              <w:t>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3</w:t>
            </w:r>
          </w:p>
        </w:tc>
        <w:tc>
          <w:tcPr>
            <w:tcW w:w="383" w:type="pct"/>
            <w:vAlign w:val="center"/>
          </w:tcPr>
          <w:p>
            <w:pPr>
              <w:pStyle w:val="42"/>
              <w:adjustRightInd w:val="0"/>
              <w:textAlignment w:val="baseline"/>
            </w:pPr>
            <w:r>
              <w:rPr>
                <w:rFonts w:hint="eastAsia"/>
              </w:rPr>
              <w:t>无组织排放</w:t>
            </w:r>
          </w:p>
        </w:tc>
        <w:tc>
          <w:tcPr>
            <w:tcW w:w="565" w:type="pct"/>
            <w:gridSpan w:val="2"/>
            <w:vAlign w:val="center"/>
          </w:tcPr>
          <w:p>
            <w:pPr>
              <w:pStyle w:val="42"/>
              <w:adjustRightInd w:val="0"/>
              <w:textAlignment w:val="baseline"/>
            </w:pPr>
            <w:r>
              <w:rPr>
                <w:rFonts w:hint="eastAsia"/>
              </w:rPr>
              <w:t>厂界</w:t>
            </w:r>
          </w:p>
        </w:tc>
        <w:tc>
          <w:tcPr>
            <w:tcW w:w="500" w:type="pct"/>
            <w:vAlign w:val="center"/>
          </w:tcPr>
          <w:p>
            <w:pPr>
              <w:pStyle w:val="42"/>
              <w:adjustRightInd w:val="0"/>
              <w:textAlignment w:val="baseline"/>
            </w:pPr>
            <w:r>
              <w:rPr>
                <w:rFonts w:hint="eastAsia"/>
              </w:rPr>
              <w:t>氨</w:t>
            </w:r>
          </w:p>
          <w:p>
            <w:pPr>
              <w:pStyle w:val="42"/>
              <w:adjustRightInd w:val="0"/>
              <w:textAlignment w:val="baseline"/>
            </w:pPr>
            <w:r>
              <w:rPr>
                <w:rFonts w:hint="eastAsia"/>
              </w:rPr>
              <w:t>非甲烷总烃</w:t>
            </w:r>
          </w:p>
          <w:p>
            <w:pPr>
              <w:pStyle w:val="42"/>
              <w:adjustRightInd w:val="0"/>
              <w:textAlignment w:val="baseline"/>
            </w:pPr>
            <w:r>
              <w:rPr>
                <w:rFonts w:hint="eastAsia"/>
              </w:rPr>
              <w:t>臭气浓度</w:t>
            </w:r>
          </w:p>
        </w:tc>
        <w:tc>
          <w:tcPr>
            <w:tcW w:w="1484" w:type="pct"/>
            <w:gridSpan w:val="2"/>
            <w:vAlign w:val="center"/>
          </w:tcPr>
          <w:p>
            <w:pPr>
              <w:pStyle w:val="42"/>
              <w:adjustRightInd w:val="0"/>
              <w:textAlignment w:val="baseline"/>
            </w:pPr>
            <w:r>
              <w:rPr>
                <w:rFonts w:hint="eastAsia"/>
              </w:rPr>
              <w:t>厂界达标</w:t>
            </w:r>
          </w:p>
        </w:tc>
        <w:tc>
          <w:tcPr>
            <w:tcW w:w="1778" w:type="pct"/>
            <w:vAlign w:val="center"/>
          </w:tcPr>
          <w:p>
            <w:pPr>
              <w:pStyle w:val="42"/>
              <w:adjustRightInd w:val="0"/>
              <w:textAlignment w:val="baseline"/>
            </w:pPr>
            <w:r>
              <w:rPr>
                <w:rFonts w:hint="eastAsia"/>
              </w:rPr>
              <w:t>非甲烷总烃满足</w:t>
            </w:r>
            <w:r>
              <w:t>《大气污染物综合排放标准》（DB50/418-2016）、</w:t>
            </w:r>
            <w:r>
              <w:rPr>
                <w:rFonts w:hint="eastAsia"/>
              </w:rPr>
              <w:t>氨满足《无机化学工业污染物排放标准》（GB31573-2015）</w:t>
            </w:r>
            <w:r>
              <w:t>、</w:t>
            </w:r>
            <w:r>
              <w:rPr>
                <w:rFonts w:hint="eastAsia"/>
              </w:rPr>
              <w:t>臭气浓度满足</w:t>
            </w:r>
            <w:r>
              <w:t>《恶臭污染物排放标准》（GB14554-93）</w:t>
            </w:r>
          </w:p>
          <w:p>
            <w:pPr>
              <w:pStyle w:val="42"/>
              <w:adjustRightInd w:val="0"/>
              <w:textAlignment w:val="baseline"/>
            </w:pPr>
            <w:r>
              <w:rPr>
                <w:rFonts w:hint="eastAsia"/>
              </w:rPr>
              <w:t>氨≤0.3mg/m</w:t>
            </w:r>
            <w:r>
              <w:rPr>
                <w:rFonts w:hint="eastAsia"/>
                <w:vertAlign w:val="superscript"/>
              </w:rPr>
              <w:t>3</w:t>
            </w:r>
            <w:r>
              <w:rPr>
                <w:rFonts w:hint="eastAsia"/>
              </w:rPr>
              <w:t>；</w:t>
            </w:r>
          </w:p>
          <w:p>
            <w:pPr>
              <w:pStyle w:val="42"/>
              <w:adjustRightInd w:val="0"/>
              <w:textAlignment w:val="baseline"/>
            </w:pPr>
            <w:r>
              <w:rPr>
                <w:rFonts w:hint="eastAsia"/>
              </w:rPr>
              <w:t>NMHC≤4mg/m</w:t>
            </w:r>
            <w:r>
              <w:rPr>
                <w:rFonts w:hint="eastAsia"/>
                <w:vertAlign w:val="superscript"/>
              </w:rPr>
              <w:t>3</w:t>
            </w:r>
            <w:r>
              <w:rPr>
                <w:rFonts w:hint="eastAsia"/>
              </w:rPr>
              <w:t>；臭气浓度≤20（无量纲）。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rPr>
                <w:b/>
              </w:rPr>
            </w:pPr>
            <w:r>
              <w:rPr>
                <w:rFonts w:hint="eastAsia"/>
                <w:b/>
              </w:rPr>
              <w:t>二</w:t>
            </w:r>
          </w:p>
        </w:tc>
        <w:tc>
          <w:tcPr>
            <w:tcW w:w="4710" w:type="pct"/>
            <w:gridSpan w:val="7"/>
            <w:vAlign w:val="center"/>
          </w:tcPr>
          <w:p>
            <w:pPr>
              <w:pStyle w:val="42"/>
              <w:adjustRightInd w:val="0"/>
              <w:textAlignment w:val="baseline"/>
              <w:rPr>
                <w:b/>
              </w:rPr>
            </w:pPr>
            <w:r>
              <w:rPr>
                <w:rFonts w:hint="eastAsia"/>
                <w:b/>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1</w:t>
            </w:r>
          </w:p>
        </w:tc>
        <w:tc>
          <w:tcPr>
            <w:tcW w:w="383" w:type="pct"/>
            <w:vAlign w:val="center"/>
          </w:tcPr>
          <w:p>
            <w:pPr>
              <w:pStyle w:val="42"/>
              <w:adjustRightInd w:val="0"/>
              <w:textAlignment w:val="baseline"/>
            </w:pPr>
            <w:r>
              <w:rPr>
                <w:rFonts w:hint="eastAsia"/>
              </w:rPr>
              <w:t>生产废水和生活污水</w:t>
            </w:r>
          </w:p>
        </w:tc>
        <w:tc>
          <w:tcPr>
            <w:tcW w:w="565" w:type="pct"/>
            <w:gridSpan w:val="2"/>
            <w:vAlign w:val="center"/>
          </w:tcPr>
          <w:p>
            <w:pPr>
              <w:pStyle w:val="42"/>
              <w:adjustRightInd w:val="0"/>
              <w:textAlignment w:val="baseline"/>
            </w:pPr>
            <w:r>
              <w:t>污水处理站废水进、出口</w:t>
            </w:r>
          </w:p>
        </w:tc>
        <w:tc>
          <w:tcPr>
            <w:tcW w:w="500" w:type="pct"/>
            <w:vAlign w:val="center"/>
          </w:tcPr>
          <w:p>
            <w:pPr>
              <w:pStyle w:val="42"/>
              <w:adjustRightInd w:val="0"/>
              <w:textAlignment w:val="baseline"/>
            </w:pPr>
            <w:r>
              <w:rPr>
                <w:rFonts w:hint="eastAsia"/>
              </w:rPr>
              <w:t>pH</w:t>
            </w:r>
          </w:p>
          <w:p>
            <w:pPr>
              <w:pStyle w:val="42"/>
              <w:adjustRightInd w:val="0"/>
              <w:textAlignment w:val="baseline"/>
            </w:pPr>
            <w:r>
              <w:rPr>
                <w:rFonts w:hint="eastAsia"/>
              </w:rPr>
              <w:t>COD</w:t>
            </w:r>
          </w:p>
          <w:p>
            <w:pPr>
              <w:pStyle w:val="42"/>
              <w:adjustRightInd w:val="0"/>
              <w:textAlignment w:val="baseline"/>
            </w:pPr>
            <w:r>
              <w:rPr>
                <w:rFonts w:hint="eastAsia"/>
              </w:rPr>
              <w:t xml:space="preserve">SS </w:t>
            </w:r>
          </w:p>
          <w:p>
            <w:pPr>
              <w:pStyle w:val="42"/>
              <w:adjustRightInd w:val="0"/>
              <w:textAlignment w:val="baseline"/>
            </w:pPr>
            <w:r>
              <w:rPr>
                <w:rFonts w:hint="eastAsia"/>
              </w:rPr>
              <w:t>NH</w:t>
            </w:r>
            <w:r>
              <w:rPr>
                <w:rFonts w:hint="eastAsia"/>
                <w:vertAlign w:val="subscript"/>
              </w:rPr>
              <w:t>3</w:t>
            </w:r>
            <w:r>
              <w:rPr>
                <w:rFonts w:hint="eastAsia"/>
              </w:rPr>
              <w:t>-N</w:t>
            </w:r>
          </w:p>
          <w:p>
            <w:pPr>
              <w:pStyle w:val="42"/>
              <w:adjustRightInd w:val="0"/>
              <w:textAlignment w:val="baseline"/>
            </w:pPr>
            <w:r>
              <w:rPr>
                <w:rFonts w:hint="eastAsia"/>
              </w:rPr>
              <w:t>石油类</w:t>
            </w:r>
          </w:p>
        </w:tc>
        <w:tc>
          <w:tcPr>
            <w:tcW w:w="1484" w:type="pct"/>
            <w:gridSpan w:val="2"/>
            <w:vAlign w:val="center"/>
          </w:tcPr>
          <w:p>
            <w:pPr>
              <w:pStyle w:val="42"/>
              <w:adjustRightInd w:val="0"/>
              <w:textAlignment w:val="baseline"/>
            </w:pPr>
            <w:r>
              <w:rPr>
                <w:rFonts w:hint="eastAsia"/>
              </w:rPr>
              <w:t>设置处理规模为20m</w:t>
            </w:r>
            <w:r>
              <w:rPr>
                <w:rFonts w:hint="eastAsia"/>
                <w:vertAlign w:val="superscript"/>
              </w:rPr>
              <w:t>3</w:t>
            </w:r>
            <w:r>
              <w:rPr>
                <w:rFonts w:hint="eastAsia"/>
              </w:rPr>
              <w:t>/d的废水处理站1座，采用SBR生化处理工艺。废水集中收集，经SBR生化处理达标后，排入园区污水处理厂</w:t>
            </w:r>
          </w:p>
        </w:tc>
        <w:tc>
          <w:tcPr>
            <w:tcW w:w="1778" w:type="pct"/>
            <w:vAlign w:val="center"/>
          </w:tcPr>
          <w:p>
            <w:pPr>
              <w:pStyle w:val="42"/>
              <w:adjustRightInd w:val="0"/>
              <w:textAlignment w:val="baseline"/>
            </w:pPr>
            <w:r>
              <w:rPr>
                <w:rFonts w:hint="eastAsia"/>
              </w:rPr>
              <w:t>pH、COD、SS、石油类和NH</w:t>
            </w:r>
            <w:r>
              <w:rPr>
                <w:rFonts w:hint="eastAsia"/>
                <w:vertAlign w:val="subscript"/>
              </w:rPr>
              <w:t>3</w:t>
            </w:r>
            <w:r>
              <w:rPr>
                <w:rFonts w:hint="eastAsia"/>
              </w:rPr>
              <w:t>-N等因子满足《合成氨工业水污染物排放标准》（GB13458-2013）表2新建企业水污染物排放浓度限值（间接排放）</w:t>
            </w:r>
          </w:p>
          <w:p>
            <w:pPr>
              <w:pStyle w:val="42"/>
              <w:adjustRightInd w:val="0"/>
              <w:textAlignment w:val="baseline"/>
            </w:pPr>
            <w:r>
              <w:rPr>
                <w:rFonts w:hint="eastAsia"/>
              </w:rPr>
              <w:t>pH：6~9；COD</w:t>
            </w:r>
            <w:r>
              <w:rPr>
                <w:rFonts w:hint="eastAsia" w:ascii="宋体" w:hAnsi="宋体"/>
              </w:rPr>
              <w:t>≤</w:t>
            </w:r>
            <w:r>
              <w:rPr>
                <w:rFonts w:hint="eastAsia"/>
              </w:rPr>
              <w:t>200mg/L；</w:t>
            </w:r>
          </w:p>
          <w:p>
            <w:pPr>
              <w:pStyle w:val="42"/>
              <w:adjustRightInd w:val="0"/>
              <w:textAlignment w:val="baseline"/>
            </w:pPr>
            <w:r>
              <w:rPr>
                <w:rFonts w:hint="eastAsia"/>
              </w:rPr>
              <w:t>SS</w:t>
            </w:r>
            <w:r>
              <w:rPr>
                <w:rFonts w:hint="eastAsia" w:ascii="宋体" w:hAnsi="宋体"/>
              </w:rPr>
              <w:t>≤</w:t>
            </w:r>
            <w:r>
              <w:rPr>
                <w:rFonts w:hint="eastAsia"/>
              </w:rPr>
              <w:t>100mg/L；BOD</w:t>
            </w:r>
            <w:r>
              <w:rPr>
                <w:rFonts w:hint="eastAsia"/>
                <w:vertAlign w:val="subscript"/>
              </w:rPr>
              <w:t>5</w:t>
            </w:r>
            <w:r>
              <w:rPr>
                <w:rFonts w:hint="eastAsia" w:ascii="宋体" w:hAnsi="宋体"/>
              </w:rPr>
              <w:t>≤</w:t>
            </w:r>
            <w:r>
              <w:rPr>
                <w:rFonts w:hint="eastAsia"/>
              </w:rPr>
              <w:t>300mg/L；</w:t>
            </w:r>
          </w:p>
          <w:p>
            <w:pPr>
              <w:pStyle w:val="42"/>
              <w:adjustRightInd w:val="0"/>
              <w:textAlignment w:val="baseline"/>
            </w:pPr>
            <w:r>
              <w:rPr>
                <w:rFonts w:hint="eastAsia"/>
              </w:rPr>
              <w:t>NH</w:t>
            </w:r>
            <w:r>
              <w:rPr>
                <w:rFonts w:hint="eastAsia"/>
                <w:vertAlign w:val="subscript"/>
              </w:rPr>
              <w:t>3</w:t>
            </w:r>
            <w:r>
              <w:rPr>
                <w:rFonts w:hint="eastAsia"/>
              </w:rPr>
              <w:t>-N</w:t>
            </w:r>
            <w:r>
              <w:rPr>
                <w:rFonts w:hint="eastAsia" w:ascii="宋体" w:hAnsi="宋体"/>
              </w:rPr>
              <w:t>≤</w:t>
            </w:r>
            <w:r>
              <w:rPr>
                <w:rFonts w:hint="eastAsia"/>
              </w:rPr>
              <w:t>50mg/L；石油类</w:t>
            </w:r>
            <w:r>
              <w:rPr>
                <w:rFonts w:hint="eastAsia" w:ascii="宋体" w:hAnsi="宋体"/>
              </w:rPr>
              <w:t>≤</w:t>
            </w:r>
            <w:r>
              <w:rPr>
                <w:rFonts w:hint="eastAsia"/>
              </w:rPr>
              <w:t>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2</w:t>
            </w:r>
          </w:p>
        </w:tc>
        <w:tc>
          <w:tcPr>
            <w:tcW w:w="383" w:type="pct"/>
            <w:vAlign w:val="center"/>
          </w:tcPr>
          <w:p>
            <w:pPr>
              <w:pStyle w:val="42"/>
              <w:adjustRightInd w:val="0"/>
              <w:textAlignment w:val="baseline"/>
            </w:pPr>
            <w:r>
              <w:rPr>
                <w:rFonts w:hint="eastAsia"/>
              </w:rPr>
              <w:t>热交换器</w:t>
            </w:r>
          </w:p>
        </w:tc>
        <w:tc>
          <w:tcPr>
            <w:tcW w:w="565" w:type="pct"/>
            <w:gridSpan w:val="2"/>
            <w:vAlign w:val="center"/>
          </w:tcPr>
          <w:p>
            <w:pPr>
              <w:pStyle w:val="42"/>
              <w:adjustRightInd w:val="0"/>
              <w:textAlignment w:val="baseline"/>
            </w:pPr>
            <w:r>
              <w:rPr>
                <w:rFonts w:hint="eastAsia"/>
              </w:rPr>
              <w:t>清下水管网</w:t>
            </w:r>
          </w:p>
        </w:tc>
        <w:tc>
          <w:tcPr>
            <w:tcW w:w="500" w:type="pct"/>
            <w:vAlign w:val="center"/>
          </w:tcPr>
          <w:p>
            <w:pPr>
              <w:pStyle w:val="42"/>
              <w:adjustRightInd w:val="0"/>
              <w:textAlignment w:val="baseline"/>
            </w:pPr>
            <w:r>
              <w:rPr>
                <w:rFonts w:hint="eastAsia"/>
              </w:rPr>
              <w:t>/</w:t>
            </w:r>
          </w:p>
        </w:tc>
        <w:tc>
          <w:tcPr>
            <w:tcW w:w="1484" w:type="pct"/>
            <w:gridSpan w:val="2"/>
            <w:vAlign w:val="center"/>
          </w:tcPr>
          <w:p>
            <w:pPr>
              <w:pStyle w:val="42"/>
              <w:adjustRightInd w:val="0"/>
              <w:textAlignment w:val="baseline"/>
            </w:pPr>
            <w:r>
              <w:rPr>
                <w:rFonts w:hint="eastAsia"/>
              </w:rPr>
              <w:t>热交换器排水经清下水管网集中收集至厂区雨水总排口，经雨水排口排入园区雨水系统</w:t>
            </w:r>
          </w:p>
        </w:tc>
        <w:tc>
          <w:tcPr>
            <w:tcW w:w="1778"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rPr>
                <w:b/>
              </w:rPr>
            </w:pPr>
            <w:r>
              <w:rPr>
                <w:rFonts w:hint="eastAsia"/>
                <w:b/>
              </w:rPr>
              <w:t>三</w:t>
            </w:r>
          </w:p>
        </w:tc>
        <w:tc>
          <w:tcPr>
            <w:tcW w:w="4710" w:type="pct"/>
            <w:gridSpan w:val="7"/>
            <w:vAlign w:val="center"/>
          </w:tcPr>
          <w:p>
            <w:pPr>
              <w:pStyle w:val="42"/>
              <w:adjustRightInd w:val="0"/>
              <w:textAlignment w:val="baseline"/>
            </w:pPr>
            <w:r>
              <w:rPr>
                <w:rFonts w:hint="eastAsia"/>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1</w:t>
            </w:r>
          </w:p>
        </w:tc>
        <w:tc>
          <w:tcPr>
            <w:tcW w:w="383" w:type="pct"/>
            <w:vAlign w:val="center"/>
          </w:tcPr>
          <w:p>
            <w:pPr>
              <w:pStyle w:val="42"/>
              <w:adjustRightInd w:val="0"/>
              <w:textAlignment w:val="baseline"/>
            </w:pPr>
            <w:r>
              <w:rPr>
                <w:rFonts w:hint="eastAsia"/>
              </w:rPr>
              <w:t>生产装置区、废气处理系统</w:t>
            </w:r>
          </w:p>
        </w:tc>
        <w:tc>
          <w:tcPr>
            <w:tcW w:w="565" w:type="pct"/>
            <w:gridSpan w:val="2"/>
            <w:vAlign w:val="center"/>
          </w:tcPr>
          <w:p>
            <w:pPr>
              <w:pStyle w:val="42"/>
              <w:adjustRightInd w:val="0"/>
              <w:textAlignment w:val="baseline"/>
            </w:pPr>
            <w:r>
              <w:rPr>
                <w:rFonts w:hint="eastAsia"/>
              </w:rPr>
              <w:t>危险废物暂存间</w:t>
            </w:r>
          </w:p>
        </w:tc>
        <w:tc>
          <w:tcPr>
            <w:tcW w:w="600" w:type="pct"/>
            <w:gridSpan w:val="2"/>
            <w:vAlign w:val="center"/>
          </w:tcPr>
          <w:p>
            <w:pPr>
              <w:pStyle w:val="42"/>
              <w:adjustRightInd w:val="0"/>
              <w:textAlignment w:val="baseline"/>
            </w:pPr>
            <w:r>
              <w:rPr>
                <w:rFonts w:hint="eastAsia"/>
              </w:rPr>
              <w:t>废催化剂、废脱硫剂、废吸附剂和废活性炭等</w:t>
            </w:r>
          </w:p>
        </w:tc>
        <w:tc>
          <w:tcPr>
            <w:tcW w:w="1384" w:type="pct"/>
            <w:vAlign w:val="center"/>
          </w:tcPr>
          <w:p>
            <w:pPr>
              <w:pStyle w:val="42"/>
              <w:adjustRightInd w:val="0"/>
              <w:textAlignment w:val="baseline"/>
            </w:pPr>
            <w:r>
              <w:rPr>
                <w:rFonts w:hint="eastAsia"/>
              </w:rPr>
              <w:t>设置100m</w:t>
            </w:r>
            <w:r>
              <w:rPr>
                <w:rFonts w:hint="eastAsia"/>
                <w:vertAlign w:val="superscript"/>
              </w:rPr>
              <w:t>2</w:t>
            </w:r>
            <w:r>
              <w:rPr>
                <w:rFonts w:hint="eastAsia"/>
              </w:rPr>
              <w:t>的危险废物暂存间，地面</w:t>
            </w:r>
            <w:r>
              <w:rPr>
                <w:rFonts w:hint="eastAsia"/>
                <w:szCs w:val="21"/>
              </w:rPr>
              <w:t>“防腐、防渗”，</w:t>
            </w:r>
            <w:r>
              <w:rPr>
                <w:rFonts w:hint="eastAsia"/>
              </w:rPr>
              <w:t>采取“防风、防雨、防晒”三防措施，配套设置导流设施，符合《危险废物贮存污染控制标准》（GB18597-2001）要求；危险废物分类收集，交有资质单位统一处理；危废处置协议及记录</w:t>
            </w:r>
          </w:p>
        </w:tc>
        <w:tc>
          <w:tcPr>
            <w:tcW w:w="1778" w:type="pct"/>
            <w:vAlign w:val="center"/>
          </w:tcPr>
          <w:p>
            <w:pPr>
              <w:pStyle w:val="42"/>
              <w:adjustRightInd w:val="0"/>
              <w:textAlignment w:val="baseline"/>
            </w:pPr>
            <w:r>
              <w:t>《危险废物贮存污染控制标准》（GB18597-2001）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2</w:t>
            </w:r>
          </w:p>
        </w:tc>
        <w:tc>
          <w:tcPr>
            <w:tcW w:w="948" w:type="pct"/>
            <w:gridSpan w:val="3"/>
            <w:vAlign w:val="center"/>
          </w:tcPr>
          <w:p>
            <w:pPr>
              <w:pStyle w:val="42"/>
              <w:adjustRightInd w:val="0"/>
              <w:textAlignment w:val="baseline"/>
            </w:pPr>
            <w:r>
              <w:rPr>
                <w:rFonts w:hint="eastAsia"/>
              </w:rPr>
              <w:t>办公区生活垃圾</w:t>
            </w:r>
          </w:p>
        </w:tc>
        <w:tc>
          <w:tcPr>
            <w:tcW w:w="600" w:type="pct"/>
            <w:gridSpan w:val="2"/>
            <w:vAlign w:val="center"/>
          </w:tcPr>
          <w:p>
            <w:pPr>
              <w:pStyle w:val="42"/>
              <w:adjustRightInd w:val="0"/>
              <w:textAlignment w:val="baseline"/>
            </w:pPr>
            <w:r>
              <w:rPr>
                <w:rFonts w:hint="eastAsia"/>
              </w:rPr>
              <w:t>生活垃圾</w:t>
            </w:r>
          </w:p>
        </w:tc>
        <w:tc>
          <w:tcPr>
            <w:tcW w:w="1384" w:type="pct"/>
            <w:vAlign w:val="center"/>
          </w:tcPr>
          <w:p>
            <w:pPr>
              <w:pStyle w:val="42"/>
              <w:adjustRightInd w:val="0"/>
              <w:textAlignment w:val="baseline"/>
            </w:pPr>
            <w:r>
              <w:rPr>
                <w:rFonts w:hint="eastAsia"/>
              </w:rPr>
              <w:t>袋装收集，交环卫部门统一清运处置</w:t>
            </w:r>
          </w:p>
        </w:tc>
        <w:tc>
          <w:tcPr>
            <w:tcW w:w="1778"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3</w:t>
            </w:r>
          </w:p>
        </w:tc>
        <w:tc>
          <w:tcPr>
            <w:tcW w:w="948" w:type="pct"/>
            <w:gridSpan w:val="3"/>
            <w:vAlign w:val="center"/>
          </w:tcPr>
          <w:p>
            <w:pPr>
              <w:pStyle w:val="42"/>
              <w:adjustRightInd w:val="0"/>
              <w:textAlignment w:val="baseline"/>
            </w:pPr>
            <w:r>
              <w:rPr>
                <w:rFonts w:hint="eastAsia"/>
              </w:rPr>
              <w:t>废水处理站污泥</w:t>
            </w:r>
          </w:p>
        </w:tc>
        <w:tc>
          <w:tcPr>
            <w:tcW w:w="600" w:type="pct"/>
            <w:gridSpan w:val="2"/>
            <w:vAlign w:val="center"/>
          </w:tcPr>
          <w:p>
            <w:pPr>
              <w:pStyle w:val="42"/>
              <w:adjustRightInd w:val="0"/>
              <w:textAlignment w:val="baseline"/>
            </w:pPr>
            <w:r>
              <w:rPr>
                <w:rFonts w:hint="eastAsia"/>
              </w:rPr>
              <w:t>污泥</w:t>
            </w:r>
          </w:p>
        </w:tc>
        <w:tc>
          <w:tcPr>
            <w:tcW w:w="1384" w:type="pct"/>
            <w:vAlign w:val="center"/>
          </w:tcPr>
          <w:p>
            <w:pPr>
              <w:pStyle w:val="42"/>
              <w:adjustRightInd w:val="0"/>
              <w:textAlignment w:val="baseline"/>
            </w:pPr>
            <w:r>
              <w:rPr>
                <w:rFonts w:hint="eastAsia"/>
              </w:rPr>
              <w:t>定期清掏，集中收集，交垃圾填埋场统一处理</w:t>
            </w:r>
          </w:p>
        </w:tc>
        <w:tc>
          <w:tcPr>
            <w:tcW w:w="1778" w:type="pct"/>
            <w:vAlign w:val="center"/>
          </w:tcPr>
          <w:p>
            <w:pPr>
              <w:pStyle w:val="42"/>
              <w:adjustRightInd w:val="0"/>
              <w:textAlignment w:val="baseline"/>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四</w:t>
            </w:r>
          </w:p>
        </w:tc>
        <w:tc>
          <w:tcPr>
            <w:tcW w:w="4710" w:type="pct"/>
            <w:gridSpan w:val="7"/>
            <w:vAlign w:val="center"/>
          </w:tcPr>
          <w:p>
            <w:pPr>
              <w:pStyle w:val="42"/>
              <w:adjustRightInd w:val="0"/>
              <w:textAlignment w:val="baseline"/>
            </w:pPr>
            <w:r>
              <w:rPr>
                <w:rFonts w:hint="eastAsia"/>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1</w:t>
            </w:r>
          </w:p>
        </w:tc>
        <w:tc>
          <w:tcPr>
            <w:tcW w:w="448" w:type="pct"/>
            <w:gridSpan w:val="2"/>
            <w:vAlign w:val="center"/>
          </w:tcPr>
          <w:p>
            <w:pPr>
              <w:pStyle w:val="42"/>
              <w:adjustRightInd w:val="0"/>
              <w:textAlignment w:val="baseline"/>
            </w:pPr>
            <w:r>
              <w:rPr>
                <w:rFonts w:hint="eastAsia"/>
              </w:rPr>
              <w:t>各类泵、风机、压缩机组、制冷机组等</w:t>
            </w:r>
          </w:p>
        </w:tc>
        <w:tc>
          <w:tcPr>
            <w:tcW w:w="500" w:type="pct"/>
            <w:vAlign w:val="center"/>
          </w:tcPr>
          <w:p>
            <w:pPr>
              <w:pStyle w:val="42"/>
              <w:adjustRightInd w:val="0"/>
              <w:textAlignment w:val="baseline"/>
            </w:pPr>
            <w:r>
              <w:rPr>
                <w:rFonts w:hint="eastAsia"/>
              </w:rPr>
              <w:t>厂界</w:t>
            </w:r>
          </w:p>
        </w:tc>
        <w:tc>
          <w:tcPr>
            <w:tcW w:w="600" w:type="pct"/>
            <w:gridSpan w:val="2"/>
            <w:vAlign w:val="center"/>
          </w:tcPr>
          <w:p>
            <w:pPr>
              <w:pStyle w:val="42"/>
              <w:adjustRightInd w:val="0"/>
              <w:textAlignment w:val="baseline"/>
            </w:pPr>
            <w:r>
              <w:rPr>
                <w:rFonts w:hint="eastAsia"/>
              </w:rPr>
              <w:t>噪声</w:t>
            </w:r>
          </w:p>
        </w:tc>
        <w:tc>
          <w:tcPr>
            <w:tcW w:w="1384" w:type="pct"/>
            <w:vAlign w:val="center"/>
          </w:tcPr>
          <w:p>
            <w:pPr>
              <w:pStyle w:val="42"/>
              <w:adjustRightInd w:val="0"/>
              <w:textAlignment w:val="baseline"/>
            </w:pPr>
            <w:r>
              <w:t>采取隔声、减振、吸声、消声和绿化等</w:t>
            </w:r>
            <w:r>
              <w:rPr>
                <w:rFonts w:hint="eastAsia"/>
              </w:rPr>
              <w:t>，厂界达标</w:t>
            </w:r>
          </w:p>
        </w:tc>
        <w:tc>
          <w:tcPr>
            <w:tcW w:w="1778" w:type="pct"/>
            <w:vAlign w:val="center"/>
          </w:tcPr>
          <w:p>
            <w:pPr>
              <w:pStyle w:val="42"/>
              <w:adjustRightInd w:val="0"/>
              <w:textAlignment w:val="baseline"/>
            </w:pPr>
            <w:r>
              <w:rPr>
                <w:rFonts w:hint="eastAsia"/>
              </w:rPr>
              <w:t>满足</w:t>
            </w:r>
            <w:r>
              <w:t>《工业企业厂界环境噪声排放标准》（GB</w:t>
            </w:r>
            <w:r>
              <w:rPr>
                <w:rFonts w:hint="eastAsia"/>
              </w:rPr>
              <w:t>12348</w:t>
            </w:r>
            <w:r>
              <w:t>-2008）3类标准</w:t>
            </w:r>
          </w:p>
          <w:p>
            <w:pPr>
              <w:pStyle w:val="42"/>
              <w:adjustRightInd w:val="0"/>
              <w:textAlignment w:val="baseline"/>
            </w:pPr>
            <w:r>
              <w:t>昼间65dB（A），夜间55dB（A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五</w:t>
            </w:r>
          </w:p>
        </w:tc>
        <w:tc>
          <w:tcPr>
            <w:tcW w:w="4710" w:type="pct"/>
            <w:gridSpan w:val="7"/>
            <w:vAlign w:val="center"/>
          </w:tcPr>
          <w:p>
            <w:pPr>
              <w:pStyle w:val="42"/>
              <w:adjustRightInd w:val="0"/>
              <w:textAlignment w:val="baseline"/>
            </w:pPr>
            <w:r>
              <w:rPr>
                <w:rFonts w:hint="eastAsia"/>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pPr>
              <w:pStyle w:val="42"/>
              <w:adjustRightInd w:val="0"/>
              <w:textAlignment w:val="baseline"/>
            </w:pPr>
            <w:r>
              <w:rPr>
                <w:rFonts w:hint="eastAsia"/>
              </w:rPr>
              <w:t>1</w:t>
            </w:r>
          </w:p>
        </w:tc>
        <w:tc>
          <w:tcPr>
            <w:tcW w:w="1548" w:type="pct"/>
            <w:gridSpan w:val="5"/>
            <w:vAlign w:val="center"/>
          </w:tcPr>
          <w:p>
            <w:pPr>
              <w:pStyle w:val="42"/>
              <w:adjustRightInd w:val="0"/>
              <w:textAlignment w:val="baseline"/>
            </w:pPr>
            <w:r>
              <w:rPr>
                <w:rFonts w:hint="eastAsia"/>
              </w:rPr>
              <w:t>装置区、危废暂存间、废水处理站和事故池等</w:t>
            </w:r>
          </w:p>
        </w:tc>
        <w:tc>
          <w:tcPr>
            <w:tcW w:w="1384" w:type="pct"/>
            <w:vAlign w:val="center"/>
          </w:tcPr>
          <w:p>
            <w:pPr>
              <w:pStyle w:val="42"/>
              <w:adjustRightInd w:val="0"/>
              <w:textAlignment w:val="baseline"/>
            </w:pPr>
            <w:r>
              <w:rPr>
                <w:rFonts w:hint="eastAsia"/>
              </w:rPr>
              <w:t>分区防渗、生产废水管道实现可视化，排水管道采用防腐蚀、防渗材料</w:t>
            </w:r>
          </w:p>
        </w:tc>
        <w:tc>
          <w:tcPr>
            <w:tcW w:w="1778" w:type="pct"/>
            <w:vAlign w:val="center"/>
          </w:tcPr>
          <w:p>
            <w:pPr>
              <w:pStyle w:val="42"/>
              <w:adjustRightInd w:val="0"/>
              <w:textAlignment w:val="baseline"/>
            </w:pPr>
            <w:r>
              <w:rPr>
                <w:rFonts w:hint="eastAsia"/>
              </w:rPr>
              <w:t>《石油化工防渗工程技术规范》（GB/T50934-2013）、《危险废物贮存污染控制标准》（GB18597-2001）</w:t>
            </w:r>
          </w:p>
        </w:tc>
      </w:tr>
    </w:tbl>
    <w:p>
      <w:pPr>
        <w:pStyle w:val="41"/>
        <w:sectPr>
          <w:pgSz w:w="16838" w:h="11906" w:orient="landscape"/>
          <w:pgMar w:top="1800" w:right="1440" w:bottom="1800" w:left="1440" w:header="851" w:footer="992" w:gutter="0"/>
          <w:cols w:space="425" w:num="1"/>
          <w:docGrid w:type="lines" w:linePitch="326" w:charSpace="0"/>
        </w:sectPr>
      </w:pPr>
    </w:p>
    <w:p>
      <w:pPr>
        <w:pStyle w:val="2"/>
        <w:spacing w:before="163" w:after="163"/>
      </w:pPr>
      <w:bookmarkStart w:id="215" w:name="_Toc84844375"/>
      <w:bookmarkStart w:id="216" w:name="_Hlk84448292"/>
      <w:r>
        <w:rPr>
          <w:rFonts w:hint="eastAsia"/>
        </w:rPr>
        <w:t>10碳排放评价</w:t>
      </w:r>
      <w:bookmarkEnd w:id="215"/>
    </w:p>
    <w:p>
      <w:pPr>
        <w:pStyle w:val="3"/>
        <w:spacing w:before="163" w:after="163"/>
      </w:pPr>
      <w:bookmarkStart w:id="217" w:name="_Toc84844376"/>
      <w:r>
        <w:rPr>
          <w:rFonts w:hint="eastAsia"/>
        </w:rPr>
        <w:t>10.1管理规定与技术指南、规范</w:t>
      </w:r>
      <w:bookmarkEnd w:id="217"/>
    </w:p>
    <w:p>
      <w:pPr>
        <w:ind w:firstLine="480"/>
      </w:pPr>
      <w:r>
        <w:rPr>
          <w:rFonts w:hint="eastAsia"/>
        </w:rPr>
        <w:t>（1）《国家“十三五”控制温室气体排放工作方案》（国发[2016]61号）；</w:t>
      </w:r>
    </w:p>
    <w:p>
      <w:pPr>
        <w:ind w:firstLine="480"/>
      </w:pPr>
      <w:r>
        <w:rPr>
          <w:rFonts w:hint="eastAsia"/>
        </w:rPr>
        <w:t>（2）《关于切实做好全国碳排放权交易市场启动重点工作的通知》（发改办气候[2016]57号）；</w:t>
      </w:r>
    </w:p>
    <w:p>
      <w:pPr>
        <w:ind w:firstLine="480"/>
      </w:pPr>
      <w:r>
        <w:rPr>
          <w:rFonts w:hint="eastAsia"/>
        </w:rPr>
        <w:t>（3）《关于印发重庆市碳排放权交易管理暂行办法的通知》（渝府发[2014]17号）；</w:t>
      </w:r>
    </w:p>
    <w:p>
      <w:pPr>
        <w:ind w:firstLine="480"/>
      </w:pPr>
      <w:r>
        <w:rPr>
          <w:rFonts w:hint="eastAsia"/>
        </w:rPr>
        <w:t>（4）《关于印发重庆市碳排放配额管理细则（试行）的通知》（渝发改环[2014]538号）；</w:t>
      </w:r>
    </w:p>
    <w:p>
      <w:pPr>
        <w:ind w:firstLine="480"/>
      </w:pPr>
      <w:r>
        <w:rPr>
          <w:rFonts w:hint="eastAsia"/>
        </w:rPr>
        <w:t>（5）《重庆市工业企业碳排放核算报告和核查细则（试行）》（渝发改环[2014]542号）；</w:t>
      </w:r>
    </w:p>
    <w:p>
      <w:pPr>
        <w:ind w:firstLine="480"/>
      </w:pPr>
      <w:r>
        <w:rPr>
          <w:rFonts w:hint="eastAsia"/>
        </w:rPr>
        <w:t>（6）《重庆市“十三五”控制温室气体排放工作方案》（渝府发[2017]10号）；</w:t>
      </w:r>
    </w:p>
    <w:p>
      <w:pPr>
        <w:ind w:firstLine="480"/>
      </w:pPr>
      <w:r>
        <w:rPr>
          <w:rFonts w:hint="eastAsia"/>
        </w:rPr>
        <w:t>（7）《中国化工生产企业温室气体排放核算方法与报告指南（试行）》；</w:t>
      </w:r>
    </w:p>
    <w:p>
      <w:pPr>
        <w:ind w:firstLine="480"/>
      </w:pPr>
      <w:r>
        <w:rPr>
          <w:rFonts w:hint="eastAsia"/>
        </w:rPr>
        <w:t>（8）《重庆市工业企业碳排放核算和报告指南（试行）》（渝发改环[2014]54号；</w:t>
      </w:r>
    </w:p>
    <w:p>
      <w:pPr>
        <w:ind w:firstLine="480"/>
      </w:pPr>
      <w:r>
        <w:rPr>
          <w:rFonts w:hint="eastAsia"/>
        </w:rPr>
        <w:t>（9）《温室气体排放核算与报告要求 第10部分：化工生产企业》（GB/T 32151.10-2015）；</w:t>
      </w:r>
    </w:p>
    <w:p>
      <w:pPr>
        <w:ind w:firstLine="480"/>
      </w:pPr>
      <w:r>
        <w:rPr>
          <w:rFonts w:hint="eastAsia"/>
        </w:rPr>
        <w:t>（10）《合成氨企业温室气体温室气体排放核查技术规范》（RB/T256-2018）；</w:t>
      </w:r>
    </w:p>
    <w:p>
      <w:pPr>
        <w:ind w:firstLine="480"/>
      </w:pPr>
      <w:r>
        <w:rPr>
          <w:rFonts w:hint="eastAsia"/>
        </w:rPr>
        <w:t>（11）《工业企业碳管理指南》（DB50/T 936-2019）；</w:t>
      </w:r>
    </w:p>
    <w:p>
      <w:pPr>
        <w:ind w:firstLine="480"/>
      </w:pPr>
      <w:r>
        <w:rPr>
          <w:rFonts w:hint="eastAsia"/>
        </w:rPr>
        <w:t>（12）《重庆市生态环境局关于印发《重庆市规划环境影响评价技术指南——碳排放评价（试行）》《重庆市建设项目环境影响评价技术指南——碳排放评价（试行）》的通知》（渝环[2021]15号）。</w:t>
      </w:r>
    </w:p>
    <w:p>
      <w:pPr>
        <w:pStyle w:val="3"/>
        <w:spacing w:before="163" w:after="163"/>
      </w:pPr>
      <w:bookmarkStart w:id="218" w:name="_Toc84844377"/>
      <w:r>
        <w:rPr>
          <w:rFonts w:hint="eastAsia"/>
        </w:rPr>
        <w:t>10.2本项目碳排放分析</w:t>
      </w:r>
      <w:bookmarkEnd w:id="218"/>
    </w:p>
    <w:p>
      <w:pPr>
        <w:pStyle w:val="4"/>
        <w:spacing w:before="163" w:after="163"/>
      </w:pPr>
      <w:bookmarkStart w:id="219" w:name="_Toc84844378"/>
      <w:r>
        <w:rPr>
          <w:rFonts w:hint="eastAsia"/>
        </w:rPr>
        <w:t>10.2.1核算边界</w:t>
      </w:r>
      <w:bookmarkEnd w:id="219"/>
    </w:p>
    <w:p>
      <w:pPr>
        <w:ind w:firstLine="480"/>
      </w:pPr>
      <w:r>
        <w:rPr>
          <w:rFonts w:hint="eastAsia"/>
        </w:rPr>
        <w:t>以企业法人独立核算单位为边界，核算生产系统产生的温室气体排放。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车间浴室、保健站等）。企业厂界内生活能耗导致的排放原则上不在核算范围内。</w:t>
      </w:r>
    </w:p>
    <w:p>
      <w:pPr>
        <w:ind w:firstLine="480"/>
      </w:pPr>
      <w:r>
        <w:rPr>
          <w:rFonts w:hint="eastAsia"/>
        </w:rPr>
        <w:t>本项目边界作为一个核算单元。</w:t>
      </w:r>
    </w:p>
    <w:p>
      <w:pPr>
        <w:pStyle w:val="4"/>
        <w:spacing w:before="163" w:after="163"/>
      </w:pPr>
      <w:bookmarkStart w:id="220" w:name="_Toc84844379"/>
      <w:r>
        <w:rPr>
          <w:rFonts w:hint="eastAsia"/>
        </w:rPr>
        <w:t>10.2.2碳排放源</w:t>
      </w:r>
      <w:bookmarkEnd w:id="220"/>
    </w:p>
    <w:p>
      <w:pPr>
        <w:ind w:firstLine="480"/>
      </w:pPr>
      <w:r>
        <w:rPr>
          <w:rFonts w:hint="eastAsia"/>
        </w:rPr>
        <w:t>（1）碳排放源识别</w:t>
      </w:r>
    </w:p>
    <w:p>
      <w:pPr>
        <w:ind w:firstLine="480"/>
      </w:pPr>
      <w:r>
        <w:rPr>
          <w:rFonts w:hint="eastAsia"/>
        </w:rPr>
        <w:t>根据《重庆市生态环境局关于印发《重庆市规划环境影响评价技术指南——碳排放评价（试行）》《重庆市建设项目环境影响评价技术指南——碳排放评价（试行）》的通知》（渝环[2021]15号）、《合成氨企业温室气体温室气体排放核查技术规范》（RB/T256-2018），结合企业实际情况，从能源活动排放、净调入电力和热力排放、工业生产过程排放、二氧化碳回收利用量、输出的电力、热力产生的排放等方面分析识别碳排放的主要排放源、主要产生环节和主要类别。具体内容见表10.2-1。</w:t>
      </w:r>
    </w:p>
    <w:p>
      <w:pPr>
        <w:pStyle w:val="41"/>
      </w:pPr>
      <w:r>
        <w:rPr>
          <w:rFonts w:hint="eastAsia"/>
        </w:rPr>
        <w:t>表10.2-1 碳排放源识别表</w:t>
      </w:r>
    </w:p>
    <w:tbl>
      <w:tblPr>
        <w:tblStyle w:val="33"/>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134"/>
        <w:gridCol w:w="2903"/>
        <w:gridCol w:w="578"/>
        <w:gridCol w:w="578"/>
        <w:gridCol w:w="590"/>
        <w:gridCol w:w="707"/>
        <w:gridCol w:w="672"/>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2" w:type="dxa"/>
            <w:gridSpan w:val="2"/>
            <w:vMerge w:val="restart"/>
            <w:vAlign w:val="center"/>
          </w:tcPr>
          <w:p>
            <w:pPr>
              <w:pStyle w:val="42"/>
            </w:pPr>
            <w:r>
              <w:rPr>
                <w:rFonts w:hint="eastAsia"/>
              </w:rPr>
              <w:t>排放类型</w:t>
            </w:r>
          </w:p>
        </w:tc>
        <w:tc>
          <w:tcPr>
            <w:tcW w:w="2903" w:type="dxa"/>
            <w:vMerge w:val="restart"/>
            <w:vAlign w:val="center"/>
          </w:tcPr>
          <w:p>
            <w:pPr>
              <w:pStyle w:val="42"/>
            </w:pPr>
            <w:r>
              <w:rPr>
                <w:rFonts w:hint="eastAsia"/>
              </w:rPr>
              <w:t>生产设备</w:t>
            </w:r>
          </w:p>
        </w:tc>
        <w:tc>
          <w:tcPr>
            <w:tcW w:w="0" w:type="auto"/>
            <w:gridSpan w:val="6"/>
            <w:vAlign w:val="center"/>
          </w:tcPr>
          <w:p>
            <w:pPr>
              <w:pStyle w:val="42"/>
            </w:pPr>
            <w:r>
              <w:rPr>
                <w:rFonts w:hint="eastAsia"/>
              </w:rPr>
              <w:t>温室气体种类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2" w:type="dxa"/>
            <w:gridSpan w:val="2"/>
            <w:vMerge w:val="continue"/>
            <w:vAlign w:val="center"/>
          </w:tcPr>
          <w:p>
            <w:pPr>
              <w:pStyle w:val="42"/>
            </w:pPr>
          </w:p>
        </w:tc>
        <w:tc>
          <w:tcPr>
            <w:tcW w:w="2903" w:type="dxa"/>
            <w:vMerge w:val="continue"/>
            <w:vAlign w:val="center"/>
          </w:tcPr>
          <w:p>
            <w:pPr>
              <w:pStyle w:val="42"/>
            </w:pPr>
          </w:p>
        </w:tc>
        <w:tc>
          <w:tcPr>
            <w:tcW w:w="0" w:type="auto"/>
            <w:vAlign w:val="center"/>
          </w:tcPr>
          <w:p>
            <w:pPr>
              <w:pStyle w:val="42"/>
            </w:pPr>
            <w:r>
              <w:rPr>
                <w:rFonts w:hint="eastAsia"/>
              </w:rPr>
              <w:t>CO</w:t>
            </w:r>
            <w:r>
              <w:rPr>
                <w:rFonts w:hint="eastAsia"/>
                <w:vertAlign w:val="subscript"/>
              </w:rPr>
              <w:t>2</w:t>
            </w:r>
          </w:p>
        </w:tc>
        <w:tc>
          <w:tcPr>
            <w:tcW w:w="0" w:type="auto"/>
            <w:vAlign w:val="center"/>
          </w:tcPr>
          <w:p>
            <w:pPr>
              <w:pStyle w:val="42"/>
            </w:pPr>
            <w:r>
              <w:rPr>
                <w:rFonts w:hint="eastAsia"/>
              </w:rPr>
              <w:t>CH</w:t>
            </w:r>
            <w:r>
              <w:rPr>
                <w:rFonts w:hint="eastAsia"/>
                <w:vertAlign w:val="subscript"/>
              </w:rPr>
              <w:t>4</w:t>
            </w:r>
          </w:p>
        </w:tc>
        <w:tc>
          <w:tcPr>
            <w:tcW w:w="0" w:type="auto"/>
            <w:vAlign w:val="center"/>
          </w:tcPr>
          <w:p>
            <w:pPr>
              <w:pStyle w:val="42"/>
            </w:pPr>
            <w:r>
              <w:rPr>
                <w:rFonts w:hint="eastAsia"/>
              </w:rPr>
              <w:t>N</w:t>
            </w:r>
            <w:r>
              <w:rPr>
                <w:rFonts w:hint="eastAsia"/>
                <w:vertAlign w:val="subscript"/>
              </w:rPr>
              <w:t>2</w:t>
            </w:r>
            <w:r>
              <w:rPr>
                <w:rFonts w:hint="eastAsia"/>
              </w:rPr>
              <w:t>O</w:t>
            </w:r>
          </w:p>
        </w:tc>
        <w:tc>
          <w:tcPr>
            <w:tcW w:w="0" w:type="auto"/>
            <w:vAlign w:val="center"/>
          </w:tcPr>
          <w:p>
            <w:pPr>
              <w:pStyle w:val="42"/>
            </w:pPr>
            <w:r>
              <w:rPr>
                <w:rFonts w:hint="eastAsia"/>
              </w:rPr>
              <w:t>HFCs</w:t>
            </w:r>
          </w:p>
        </w:tc>
        <w:tc>
          <w:tcPr>
            <w:tcW w:w="0" w:type="auto"/>
            <w:vAlign w:val="center"/>
          </w:tcPr>
          <w:p>
            <w:pPr>
              <w:pStyle w:val="42"/>
            </w:pPr>
            <w:r>
              <w:rPr>
                <w:rFonts w:hint="eastAsia"/>
              </w:rPr>
              <w:t>PFCs</w:t>
            </w:r>
          </w:p>
        </w:tc>
        <w:tc>
          <w:tcPr>
            <w:tcW w:w="0" w:type="auto"/>
            <w:vAlign w:val="center"/>
          </w:tcPr>
          <w:p>
            <w:pPr>
              <w:pStyle w:val="42"/>
            </w:pPr>
            <w:r>
              <w:rPr>
                <w:rFonts w:hint="eastAsia"/>
              </w:rPr>
              <w:t>SF</w:t>
            </w:r>
            <w:r>
              <w:rPr>
                <w:rFonts w:hint="eastAsia"/>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Merge w:val="restart"/>
            <w:vAlign w:val="center"/>
          </w:tcPr>
          <w:p>
            <w:pPr>
              <w:pStyle w:val="42"/>
            </w:pPr>
            <w:r>
              <w:rPr>
                <w:rFonts w:hint="eastAsia"/>
              </w:rPr>
              <w:t>直接排放</w:t>
            </w:r>
          </w:p>
        </w:tc>
        <w:tc>
          <w:tcPr>
            <w:tcW w:w="1134" w:type="dxa"/>
            <w:vAlign w:val="center"/>
          </w:tcPr>
          <w:p>
            <w:pPr>
              <w:pStyle w:val="42"/>
            </w:pPr>
            <w:r>
              <w:rPr>
                <w:rFonts w:hint="eastAsia"/>
              </w:rPr>
              <w:t>燃料燃烧</w:t>
            </w:r>
          </w:p>
        </w:tc>
        <w:tc>
          <w:tcPr>
            <w:tcW w:w="2903" w:type="dxa"/>
            <w:vAlign w:val="center"/>
          </w:tcPr>
          <w:p>
            <w:pPr>
              <w:pStyle w:val="42"/>
            </w:pPr>
            <w:r>
              <w:rPr>
                <w:rFonts w:hint="eastAsia"/>
              </w:rPr>
              <w:t>一段转化炉</w:t>
            </w:r>
          </w:p>
        </w:tc>
        <w:tc>
          <w:tcPr>
            <w:tcW w:w="0" w:type="auto"/>
            <w:vAlign w:val="center"/>
          </w:tcPr>
          <w:p>
            <w:pPr>
              <w:pStyle w:val="42"/>
            </w:pPr>
            <w:r>
              <w:rPr>
                <w:rFonts w:eastAsia="方正仿宋_GBK"/>
                <w:sz w:val="24"/>
              </w:rPr>
              <w:t>√</w:t>
            </w:r>
          </w:p>
        </w:tc>
        <w:tc>
          <w:tcPr>
            <w:tcW w:w="0" w:type="auto"/>
            <w:vAlign w:val="center"/>
          </w:tcPr>
          <w:p>
            <w:pPr>
              <w:pStyle w:val="42"/>
            </w:pPr>
            <w:r>
              <w:rPr>
                <w:rFonts w:eastAsia="方正仿宋_GBK"/>
                <w:sz w:val="24"/>
              </w:rPr>
              <w:t>*</w:t>
            </w:r>
          </w:p>
        </w:tc>
        <w:tc>
          <w:tcPr>
            <w:tcW w:w="0" w:type="auto"/>
            <w:vAlign w:val="center"/>
          </w:tcPr>
          <w:p>
            <w:pPr>
              <w:pStyle w:val="42"/>
            </w:pPr>
            <w:r>
              <w:rPr>
                <w:rFonts w:eastAsia="方正仿宋_GBK"/>
                <w:sz w:val="24"/>
              </w:rPr>
              <w:t>*</w:t>
            </w:r>
          </w:p>
        </w:tc>
        <w:tc>
          <w:tcPr>
            <w:tcW w:w="0" w:type="auto"/>
            <w:vAlign w:val="center"/>
          </w:tcPr>
          <w:p>
            <w:pPr>
              <w:pStyle w:val="42"/>
            </w:pPr>
          </w:p>
        </w:tc>
        <w:tc>
          <w:tcPr>
            <w:tcW w:w="0" w:type="auto"/>
            <w:vAlign w:val="center"/>
          </w:tcPr>
          <w:p>
            <w:pPr>
              <w:pStyle w:val="42"/>
            </w:pPr>
          </w:p>
        </w:tc>
        <w:tc>
          <w:tcPr>
            <w:tcW w:w="0" w:type="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Merge w:val="continue"/>
            <w:vAlign w:val="center"/>
          </w:tcPr>
          <w:p>
            <w:pPr>
              <w:pStyle w:val="42"/>
            </w:pPr>
          </w:p>
        </w:tc>
        <w:tc>
          <w:tcPr>
            <w:tcW w:w="1134" w:type="dxa"/>
            <w:vAlign w:val="center"/>
          </w:tcPr>
          <w:p>
            <w:pPr>
              <w:pStyle w:val="42"/>
            </w:pPr>
            <w:r>
              <w:rPr>
                <w:rFonts w:hint="eastAsia"/>
              </w:rPr>
              <w:t>工业过程排放</w:t>
            </w:r>
          </w:p>
        </w:tc>
        <w:tc>
          <w:tcPr>
            <w:tcW w:w="2903" w:type="dxa"/>
            <w:vAlign w:val="center"/>
          </w:tcPr>
          <w:p>
            <w:pPr>
              <w:pStyle w:val="42"/>
            </w:pPr>
            <w:r>
              <w:rPr>
                <w:rFonts w:hint="eastAsia"/>
              </w:rPr>
              <w:t>一段转化炉、高温变换炉、催化反应器</w:t>
            </w:r>
          </w:p>
        </w:tc>
        <w:tc>
          <w:tcPr>
            <w:tcW w:w="0" w:type="auto"/>
            <w:vAlign w:val="center"/>
          </w:tcPr>
          <w:p>
            <w:pPr>
              <w:pStyle w:val="42"/>
            </w:pPr>
            <w:r>
              <w:rPr>
                <w:rFonts w:eastAsia="方正仿宋_GBK"/>
                <w:sz w:val="24"/>
              </w:rPr>
              <w:t>√</w:t>
            </w:r>
          </w:p>
        </w:tc>
        <w:tc>
          <w:tcPr>
            <w:tcW w:w="0" w:type="auto"/>
            <w:vAlign w:val="center"/>
          </w:tcPr>
          <w:p>
            <w:pPr>
              <w:pStyle w:val="42"/>
            </w:pPr>
            <w:r>
              <w:rPr>
                <w:rFonts w:eastAsia="方正仿宋_GBK"/>
                <w:sz w:val="24"/>
              </w:rPr>
              <w:t>*</w:t>
            </w:r>
          </w:p>
        </w:tc>
        <w:tc>
          <w:tcPr>
            <w:tcW w:w="0" w:type="auto"/>
            <w:vAlign w:val="center"/>
          </w:tcPr>
          <w:p>
            <w:pPr>
              <w:pStyle w:val="42"/>
            </w:pPr>
          </w:p>
        </w:tc>
        <w:tc>
          <w:tcPr>
            <w:tcW w:w="0" w:type="auto"/>
            <w:vAlign w:val="center"/>
          </w:tcPr>
          <w:p>
            <w:pPr>
              <w:pStyle w:val="42"/>
            </w:pPr>
          </w:p>
        </w:tc>
        <w:tc>
          <w:tcPr>
            <w:tcW w:w="0" w:type="auto"/>
            <w:vAlign w:val="center"/>
          </w:tcPr>
          <w:p>
            <w:pPr>
              <w:pStyle w:val="42"/>
            </w:pPr>
          </w:p>
        </w:tc>
        <w:tc>
          <w:tcPr>
            <w:tcW w:w="0" w:type="auto"/>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pStyle w:val="42"/>
            </w:pPr>
            <w:r>
              <w:rPr>
                <w:rFonts w:hint="eastAsia"/>
              </w:rPr>
              <w:t>间接排放</w:t>
            </w:r>
          </w:p>
        </w:tc>
        <w:tc>
          <w:tcPr>
            <w:tcW w:w="1134" w:type="dxa"/>
            <w:vAlign w:val="center"/>
          </w:tcPr>
          <w:p>
            <w:pPr>
              <w:pStyle w:val="42"/>
            </w:pPr>
            <w:r>
              <w:rPr>
                <w:rFonts w:hint="eastAsia"/>
              </w:rPr>
              <w:t>净调入电力和热力</w:t>
            </w:r>
          </w:p>
        </w:tc>
        <w:tc>
          <w:tcPr>
            <w:tcW w:w="2903" w:type="dxa"/>
            <w:vAlign w:val="center"/>
          </w:tcPr>
          <w:p>
            <w:pPr>
              <w:pStyle w:val="42"/>
            </w:pPr>
            <w:r>
              <w:rPr>
                <w:rFonts w:hint="eastAsia"/>
              </w:rPr>
              <w:t>催化反应器、提纯塔等生产设备、废水处理站、中央控制室、循环水系统、纯化水系统和空压系统等辅助设备</w:t>
            </w:r>
          </w:p>
        </w:tc>
        <w:tc>
          <w:tcPr>
            <w:tcW w:w="0" w:type="auto"/>
            <w:vAlign w:val="center"/>
          </w:tcPr>
          <w:p>
            <w:pPr>
              <w:pStyle w:val="42"/>
            </w:pPr>
            <w:r>
              <w:rPr>
                <w:rFonts w:eastAsia="方正仿宋_GBK"/>
                <w:sz w:val="24"/>
              </w:rPr>
              <w:t>√</w:t>
            </w:r>
          </w:p>
        </w:tc>
        <w:tc>
          <w:tcPr>
            <w:tcW w:w="0" w:type="auto"/>
            <w:vAlign w:val="center"/>
          </w:tcPr>
          <w:p>
            <w:pPr>
              <w:pStyle w:val="42"/>
            </w:pPr>
          </w:p>
        </w:tc>
        <w:tc>
          <w:tcPr>
            <w:tcW w:w="0" w:type="auto"/>
            <w:vAlign w:val="center"/>
          </w:tcPr>
          <w:p>
            <w:pPr>
              <w:pStyle w:val="42"/>
            </w:pPr>
          </w:p>
        </w:tc>
        <w:tc>
          <w:tcPr>
            <w:tcW w:w="0" w:type="auto"/>
            <w:vAlign w:val="center"/>
          </w:tcPr>
          <w:p>
            <w:pPr>
              <w:pStyle w:val="42"/>
            </w:pPr>
          </w:p>
        </w:tc>
        <w:tc>
          <w:tcPr>
            <w:tcW w:w="0" w:type="auto"/>
            <w:vAlign w:val="center"/>
          </w:tcPr>
          <w:p>
            <w:pPr>
              <w:pStyle w:val="42"/>
            </w:pPr>
          </w:p>
        </w:tc>
        <w:tc>
          <w:tcPr>
            <w:tcW w:w="0" w:type="auto"/>
            <w:vAlign w:val="center"/>
          </w:tcPr>
          <w:p>
            <w:pPr>
              <w:pStyle w:val="42"/>
            </w:pPr>
          </w:p>
        </w:tc>
      </w:tr>
    </w:tbl>
    <w:p>
      <w:pPr>
        <w:ind w:firstLine="480"/>
      </w:pPr>
      <w:r>
        <w:rPr>
          <w:rFonts w:hint="eastAsia"/>
        </w:rPr>
        <w:t>（2）主要排放源为</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燃料燃烧排放</w:t>
      </w:r>
    </w:p>
    <w:p>
      <w:pPr>
        <w:ind w:firstLine="480"/>
      </w:pPr>
      <w:r>
        <w:rPr>
          <w:rFonts w:hint="eastAsia"/>
        </w:rPr>
        <w:t>拟建项目正常运营情况下燃料燃烧排放主要为一段转化炉燃烧天然气、氨洗塔尾气、解析气等产生的CO</w:t>
      </w:r>
      <w:r>
        <w:rPr>
          <w:rFonts w:hint="eastAsia"/>
          <w:vertAlign w:val="subscript"/>
        </w:rPr>
        <w:t>2</w:t>
      </w:r>
      <w:r>
        <w:rPr>
          <w:rFonts w:hint="eastAsia"/>
        </w:rPr>
        <w:t>。</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生产工艺过程排放</w:t>
      </w:r>
    </w:p>
    <w:p>
      <w:pPr>
        <w:ind w:firstLine="480"/>
      </w:pPr>
      <w:r>
        <w:rPr>
          <w:rFonts w:hint="eastAsia"/>
        </w:rPr>
        <w:t>拟建项目过程排放主要为运行过程中制气工段（一段蒸汽转化和CO高温变换）产生CO</w:t>
      </w:r>
      <w:r>
        <w:rPr>
          <w:rFonts w:hint="eastAsia"/>
          <w:vertAlign w:val="subscript"/>
        </w:rPr>
        <w:t>2</w:t>
      </w:r>
      <w:r>
        <w:rPr>
          <w:rFonts w:hint="eastAsia"/>
        </w:rPr>
        <w:t>，一段蒸汽转化：醇类和烃类物质转化为CO、CO2；CO高温变换：CO与水蒸汽反应生成CO</w:t>
      </w:r>
      <w:r>
        <w:rPr>
          <w:rFonts w:hint="eastAsia"/>
          <w:vertAlign w:val="subscript"/>
        </w:rPr>
        <w:t>2</w:t>
      </w:r>
      <w:r>
        <w:rPr>
          <w:rFonts w:hint="eastAsia"/>
        </w:rPr>
        <w:t>和H</w:t>
      </w:r>
      <w:r>
        <w:rPr>
          <w:rFonts w:hint="eastAsia"/>
          <w:vertAlign w:val="subscript"/>
        </w:rPr>
        <w:t>2</w:t>
      </w:r>
      <w:r>
        <w:rPr>
          <w:rFonts w:hint="eastAsia"/>
        </w:rPr>
        <w:t>。</w:t>
      </w:r>
    </w:p>
    <w:p>
      <w:pPr>
        <w:ind w:firstLine="480"/>
      </w:pPr>
      <w:r>
        <w:rPr>
          <w:rFonts w:hint="eastAsia"/>
        </w:rPr>
        <w:t>其次，CO</w:t>
      </w:r>
      <w:r>
        <w:rPr>
          <w:rFonts w:hint="eastAsia"/>
          <w:vertAlign w:val="subscript"/>
        </w:rPr>
        <w:t>2</w:t>
      </w:r>
      <w:r>
        <w:rPr>
          <w:rFonts w:hint="eastAsia"/>
        </w:rPr>
        <w:t>回收单元催化氧化脱烃工序，原料气中的烃类（非甲烷总烃）、醇类物质与氧气发生反应产生微量CO</w:t>
      </w:r>
      <w:r>
        <w:rPr>
          <w:rFonts w:hint="eastAsia"/>
          <w:vertAlign w:val="subscript"/>
        </w:rPr>
        <w:t>2</w:t>
      </w:r>
      <w:r>
        <w:rPr>
          <w:rFonts w:hint="eastAsia"/>
        </w:rPr>
        <w:t>和H</w:t>
      </w:r>
      <w:r>
        <w:rPr>
          <w:rFonts w:hint="eastAsia"/>
          <w:vertAlign w:val="subscript"/>
        </w:rPr>
        <w:t>2</w:t>
      </w:r>
      <w:r>
        <w:rPr>
          <w:rFonts w:hint="eastAsia"/>
        </w:rPr>
        <w:t>O。</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购入的电力和热力产生的排放</w:t>
      </w:r>
    </w:p>
    <w:p>
      <w:pPr>
        <w:ind w:firstLine="480"/>
      </w:pPr>
      <w:r>
        <w:rPr>
          <w:rFonts w:hint="eastAsia"/>
        </w:rPr>
        <w:t>企业购入的电力、热力所对应的电力、热力生产环节所产生的CO</w:t>
      </w:r>
      <w:r>
        <w:rPr>
          <w:rFonts w:hint="eastAsia"/>
          <w:vertAlign w:val="subscript"/>
        </w:rPr>
        <w:t>2</w:t>
      </w:r>
      <w:r>
        <w:rPr>
          <w:rFonts w:hint="eastAsia"/>
        </w:rPr>
        <w:t>。</w:t>
      </w:r>
    </w:p>
    <w:p>
      <w:pPr>
        <w:ind w:firstLine="480"/>
      </w:pPr>
      <w:r>
        <w:rPr>
          <w:rFonts w:hint="eastAsia"/>
        </w:rPr>
        <w:t>拟建项目设置热交换器产生蒸汽，正常运营情况下能实现厂区内蒸汽平衡，不涉及热力购买，因此主要为购入电力生产环节所产生的CO</w:t>
      </w:r>
      <w:r>
        <w:rPr>
          <w:rFonts w:hint="eastAsia"/>
          <w:vertAlign w:val="subscript"/>
        </w:rPr>
        <w:t>2</w:t>
      </w:r>
      <w:r>
        <w:rPr>
          <w:rFonts w:hint="eastAsia"/>
        </w:rPr>
        <w:t>。</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rPr>
          <w:rFonts w:hint="eastAsia"/>
        </w:rPr>
        <w:t>输出的的电力和热力产生的排放</w:t>
      </w:r>
    </w:p>
    <w:p>
      <w:pPr>
        <w:ind w:firstLine="480"/>
      </w:pPr>
      <w:r>
        <w:rPr>
          <w:rFonts w:hint="eastAsia"/>
        </w:rPr>
        <w:t>拟建项目不涉及电力和热力的输出。</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5</w:instrText>
      </w:r>
      <w:r>
        <w:rPr>
          <w:rFonts w:hint="eastAsia"/>
        </w:rPr>
        <w:instrText xml:space="preserve">)</w:instrText>
      </w:r>
      <w:r>
        <w:fldChar w:fldCharType="end"/>
      </w:r>
      <w:r>
        <w:rPr>
          <w:rFonts w:hint="eastAsia"/>
        </w:rPr>
        <w:t>二氧化碳回收利用量</w:t>
      </w:r>
    </w:p>
    <w:p>
      <w:pPr>
        <w:ind w:firstLine="480"/>
      </w:pPr>
      <w:r>
        <w:rPr>
          <w:rFonts w:hint="eastAsia"/>
        </w:rPr>
        <w:t>拟建项目配套设置CO</w:t>
      </w:r>
      <w:r>
        <w:rPr>
          <w:rFonts w:hint="eastAsia"/>
          <w:vertAlign w:val="subscript"/>
        </w:rPr>
        <w:t>2</w:t>
      </w:r>
      <w:r>
        <w:rPr>
          <w:rFonts w:hint="eastAsia"/>
        </w:rPr>
        <w:t>回收装置，运行过程中产生的CO</w:t>
      </w:r>
      <w:r>
        <w:rPr>
          <w:rFonts w:hint="eastAsia"/>
          <w:vertAlign w:val="subscript"/>
        </w:rPr>
        <w:t>2</w:t>
      </w:r>
      <w:r>
        <w:rPr>
          <w:rFonts w:hint="eastAsia"/>
        </w:rPr>
        <w:t>回收生产食品级液态CO</w:t>
      </w:r>
      <w:r>
        <w:rPr>
          <w:rFonts w:hint="eastAsia"/>
          <w:vertAlign w:val="subscript"/>
        </w:rPr>
        <w:t>2</w:t>
      </w:r>
      <w:r>
        <w:rPr>
          <w:rFonts w:hint="eastAsia"/>
        </w:rPr>
        <w:t>、干冰和工业级液态CO</w:t>
      </w:r>
      <w:r>
        <w:rPr>
          <w:rFonts w:hint="eastAsia"/>
          <w:vertAlign w:val="subscript"/>
        </w:rPr>
        <w:t>2</w:t>
      </w:r>
      <w:r>
        <w:rPr>
          <w:rFonts w:hint="eastAsia"/>
        </w:rPr>
        <w:t>，作为副产品外售。</w:t>
      </w:r>
    </w:p>
    <w:p>
      <w:pPr>
        <w:pStyle w:val="4"/>
        <w:spacing w:before="163" w:after="163"/>
      </w:pPr>
      <w:bookmarkStart w:id="221" w:name="_Toc84844380"/>
      <w:r>
        <w:rPr>
          <w:rFonts w:hint="eastAsia"/>
        </w:rPr>
        <w:t>10.2.3碳排放核算</w:t>
      </w:r>
      <w:bookmarkEnd w:id="221"/>
    </w:p>
    <w:p>
      <w:pPr>
        <w:ind w:firstLine="480"/>
      </w:pPr>
      <w:r>
        <w:rPr>
          <w:rFonts w:hint="eastAsia"/>
        </w:rPr>
        <w:t>根据《重庆市建设项目环境影响评价技术指南—碳排放评价（试行）》（渝环〔2021〕15号）附录F 碳排放计算工作流程及方法进行计算，具体如下：</w:t>
      </w:r>
    </w:p>
    <w:p>
      <w:pPr>
        <w:ind w:firstLine="480"/>
      </w:pPr>
      <w:r>
        <w:rPr>
          <w:rFonts w:hint="eastAsia"/>
        </w:rPr>
        <w:t>（1）燃料燃烧排放：本项目一段转化炉以天然气和解析气为燃料。</w:t>
      </w:r>
    </w:p>
    <w:p>
      <w:pPr>
        <w:ind w:firstLine="480"/>
      </w:pPr>
      <w:r>
        <w:fldChar w:fldCharType="begin"/>
      </w:r>
      <w:r>
        <w:instrText xml:space="preserve"> </w:instrText>
      </w:r>
      <w:r>
        <w:rPr>
          <w:rFonts w:hint="eastAsia"/>
        </w:rPr>
        <w:instrText xml:space="preserve">eq \o\ac(○,1)</w:instrText>
      </w:r>
      <w:r>
        <w:fldChar w:fldCharType="end"/>
      </w:r>
      <w:r>
        <w:rPr>
          <w:rFonts w:hint="eastAsia"/>
        </w:rPr>
        <w:t>建设项目用于电力生产之外的其他工业生产的燃料燃烧产生的排放量（AE工燃）计算方法如下：</w:t>
      </w:r>
    </w:p>
    <w:p>
      <w:pPr>
        <w:ind w:firstLine="480"/>
      </w:pPr>
      <w:r>
        <w:rPr>
          <w:rFonts w:hint="eastAsia"/>
        </w:rPr>
        <w:t>AE</w:t>
      </w:r>
      <w:r>
        <w:rPr>
          <w:rFonts w:hint="eastAsia"/>
          <w:vertAlign w:val="subscript"/>
        </w:rPr>
        <w:t>工燃</w:t>
      </w:r>
      <w:r>
        <w:rPr>
          <w:rFonts w:hint="eastAsia"/>
        </w:rPr>
        <w:t>=∑（AD</w:t>
      </w:r>
      <w:r>
        <w:rPr>
          <w:rFonts w:hint="eastAsia"/>
          <w:vertAlign w:val="subscript"/>
        </w:rPr>
        <w:t>i燃料</w:t>
      </w:r>
      <w:r>
        <w:rPr>
          <w:rFonts w:hint="eastAsia"/>
        </w:rPr>
        <w:t>×EF</w:t>
      </w:r>
      <w:r>
        <w:rPr>
          <w:rFonts w:hint="eastAsia"/>
          <w:vertAlign w:val="subscript"/>
        </w:rPr>
        <w:t>i燃料</w:t>
      </w:r>
      <w:r>
        <w:rPr>
          <w:rFonts w:hint="eastAsia"/>
        </w:rPr>
        <w:t>）</w:t>
      </w:r>
    </w:p>
    <w:p>
      <w:pPr>
        <w:ind w:firstLine="480"/>
      </w:pPr>
      <w:r>
        <w:rPr>
          <w:rFonts w:hint="eastAsia"/>
        </w:rPr>
        <w:t>式中：</w:t>
      </w:r>
    </w:p>
    <w:p>
      <w:pPr>
        <w:ind w:firstLine="960" w:firstLineChars="400"/>
      </w:pPr>
      <w:r>
        <w:rPr>
          <w:rFonts w:hint="eastAsia"/>
        </w:rPr>
        <w:t>AE</w:t>
      </w:r>
      <w:r>
        <w:rPr>
          <w:rFonts w:hint="eastAsia"/>
          <w:vertAlign w:val="subscript"/>
        </w:rPr>
        <w:t>工燃</w:t>
      </w:r>
      <w:r>
        <w:rPr>
          <w:rFonts w:hint="eastAsia"/>
        </w:rPr>
        <w:t>—工业生产燃料燃烧排放量（tCO</w:t>
      </w:r>
      <w:r>
        <w:rPr>
          <w:rFonts w:hint="eastAsia"/>
          <w:vertAlign w:val="subscript"/>
        </w:rPr>
        <w:t>2</w:t>
      </w:r>
      <w:r>
        <w:rPr>
          <w:rFonts w:hint="eastAsia"/>
        </w:rPr>
        <w:t>e）</w:t>
      </w:r>
    </w:p>
    <w:p>
      <w:pPr>
        <w:ind w:firstLine="960" w:firstLineChars="400"/>
      </w:pPr>
      <w:r>
        <w:rPr>
          <w:rFonts w:hint="eastAsia"/>
        </w:rPr>
        <w:t>i—燃料种类；</w:t>
      </w:r>
    </w:p>
    <w:p>
      <w:pPr>
        <w:ind w:firstLine="960" w:firstLineChars="400"/>
      </w:pPr>
      <w:r>
        <w:rPr>
          <w:rFonts w:hint="eastAsia"/>
        </w:rPr>
        <w:t>AD</w:t>
      </w:r>
      <w:r>
        <w:rPr>
          <w:rFonts w:hint="eastAsia"/>
          <w:vertAlign w:val="subscript"/>
        </w:rPr>
        <w:t>i燃料</w:t>
      </w:r>
      <w:r>
        <w:rPr>
          <w:rFonts w:hint="eastAsia"/>
        </w:rPr>
        <w:t>—i燃料燃烧消耗量（t或kNm</w:t>
      </w:r>
      <w:r>
        <w:rPr>
          <w:rFonts w:hint="eastAsia"/>
          <w:vertAlign w:val="superscript"/>
        </w:rPr>
        <w:t>3</w:t>
      </w:r>
      <w:r>
        <w:rPr>
          <w:rFonts w:hint="eastAsia"/>
        </w:rPr>
        <w:t>）；</w:t>
      </w:r>
    </w:p>
    <w:p>
      <w:pPr>
        <w:ind w:firstLine="960" w:firstLineChars="400"/>
      </w:pPr>
      <w:r>
        <w:rPr>
          <w:rFonts w:hint="eastAsia"/>
        </w:rPr>
        <w:t>EF</w:t>
      </w:r>
      <w:r>
        <w:rPr>
          <w:rFonts w:hint="eastAsia"/>
          <w:vertAlign w:val="subscript"/>
        </w:rPr>
        <w:t>i燃料</w:t>
      </w:r>
      <w:r>
        <w:rPr>
          <w:rFonts w:hint="eastAsia"/>
        </w:rPr>
        <w:t>—i燃料燃烧二氧化碳排放因子（tCO</w:t>
      </w:r>
      <w:r>
        <w:rPr>
          <w:rFonts w:hint="eastAsia"/>
          <w:vertAlign w:val="subscript"/>
        </w:rPr>
        <w:t>2</w:t>
      </w:r>
      <w:r>
        <w:rPr>
          <w:rFonts w:hint="eastAsia"/>
        </w:rPr>
        <w:t>e/kg或tCO</w:t>
      </w:r>
      <w:r>
        <w:rPr>
          <w:rFonts w:hint="eastAsia"/>
          <w:vertAlign w:val="subscript"/>
        </w:rPr>
        <w:t>2</w:t>
      </w:r>
      <w:r>
        <w:rPr>
          <w:rFonts w:hint="eastAsia"/>
        </w:rPr>
        <w:t>e/kNm</w:t>
      </w:r>
      <w:r>
        <w:rPr>
          <w:rFonts w:hint="eastAsia"/>
          <w:vertAlign w:val="superscript"/>
        </w:rPr>
        <w:t>3</w:t>
      </w:r>
      <w:r>
        <w:rPr>
          <w:rFonts w:hint="eastAsia"/>
        </w:rPr>
        <w:t>），按照表F.1选取。</w:t>
      </w:r>
    </w:p>
    <w:p>
      <w:pPr>
        <w:ind w:firstLine="480"/>
      </w:pPr>
      <w:r>
        <w:rPr>
          <w:rFonts w:hint="eastAsia"/>
        </w:rPr>
        <w:t>根据表F.1，天然气排放因子值2.160 tCO</w:t>
      </w:r>
      <w:r>
        <w:rPr>
          <w:rFonts w:hint="eastAsia"/>
          <w:vertAlign w:val="subscript"/>
        </w:rPr>
        <w:t>2</w:t>
      </w:r>
      <w:r>
        <w:rPr>
          <w:rFonts w:hint="eastAsia"/>
        </w:rPr>
        <w:t>e/kNm</w:t>
      </w:r>
      <w:r>
        <w:rPr>
          <w:rFonts w:hint="eastAsia"/>
          <w:vertAlign w:val="superscript"/>
        </w:rPr>
        <w:t>3</w:t>
      </w:r>
      <w:r>
        <w:rPr>
          <w:rFonts w:hint="eastAsia"/>
        </w:rPr>
        <w:t>；结合物料平衡中解析气的碳含量，经计算，解析气为燃料排放因子值约为0</w:t>
      </w:r>
      <w:r>
        <w:t>.8</w:t>
      </w:r>
      <w:r>
        <w:rPr>
          <w:rFonts w:hint="eastAsia"/>
        </w:rPr>
        <w:t xml:space="preserve"> tCO</w:t>
      </w:r>
      <w:r>
        <w:rPr>
          <w:rFonts w:hint="eastAsia"/>
          <w:vertAlign w:val="subscript"/>
        </w:rPr>
        <w:t>2</w:t>
      </w:r>
      <w:r>
        <w:rPr>
          <w:rFonts w:hint="eastAsia"/>
        </w:rPr>
        <w:t>e/kNm</w:t>
      </w:r>
      <w:r>
        <w:rPr>
          <w:rFonts w:hint="eastAsia"/>
          <w:vertAlign w:val="superscript"/>
        </w:rPr>
        <w:t>3</w:t>
      </w:r>
      <w:r>
        <w:rPr>
          <w:rFonts w:hint="eastAsia"/>
        </w:rPr>
        <w:t>。</w:t>
      </w:r>
    </w:p>
    <w:p>
      <w:pPr>
        <w:ind w:firstLine="480"/>
      </w:pPr>
      <w:r>
        <w:rPr>
          <w:rFonts w:hint="eastAsia"/>
        </w:rPr>
        <w:t>本项目一段转化炉天然气燃烧量为1600</w:t>
      </w:r>
      <w:r>
        <w:rPr>
          <w:rFonts w:hint="eastAsia" w:ascii="宋体" w:hAnsi="宋体"/>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/a，解析气等气体燃烧量为</w:t>
      </w:r>
      <w:r>
        <w:t>12311.8</w:t>
      </w:r>
      <w:r>
        <w:rPr>
          <w:rFonts w:hint="eastAsia" w:ascii="宋体" w:hAnsi="宋体"/>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/a，根据上述计算公式和参数选取，本项目燃料燃烧碳排放量见表</w:t>
      </w:r>
      <w:r>
        <w:t>10.2</w:t>
      </w:r>
      <w:r>
        <w:rPr>
          <w:rFonts w:hint="eastAsia"/>
        </w:rPr>
        <w:t>-1。</w:t>
      </w:r>
    </w:p>
    <w:p>
      <w:pPr>
        <w:pStyle w:val="41"/>
      </w:pPr>
      <w:r>
        <w:rPr>
          <w:rFonts w:hint="eastAsia"/>
        </w:rPr>
        <w:t>表</w:t>
      </w:r>
      <w:r>
        <w:t>10.2</w:t>
      </w:r>
      <w:r>
        <w:rPr>
          <w:rFonts w:hint="eastAsia"/>
        </w:rPr>
        <w:t>-1 燃料燃烧碳排放量计算一览表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42"/>
            </w:pPr>
            <w:r>
              <w:t>名称</w:t>
            </w:r>
          </w:p>
        </w:tc>
        <w:tc>
          <w:tcPr>
            <w:tcW w:w="2131" w:type="dxa"/>
            <w:vAlign w:val="center"/>
          </w:tcPr>
          <w:p>
            <w:pPr>
              <w:pStyle w:val="42"/>
            </w:pPr>
            <w:r>
              <w:t>ADi（kNm</w:t>
            </w:r>
            <w:r>
              <w:rPr>
                <w:vertAlign w:val="superscript"/>
              </w:rPr>
              <w:t>3</w:t>
            </w:r>
            <w:r>
              <w:t>）</w:t>
            </w:r>
          </w:p>
        </w:tc>
        <w:tc>
          <w:tcPr>
            <w:tcW w:w="2131" w:type="dxa"/>
            <w:vAlign w:val="center"/>
          </w:tcPr>
          <w:p>
            <w:pPr>
              <w:pStyle w:val="42"/>
            </w:pPr>
            <w:r>
              <w:t>EFi（tCO</w:t>
            </w:r>
            <w:r>
              <w:rPr>
                <w:vertAlign w:val="subscript"/>
              </w:rPr>
              <w:t>2</w:t>
            </w:r>
            <w:r>
              <w:t>e/kNm</w:t>
            </w:r>
            <w:r>
              <w:rPr>
                <w:vertAlign w:val="superscript"/>
              </w:rPr>
              <w:t>3</w:t>
            </w:r>
            <w:r>
              <w:t>）</w:t>
            </w:r>
          </w:p>
        </w:tc>
        <w:tc>
          <w:tcPr>
            <w:tcW w:w="2131" w:type="dxa"/>
            <w:vAlign w:val="center"/>
          </w:tcPr>
          <w:p>
            <w:pPr>
              <w:pStyle w:val="42"/>
            </w:pPr>
            <w:r>
              <w:t>AE</w:t>
            </w:r>
            <w:r>
              <w:rPr>
                <w:vertAlign w:val="subscript"/>
              </w:rPr>
              <w:t>工燃</w:t>
            </w:r>
            <w:r>
              <w:t>（</w:t>
            </w:r>
            <w:r>
              <w:rPr>
                <w:rFonts w:eastAsia="TimesNewRomanPSMT"/>
              </w:rPr>
              <w:t>tCO</w:t>
            </w:r>
            <w:r>
              <w:rPr>
                <w:rFonts w:eastAsia="TimesNewRomanPSMT"/>
                <w:sz w:val="16"/>
                <w:szCs w:val="16"/>
              </w:rPr>
              <w:t>2</w:t>
            </w:r>
            <w:r>
              <w:t>e</w:t>
            </w:r>
            <w:r>
              <w:rPr>
                <w:vertAlign w:val="subscript"/>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42"/>
            </w:pPr>
            <w:r>
              <w:t>天然气燃烧</w:t>
            </w:r>
          </w:p>
        </w:tc>
        <w:tc>
          <w:tcPr>
            <w:tcW w:w="2131" w:type="dxa"/>
            <w:vAlign w:val="center"/>
          </w:tcPr>
          <w:p>
            <w:pPr>
              <w:pStyle w:val="42"/>
            </w:pPr>
            <w:r>
              <w:t>16000</w:t>
            </w:r>
          </w:p>
        </w:tc>
        <w:tc>
          <w:tcPr>
            <w:tcW w:w="2131" w:type="dxa"/>
            <w:vAlign w:val="center"/>
          </w:tcPr>
          <w:p>
            <w:pPr>
              <w:pStyle w:val="42"/>
            </w:pPr>
            <w:r>
              <w:t>2.16</w:t>
            </w:r>
          </w:p>
        </w:tc>
        <w:tc>
          <w:tcPr>
            <w:tcW w:w="2131" w:type="dxa"/>
            <w:vAlign w:val="center"/>
          </w:tcPr>
          <w:p>
            <w:pPr>
              <w:pStyle w:val="42"/>
            </w:pPr>
            <w:r>
              <w:rPr>
                <w:rFonts w:eastAsia="TimesNewRomanPSMT"/>
              </w:rPr>
              <w:t>34560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vAlign w:val="center"/>
          </w:tcPr>
          <w:p>
            <w:pPr>
              <w:pStyle w:val="42"/>
            </w:pPr>
            <w:r>
              <w:rPr>
                <w:rFonts w:hint="eastAsia"/>
              </w:rPr>
              <w:t>解析气燃烧</w:t>
            </w:r>
          </w:p>
        </w:tc>
        <w:tc>
          <w:tcPr>
            <w:tcW w:w="2131" w:type="dxa"/>
            <w:vAlign w:val="center"/>
          </w:tcPr>
          <w:p>
            <w:pPr>
              <w:pStyle w:val="42"/>
            </w:pPr>
            <w:r>
              <w:rPr>
                <w:rFonts w:hint="eastAsia"/>
              </w:rPr>
              <w:t>1</w:t>
            </w:r>
            <w:r>
              <w:t>23118</w:t>
            </w:r>
          </w:p>
        </w:tc>
        <w:tc>
          <w:tcPr>
            <w:tcW w:w="2131" w:type="dxa"/>
            <w:vAlign w:val="center"/>
          </w:tcPr>
          <w:p>
            <w:pPr>
              <w:pStyle w:val="42"/>
            </w:pPr>
            <w:r>
              <w:rPr>
                <w:rFonts w:hint="eastAsia"/>
              </w:rPr>
              <w:t>0</w:t>
            </w:r>
            <w:r>
              <w:t>.8</w:t>
            </w:r>
          </w:p>
        </w:tc>
        <w:tc>
          <w:tcPr>
            <w:tcW w:w="2131" w:type="dxa"/>
            <w:vAlign w:val="center"/>
          </w:tcPr>
          <w:p>
            <w:pPr>
              <w:pStyle w:val="42"/>
              <w:rPr>
                <w:rFonts w:eastAsia="TimesNewRomanPSMT"/>
              </w:rPr>
            </w:pPr>
            <w:r>
              <w:rPr>
                <w:rFonts w:hint="eastAsia" w:eastAsia="TimesNewRomanPSMT"/>
              </w:rPr>
              <w:t>9</w:t>
            </w:r>
            <w:r>
              <w:rPr>
                <w:rFonts w:eastAsia="TimesNewRomanPSMT"/>
              </w:rPr>
              <w:t>8494.4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1" w:type="dxa"/>
            <w:gridSpan w:val="3"/>
            <w:vAlign w:val="center"/>
          </w:tcPr>
          <w:p>
            <w:pPr>
              <w:pStyle w:val="42"/>
            </w:pPr>
            <w:r>
              <w:rPr>
                <w:rFonts w:hint="eastAsia"/>
              </w:rPr>
              <w:t>合计</w:t>
            </w:r>
          </w:p>
        </w:tc>
        <w:tc>
          <w:tcPr>
            <w:tcW w:w="2131" w:type="dxa"/>
            <w:vAlign w:val="center"/>
          </w:tcPr>
          <w:p>
            <w:pPr>
              <w:pStyle w:val="42"/>
              <w:rPr>
                <w:rFonts w:eastAsia="TimesNewRomanPSMT"/>
              </w:rPr>
            </w:pPr>
            <w:r>
              <w:rPr>
                <w:rFonts w:hint="eastAsia" w:eastAsia="TimesNewRomanPSMT"/>
              </w:rPr>
              <w:t>1</w:t>
            </w:r>
            <w:r>
              <w:rPr>
                <w:rFonts w:eastAsia="TimesNewRomanPSMT"/>
              </w:rPr>
              <w:t>33054.4</w:t>
            </w:r>
          </w:p>
        </w:tc>
      </w:tr>
    </w:tbl>
    <w:p>
      <w:pPr>
        <w:ind w:firstLine="480"/>
      </w:pPr>
      <w:r>
        <w:rPr>
          <w:rFonts w:hint="eastAsia"/>
        </w:rPr>
        <w:t>（2）生产工艺过程排放：拟建项目过程排放主要包括制气工序一段转化炉、高温变换炉和CO</w:t>
      </w:r>
      <w:r>
        <w:rPr>
          <w:vertAlign w:val="subscript"/>
        </w:rPr>
        <w:t>2</w:t>
      </w:r>
      <w:r>
        <w:rPr>
          <w:rFonts w:hint="eastAsia"/>
        </w:rPr>
        <w:t>回收单元催化反应器产生的CO</w:t>
      </w:r>
      <w:r>
        <w:rPr>
          <w:rFonts w:hint="eastAsia"/>
          <w:vertAlign w:val="subscript"/>
        </w:rPr>
        <w:t>2</w:t>
      </w:r>
      <w:r>
        <w:rPr>
          <w:rFonts w:hint="eastAsia"/>
        </w:rPr>
        <w:t>。</w:t>
      </w:r>
    </w:p>
    <w:p>
      <w:pPr>
        <w:pStyle w:val="41"/>
      </w:pPr>
      <w:r>
        <w:drawing>
          <wp:inline distT="0" distB="0" distL="0" distR="0">
            <wp:extent cx="3909695" cy="753745"/>
            <wp:effectExtent l="0" t="0" r="0" b="8255"/>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pic:cNvPicPr>
                  </pic:nvPicPr>
                  <pic:blipFill>
                    <a:blip r:embed="rId104"/>
                    <a:stretch>
                      <a:fillRect/>
                    </a:stretch>
                  </pic:blipFill>
                  <pic:spPr>
                    <a:xfrm>
                      <a:off x="0" y="0"/>
                      <a:ext cx="3919922" cy="755826"/>
                    </a:xfrm>
                    <a:prstGeom prst="rect">
                      <a:avLst/>
                    </a:prstGeom>
                  </pic:spPr>
                </pic:pic>
              </a:graphicData>
            </a:graphic>
          </wp:inline>
        </w:drawing>
      </w:r>
    </w:p>
    <w:p>
      <w:pPr>
        <w:ind w:firstLine="480"/>
      </w:pPr>
      <w:r>
        <w:rPr>
          <w:rFonts w:hint="eastAsia"/>
        </w:rPr>
        <w:t>式中：</w:t>
      </w:r>
    </w:p>
    <w:p>
      <w:pPr>
        <w:ind w:firstLine="960" w:firstLineChars="400"/>
      </w:pPr>
      <w:r>
        <w:rPr>
          <w:rFonts w:eastAsia="TimesNewRomanPSMT"/>
        </w:rPr>
        <w:t>E</w:t>
      </w:r>
      <w:r>
        <w:rPr>
          <w:rFonts w:hint="eastAsia" w:ascii="宋体" w:hAnsi="宋体" w:cs="宋体"/>
          <w:vertAlign w:val="subscript"/>
        </w:rPr>
        <w:t>过程</w:t>
      </w:r>
      <w:r>
        <w:rPr>
          <w:rFonts w:hint="eastAsia"/>
        </w:rPr>
        <w:t>—</w:t>
      </w:r>
      <w:r>
        <w:t>工业生产过程中产生的二氧化碳排放量，单位为吨二氧化碳（</w:t>
      </w:r>
      <w:r>
        <w:rPr>
          <w:rFonts w:eastAsia="TimesNewRomanPSMT"/>
        </w:rPr>
        <w:t>tCO</w:t>
      </w:r>
      <w:r>
        <w:rPr>
          <w:rFonts w:eastAsia="TimesNewRomanPSMT"/>
          <w:sz w:val="16"/>
          <w:szCs w:val="16"/>
        </w:rPr>
        <w:t>2</w:t>
      </w:r>
      <w:r>
        <w:rPr>
          <w:rFonts w:eastAsia="TimesNewRomanPSMT"/>
        </w:rPr>
        <w:t>e</w:t>
      </w:r>
      <w:r>
        <w:t>）；</w:t>
      </w:r>
    </w:p>
    <w:p>
      <w:pPr>
        <w:ind w:firstLine="960" w:firstLineChars="400"/>
      </w:pPr>
      <w:r>
        <w:rPr>
          <w:rFonts w:eastAsia="TimesNewRomanPSMT"/>
        </w:rPr>
        <w:t>AD</w:t>
      </w:r>
      <w:r>
        <w:rPr>
          <w:rFonts w:eastAsia="TimesNewRomanPSMT"/>
          <w:sz w:val="16"/>
          <w:szCs w:val="16"/>
        </w:rPr>
        <w:t>i,r</w:t>
      </w:r>
      <w:r>
        <w:rPr>
          <w:rFonts w:hint="eastAsia"/>
        </w:rPr>
        <w:t>—</w:t>
      </w:r>
      <w:r>
        <w:t>第</w:t>
      </w:r>
      <w:r>
        <w:rPr>
          <w:rFonts w:eastAsia="TimesNewRomanPSMT"/>
        </w:rPr>
        <w:t>i</w:t>
      </w:r>
      <w:r>
        <w:t>个核算单元的原料</w:t>
      </w:r>
      <w:r>
        <w:rPr>
          <w:rFonts w:eastAsia="TimesNewRomanPSMT"/>
        </w:rPr>
        <w:t>r</w:t>
      </w:r>
      <w:r>
        <w:t>的投入量，单位为吨（</w:t>
      </w:r>
      <w:r>
        <w:rPr>
          <w:rFonts w:eastAsia="TimesNewRomanPSMT"/>
        </w:rPr>
        <w:t>t</w:t>
      </w:r>
      <w:r>
        <w:t>）；</w:t>
      </w:r>
    </w:p>
    <w:p>
      <w:pPr>
        <w:ind w:firstLine="960" w:firstLineChars="400"/>
      </w:pPr>
      <w:r>
        <w:rPr>
          <w:rFonts w:eastAsia="TimesNewRomanPSMT"/>
        </w:rPr>
        <w:t>CC</w:t>
      </w:r>
      <w:r>
        <w:rPr>
          <w:rFonts w:eastAsia="TimesNewRomanPSMT"/>
          <w:sz w:val="16"/>
          <w:szCs w:val="16"/>
        </w:rPr>
        <w:t>i,r</w:t>
      </w:r>
      <w:r>
        <w:rPr>
          <w:rFonts w:hint="eastAsia"/>
        </w:rPr>
        <w:t>—</w:t>
      </w:r>
      <w:r>
        <w:t>第</w:t>
      </w:r>
      <w:r>
        <w:rPr>
          <w:rFonts w:eastAsia="TimesNewRomanPSMT"/>
        </w:rPr>
        <w:t>i</w:t>
      </w:r>
      <w:r>
        <w:t>个核算单元的原料</w:t>
      </w:r>
      <w:r>
        <w:rPr>
          <w:rFonts w:eastAsia="TimesNewRomanPSMT"/>
        </w:rPr>
        <w:t>r</w:t>
      </w:r>
      <w:r>
        <w:t>的含碳量，单位为吨碳每吨（</w:t>
      </w:r>
      <w:r>
        <w:rPr>
          <w:rFonts w:eastAsia="TimesNewRomanPSMT"/>
        </w:rPr>
        <w:t>tC/t</w:t>
      </w:r>
      <w:r>
        <w:t>）；</w:t>
      </w:r>
    </w:p>
    <w:p>
      <w:pPr>
        <w:ind w:firstLine="960" w:firstLineChars="400"/>
      </w:pPr>
      <w:r>
        <w:t>GWPco</w:t>
      </w:r>
      <w:r>
        <w:rPr>
          <w:vertAlign w:val="subscript"/>
        </w:rPr>
        <w:t>2</w:t>
      </w:r>
      <w:r>
        <w:rPr>
          <w:rFonts w:hint="eastAsia"/>
        </w:rPr>
        <w:t>—</w:t>
      </w:r>
      <w:r>
        <w:t>二氧化碳的全球变暖潜势值，取值为1</w:t>
      </w:r>
      <w:r>
        <w:rPr>
          <w:rFonts w:hint="eastAsia"/>
        </w:rPr>
        <w:t>。</w:t>
      </w:r>
    </w:p>
    <w:p>
      <w:pPr>
        <w:ind w:firstLine="480"/>
      </w:pPr>
      <w:r>
        <w:rPr>
          <w:rFonts w:hint="eastAsia"/>
        </w:rPr>
        <w:t>根据工程分析中物料衡算，本工程工业过程二氧化碳年排放量约为</w:t>
      </w:r>
      <w:r>
        <w:t>159147.5</w:t>
      </w:r>
      <w:r>
        <w:rPr>
          <w:rFonts w:hint="eastAsia"/>
        </w:rPr>
        <w:t>tCO</w:t>
      </w:r>
      <w:r>
        <w:rPr>
          <w:rFonts w:hint="eastAsia"/>
          <w:vertAlign w:val="subscript"/>
        </w:rPr>
        <w:t>2</w:t>
      </w:r>
      <w:r>
        <w:rPr>
          <w:rFonts w:hint="eastAsia"/>
        </w:rPr>
        <w:t>e。</w:t>
      </w:r>
    </w:p>
    <w:p>
      <w:pPr>
        <w:ind w:firstLine="480"/>
      </w:pPr>
      <w:r>
        <w:rPr>
          <w:rFonts w:hint="eastAsia"/>
        </w:rPr>
        <w:t>（3）净调入电力和热力消耗碳排放总量</w:t>
      </w:r>
    </w:p>
    <w:p>
      <w:pPr>
        <w:ind w:firstLine="480"/>
      </w:pPr>
      <w:r>
        <w:rPr>
          <w:rFonts w:hint="eastAsia"/>
        </w:rPr>
        <w:t>净调入电力和热力消耗碳排放总量（AE净调入电力和热力）计算公式：</w:t>
      </w:r>
    </w:p>
    <w:p>
      <w:pPr>
        <w:spacing w:line="600" w:lineRule="exact"/>
        <w:ind w:right="480" w:firstLine="2400" w:firstLineChars="1000"/>
        <w:rPr>
          <w:rFonts w:eastAsiaTheme="minorEastAsia"/>
        </w:rPr>
      </w:pPr>
      <w:r>
        <w:rPr>
          <w:rFonts w:eastAsiaTheme="minorEastAsia"/>
          <w:i/>
          <w:iCs/>
        </w:rPr>
        <w:t>AE</w:t>
      </w:r>
      <w:r>
        <w:rPr>
          <w:rFonts w:eastAsiaTheme="minorEastAsia"/>
          <w:vertAlign w:val="subscript"/>
        </w:rPr>
        <w:t>净调入电力和热力</w:t>
      </w:r>
      <w:r>
        <w:rPr>
          <w:rFonts w:eastAsiaTheme="minorEastAsia"/>
        </w:rPr>
        <w:t>=</w:t>
      </w:r>
      <w:r>
        <w:rPr>
          <w:rFonts w:eastAsiaTheme="minorEastAsia"/>
          <w:i/>
          <w:iCs/>
        </w:rPr>
        <w:t xml:space="preserve"> AE</w:t>
      </w:r>
      <w:r>
        <w:rPr>
          <w:rFonts w:eastAsiaTheme="minorEastAsia"/>
          <w:vertAlign w:val="subscript"/>
        </w:rPr>
        <w:t>净调入电力</w:t>
      </w:r>
      <w:r>
        <w:rPr>
          <w:rFonts w:eastAsiaTheme="minorEastAsia"/>
        </w:rPr>
        <w:t>+</w:t>
      </w:r>
      <w:r>
        <w:rPr>
          <w:rFonts w:eastAsiaTheme="minorEastAsia"/>
          <w:i/>
          <w:iCs/>
        </w:rPr>
        <w:t xml:space="preserve"> AE</w:t>
      </w:r>
      <w:r>
        <w:rPr>
          <w:rFonts w:eastAsiaTheme="minorEastAsia"/>
          <w:vertAlign w:val="subscript"/>
        </w:rPr>
        <w:t>净调入热力</w:t>
      </w:r>
      <w:r>
        <w:rPr>
          <w:rFonts w:eastAsiaTheme="minorEastAsia"/>
        </w:rPr>
        <w:t xml:space="preserve"> </w:t>
      </w:r>
    </w:p>
    <w:p>
      <w:pPr>
        <w:spacing w:line="600" w:lineRule="exact"/>
        <w:ind w:firstLine="480"/>
        <w:jc w:val="left"/>
        <w:rPr>
          <w:rFonts w:eastAsiaTheme="minorEastAsia"/>
        </w:rPr>
      </w:pPr>
      <w:r>
        <w:rPr>
          <w:rFonts w:eastAsiaTheme="minorEastAsia"/>
        </w:rPr>
        <w:t>式中：</w:t>
      </w:r>
    </w:p>
    <w:p>
      <w:pPr>
        <w:ind w:firstLine="960" w:firstLineChars="400"/>
      </w:pPr>
      <w:r>
        <w:rPr>
          <w:i/>
          <w:iCs/>
        </w:rPr>
        <w:t>AE</w:t>
      </w:r>
      <w:r>
        <w:rPr>
          <w:vertAlign w:val="subscript"/>
        </w:rPr>
        <w:t>净调入电力</w:t>
      </w:r>
      <w:r>
        <w:t>—净调入电力消耗碳排放量（tCO</w:t>
      </w:r>
      <w:r>
        <w:rPr>
          <w:vertAlign w:val="subscript"/>
        </w:rPr>
        <w:t>2</w:t>
      </w:r>
      <w:r>
        <w:t>e）；</w:t>
      </w:r>
    </w:p>
    <w:p>
      <w:pPr>
        <w:ind w:firstLine="960" w:firstLineChars="400"/>
      </w:pPr>
      <w:r>
        <w:rPr>
          <w:i/>
          <w:iCs/>
        </w:rPr>
        <w:t>AE</w:t>
      </w:r>
      <w:r>
        <w:rPr>
          <w:vertAlign w:val="subscript"/>
        </w:rPr>
        <w:t>净调入热力</w:t>
      </w:r>
      <w:r>
        <w:t>—净调入热力消耗碳排放量（tCO</w:t>
      </w:r>
      <w:r>
        <w:rPr>
          <w:vertAlign w:val="subscript"/>
        </w:rPr>
        <w:t>2</w:t>
      </w:r>
      <w:r>
        <w:t>e）。</w:t>
      </w:r>
    </w:p>
    <w:p>
      <w:pPr>
        <w:spacing w:line="600" w:lineRule="exact"/>
        <w:ind w:firstLine="480"/>
        <w:jc w:val="left"/>
        <w:rPr>
          <w:rFonts w:eastAsiaTheme="minorEastAsia"/>
        </w:rPr>
      </w:pPr>
      <w:r>
        <w:rPr>
          <w:rFonts w:eastAsiaTheme="minorEastAsia"/>
        </w:rPr>
        <w:t>其中，净调入电力消耗碳排放量（</w:t>
      </w:r>
      <w:r>
        <w:rPr>
          <w:rFonts w:eastAsiaTheme="minorEastAsia"/>
          <w:i/>
          <w:iCs/>
        </w:rPr>
        <w:t>AE</w:t>
      </w:r>
      <w:r>
        <w:rPr>
          <w:rFonts w:eastAsiaTheme="minorEastAsia"/>
          <w:vertAlign w:val="subscript"/>
        </w:rPr>
        <w:t>净调入电力</w:t>
      </w:r>
      <w:r>
        <w:rPr>
          <w:rFonts w:eastAsiaTheme="minorEastAsia"/>
        </w:rPr>
        <w:t>）计算公式：</w:t>
      </w:r>
    </w:p>
    <w:p>
      <w:pPr>
        <w:pStyle w:val="41"/>
      </w:pPr>
      <w:r>
        <w:rPr>
          <w:i/>
          <w:iCs/>
        </w:rPr>
        <w:t>AE</w:t>
      </w:r>
      <w:r>
        <w:rPr>
          <w:vertAlign w:val="subscript"/>
        </w:rPr>
        <w:t>净调入电力</w:t>
      </w:r>
      <w:r>
        <w:rPr>
          <w:i/>
          <w:iCs/>
        </w:rPr>
        <w:t>=AD</w:t>
      </w:r>
      <w:r>
        <w:rPr>
          <w:vertAlign w:val="subscript"/>
        </w:rPr>
        <w:t>净调入电量</w:t>
      </w:r>
      <w:r>
        <w:t>×</w:t>
      </w:r>
      <w:r>
        <w:rPr>
          <w:i/>
          <w:iCs/>
        </w:rPr>
        <w:t>EF</w:t>
      </w:r>
      <w:r>
        <w:rPr>
          <w:vertAlign w:val="subscript"/>
        </w:rPr>
        <w:t>电力</w:t>
      </w:r>
    </w:p>
    <w:p>
      <w:pPr>
        <w:spacing w:line="600" w:lineRule="exact"/>
        <w:ind w:firstLine="480"/>
        <w:jc w:val="left"/>
        <w:rPr>
          <w:rFonts w:eastAsiaTheme="minorEastAsia"/>
        </w:rPr>
      </w:pPr>
      <w:r>
        <w:rPr>
          <w:rFonts w:eastAsiaTheme="minorEastAsia"/>
        </w:rPr>
        <w:t>式中：</w:t>
      </w:r>
    </w:p>
    <w:p>
      <w:pPr>
        <w:ind w:firstLine="960" w:firstLineChars="400"/>
        <w:jc w:val="left"/>
        <w:rPr>
          <w:rFonts w:eastAsiaTheme="minorEastAsia"/>
        </w:rPr>
      </w:pPr>
      <w:r>
        <w:rPr>
          <w:rFonts w:eastAsiaTheme="minorEastAsia"/>
          <w:i/>
          <w:iCs/>
        </w:rPr>
        <w:t>AD</w:t>
      </w:r>
      <w:r>
        <w:rPr>
          <w:rFonts w:eastAsiaTheme="minorEastAsia"/>
          <w:vertAlign w:val="subscript"/>
        </w:rPr>
        <w:t>净调入电量</w:t>
      </w:r>
      <w:r>
        <w:rPr>
          <w:rFonts w:eastAsiaTheme="minorEastAsia"/>
        </w:rPr>
        <w:t>—净调入电力消耗量（</w:t>
      </w:r>
      <w:r>
        <w:rPr>
          <w:rFonts w:eastAsiaTheme="minorEastAsia"/>
          <w:lang w:bidi="zh-CN"/>
        </w:rPr>
        <w:t>MWh</w:t>
      </w:r>
      <w:r>
        <w:rPr>
          <w:rFonts w:eastAsiaTheme="minorEastAsia"/>
        </w:rPr>
        <w:t>）；</w:t>
      </w:r>
    </w:p>
    <w:p>
      <w:pPr>
        <w:ind w:firstLine="960" w:firstLineChars="400"/>
        <w:jc w:val="left"/>
        <w:rPr>
          <w:rFonts w:eastAsiaTheme="minorEastAsia"/>
        </w:rPr>
      </w:pPr>
      <w:r>
        <w:rPr>
          <w:rFonts w:eastAsiaTheme="minorEastAsia"/>
          <w:i/>
          <w:iCs/>
        </w:rPr>
        <w:t>EF</w:t>
      </w:r>
      <w:r>
        <w:rPr>
          <w:rFonts w:eastAsiaTheme="minorEastAsia"/>
          <w:vertAlign w:val="subscript"/>
        </w:rPr>
        <w:t>电力</w:t>
      </w:r>
      <w:r>
        <w:rPr>
          <w:rFonts w:eastAsiaTheme="minorEastAsia"/>
        </w:rPr>
        <w:t>—</w:t>
      </w:r>
      <w:r>
        <w:rPr>
          <w:rFonts w:eastAsiaTheme="minorEastAsia"/>
          <w:lang w:bidi="zh-CN"/>
        </w:rPr>
        <w:t>电力排放因子（tCO</w:t>
      </w:r>
      <w:r>
        <w:rPr>
          <w:rFonts w:eastAsiaTheme="minorEastAsia"/>
          <w:vertAlign w:val="subscript"/>
          <w:lang w:bidi="zh-CN"/>
        </w:rPr>
        <w:t>2</w:t>
      </w:r>
      <w:r>
        <w:rPr>
          <w:rFonts w:eastAsiaTheme="minorEastAsia"/>
          <w:lang w:bidi="zh-CN"/>
        </w:rPr>
        <w:t>e/MWh），为0.</w:t>
      </w:r>
      <w:r>
        <w:rPr>
          <w:rFonts w:hint="eastAsia" w:eastAsiaTheme="minorEastAsia"/>
          <w:lang w:bidi="zh-CN"/>
        </w:rPr>
        <w:t>52</w:t>
      </w:r>
      <w:r>
        <w:rPr>
          <w:rFonts w:eastAsiaTheme="minorEastAsia"/>
          <w:kern w:val="0"/>
          <w:position w:val="1"/>
          <w:lang w:val="zh-CN" w:bidi="zh-CN"/>
        </w:rPr>
        <w:t xml:space="preserve"> </w:t>
      </w:r>
      <w:r>
        <w:rPr>
          <w:rFonts w:eastAsiaTheme="minorEastAsia"/>
          <w:lang w:val="zh-CN" w:bidi="zh-CN"/>
        </w:rPr>
        <w:t>tCO</w:t>
      </w:r>
      <w:r>
        <w:rPr>
          <w:rFonts w:eastAsiaTheme="minorEastAsia"/>
          <w:vertAlign w:val="subscript"/>
          <w:lang w:val="zh-CN" w:bidi="zh-CN"/>
        </w:rPr>
        <w:t>2</w:t>
      </w:r>
      <w:r>
        <w:rPr>
          <w:rFonts w:eastAsiaTheme="minorEastAsia"/>
          <w:lang w:val="zh-CN" w:bidi="zh-CN"/>
        </w:rPr>
        <w:t>/MWh</w:t>
      </w:r>
      <w:r>
        <w:rPr>
          <w:rFonts w:eastAsiaTheme="minorEastAsia"/>
        </w:rPr>
        <w:t>。</w:t>
      </w:r>
    </w:p>
    <w:p>
      <w:pPr>
        <w:spacing w:line="600" w:lineRule="exact"/>
        <w:ind w:firstLine="480"/>
        <w:rPr>
          <w:rFonts w:eastAsiaTheme="minorEastAsia"/>
        </w:rPr>
      </w:pPr>
      <w:r>
        <w:rPr>
          <w:rFonts w:eastAsiaTheme="minorEastAsia"/>
        </w:rPr>
        <w:t>其中，净调入热力消耗碳排放量（</w:t>
      </w:r>
      <w:r>
        <w:rPr>
          <w:rFonts w:eastAsiaTheme="minorEastAsia"/>
          <w:i/>
          <w:iCs/>
        </w:rPr>
        <w:t>AE</w:t>
      </w:r>
      <w:r>
        <w:rPr>
          <w:rFonts w:eastAsiaTheme="minorEastAsia"/>
          <w:kern w:val="0"/>
          <w:vertAlign w:val="subscript"/>
        </w:rPr>
        <w:t>净调入热力</w:t>
      </w:r>
      <w:r>
        <w:rPr>
          <w:rFonts w:eastAsiaTheme="minorEastAsia"/>
        </w:rPr>
        <w:t>）计算方法见公式：</w:t>
      </w:r>
    </w:p>
    <w:p>
      <w:pPr>
        <w:spacing w:line="600" w:lineRule="exact"/>
        <w:ind w:left="638" w:right="480" w:firstLine="720" w:firstLineChars="300"/>
        <w:jc w:val="center"/>
        <w:rPr>
          <w:rFonts w:eastAsiaTheme="minorEastAsia"/>
        </w:rPr>
      </w:pPr>
      <w:r>
        <w:rPr>
          <w:rFonts w:eastAsiaTheme="minorEastAsia"/>
          <w:i/>
          <w:iCs/>
        </w:rPr>
        <w:t>AE</w:t>
      </w:r>
      <w:r>
        <w:rPr>
          <w:rFonts w:eastAsiaTheme="minorEastAsia"/>
          <w:vertAlign w:val="subscript"/>
        </w:rPr>
        <w:t>净调入热力</w:t>
      </w:r>
      <w:r>
        <w:rPr>
          <w:rFonts w:eastAsiaTheme="minorEastAsia"/>
          <w:i/>
          <w:iCs/>
        </w:rPr>
        <w:t>=AD</w:t>
      </w:r>
      <w:r>
        <w:rPr>
          <w:rFonts w:eastAsiaTheme="minorEastAsia"/>
          <w:vertAlign w:val="subscript"/>
        </w:rPr>
        <w:t>净调入热力消耗量</w:t>
      </w:r>
      <w:r>
        <w:rPr>
          <w:rFonts w:eastAsiaTheme="minorEastAsia"/>
        </w:rPr>
        <w:t>×</w:t>
      </w:r>
      <w:r>
        <w:rPr>
          <w:rFonts w:eastAsiaTheme="minorEastAsia"/>
          <w:i/>
          <w:iCs/>
        </w:rPr>
        <w:t>EF</w:t>
      </w:r>
      <w:r>
        <w:rPr>
          <w:rFonts w:eastAsiaTheme="minorEastAsia"/>
          <w:vertAlign w:val="subscript"/>
        </w:rPr>
        <w:t xml:space="preserve">热力 </w:t>
      </w:r>
    </w:p>
    <w:p>
      <w:pPr>
        <w:ind w:firstLine="480"/>
        <w:jc w:val="left"/>
        <w:rPr>
          <w:rFonts w:eastAsiaTheme="minorEastAsia"/>
        </w:rPr>
      </w:pPr>
      <w:r>
        <w:rPr>
          <w:rFonts w:eastAsiaTheme="minorEastAsia"/>
        </w:rPr>
        <w:t>式中：</w:t>
      </w:r>
    </w:p>
    <w:p>
      <w:pPr>
        <w:ind w:firstLine="960" w:firstLineChars="400"/>
        <w:jc w:val="left"/>
        <w:rPr>
          <w:rFonts w:eastAsiaTheme="minorEastAsia"/>
        </w:rPr>
      </w:pPr>
      <w:r>
        <w:rPr>
          <w:rFonts w:eastAsiaTheme="minorEastAsia"/>
          <w:i/>
          <w:iCs/>
        </w:rPr>
        <w:t>AD</w:t>
      </w:r>
      <w:r>
        <w:rPr>
          <w:rFonts w:eastAsiaTheme="minorEastAsia"/>
          <w:vertAlign w:val="subscript"/>
        </w:rPr>
        <w:t>净调入热力消耗量</w:t>
      </w:r>
      <w:r>
        <w:rPr>
          <w:rFonts w:eastAsiaTheme="minorEastAsia"/>
        </w:rPr>
        <w:t>—净调入热力消耗量（</w:t>
      </w:r>
      <w:r>
        <w:rPr>
          <w:rFonts w:eastAsiaTheme="minorEastAsia"/>
          <w:lang w:bidi="zh-CN"/>
        </w:rPr>
        <w:t>GJ</w:t>
      </w:r>
      <w:r>
        <w:rPr>
          <w:rFonts w:eastAsiaTheme="minorEastAsia"/>
        </w:rPr>
        <w:t>）；</w:t>
      </w:r>
    </w:p>
    <w:p>
      <w:pPr>
        <w:ind w:firstLine="960" w:firstLineChars="400"/>
      </w:pPr>
      <w:r>
        <w:rPr>
          <w:rFonts w:eastAsiaTheme="minorEastAsia"/>
          <w:i/>
          <w:iCs/>
        </w:rPr>
        <w:t>EF</w:t>
      </w:r>
      <w:r>
        <w:rPr>
          <w:rFonts w:eastAsiaTheme="minorEastAsia"/>
          <w:vertAlign w:val="subscript"/>
        </w:rPr>
        <w:t>热力</w:t>
      </w:r>
      <w:r>
        <w:rPr>
          <w:rFonts w:eastAsiaTheme="minorEastAsia"/>
        </w:rPr>
        <w:t>—</w:t>
      </w:r>
      <w:r>
        <w:rPr>
          <w:rFonts w:eastAsiaTheme="minorEastAsia"/>
          <w:lang w:bidi="zh-CN"/>
        </w:rPr>
        <w:t>热力排放因子（tCO</w:t>
      </w:r>
      <w:r>
        <w:rPr>
          <w:rFonts w:eastAsiaTheme="minorEastAsia"/>
          <w:vertAlign w:val="subscript"/>
          <w:lang w:bidi="zh-CN"/>
        </w:rPr>
        <w:t>2</w:t>
      </w:r>
      <w:r>
        <w:rPr>
          <w:rFonts w:eastAsiaTheme="minorEastAsia"/>
          <w:lang w:bidi="zh-CN"/>
        </w:rPr>
        <w:t>e/GJ），为0.11tCO</w:t>
      </w:r>
      <w:r>
        <w:rPr>
          <w:rFonts w:eastAsiaTheme="minorEastAsia"/>
          <w:vertAlign w:val="subscript"/>
          <w:lang w:bidi="zh-CN"/>
        </w:rPr>
        <w:t>2</w:t>
      </w:r>
      <w:r>
        <w:rPr>
          <w:rFonts w:eastAsiaTheme="minorEastAsia"/>
          <w:lang w:bidi="zh-CN"/>
        </w:rPr>
        <w:t>e/GJ</w:t>
      </w:r>
      <w:r>
        <w:rPr>
          <w:rFonts w:eastAsiaTheme="minorEastAsia"/>
        </w:rPr>
        <w:t>。</w:t>
      </w:r>
    </w:p>
    <w:p>
      <w:pPr>
        <w:ind w:firstLine="480"/>
      </w:pPr>
      <w:r>
        <w:rPr>
          <w:rFonts w:hint="eastAsia"/>
        </w:rPr>
        <w:t>拟建项目设置热交换器产生蒸汽，正常运营情况下能实现厂区内蒸汽平衡，不涉及热力购买。本工程耗电约为</w:t>
      </w:r>
      <w:r>
        <w:rPr>
          <w:szCs w:val="21"/>
        </w:rPr>
        <w:t>3.487×10</w:t>
      </w:r>
      <w:r>
        <w:rPr>
          <w:szCs w:val="21"/>
          <w:vertAlign w:val="superscript"/>
        </w:rPr>
        <w:t>4</w:t>
      </w:r>
      <w:r>
        <w:rPr>
          <w:rFonts w:hint="eastAsia"/>
          <w:szCs w:val="21"/>
        </w:rPr>
        <w:t>Mwh/a</w:t>
      </w:r>
      <w:r>
        <w:rPr>
          <w:rFonts w:hint="eastAsia"/>
        </w:rPr>
        <w:t>，根据上述计算公式和参数选取，本项目净调入电力消耗碳排放总量见表</w:t>
      </w:r>
      <w:r>
        <w:t>10.2</w:t>
      </w:r>
      <w:r>
        <w:rPr>
          <w:rFonts w:hint="eastAsia"/>
        </w:rPr>
        <w:t>-</w:t>
      </w:r>
      <w:r>
        <w:t>2</w:t>
      </w:r>
    </w:p>
    <w:p>
      <w:pPr>
        <w:pStyle w:val="41"/>
      </w:pPr>
      <w:r>
        <w:rPr>
          <w:rFonts w:hint="eastAsia"/>
        </w:rPr>
        <w:t>表</w:t>
      </w:r>
      <w:r>
        <w:t>10.2</w:t>
      </w:r>
      <w:r>
        <w:rPr>
          <w:rFonts w:hint="eastAsia"/>
        </w:rPr>
        <w:t>-</w:t>
      </w:r>
      <w:r>
        <w:t xml:space="preserve">2 </w:t>
      </w:r>
      <w:r>
        <w:rPr>
          <w:rFonts w:hint="eastAsia"/>
        </w:rPr>
        <w:t>净调入电力消耗碳排放总量计算一览表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2266"/>
        <w:gridCol w:w="231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vAlign w:val="center"/>
          </w:tcPr>
          <w:p>
            <w:pPr>
              <w:pStyle w:val="42"/>
            </w:pPr>
            <w:r>
              <w:t>名称</w:t>
            </w:r>
          </w:p>
        </w:tc>
        <w:tc>
          <w:tcPr>
            <w:tcW w:w="2266" w:type="dxa"/>
            <w:vAlign w:val="center"/>
          </w:tcPr>
          <w:p>
            <w:pPr>
              <w:pStyle w:val="42"/>
              <w:rPr>
                <w:vertAlign w:val="subscript"/>
              </w:rPr>
            </w:pPr>
            <w:r>
              <w:t>AD</w:t>
            </w:r>
            <w:r>
              <w:rPr>
                <w:vertAlign w:val="subscript"/>
              </w:rPr>
              <w:t>净调入电量</w:t>
            </w:r>
          </w:p>
          <w:p>
            <w:pPr>
              <w:pStyle w:val="42"/>
            </w:pPr>
            <w:r>
              <w:t>（</w:t>
            </w:r>
            <w:r>
              <w:rPr>
                <w:rFonts w:eastAsiaTheme="minorEastAsia"/>
                <w:sz w:val="24"/>
                <w:lang w:bidi="zh-CN"/>
              </w:rPr>
              <w:t>MWh</w:t>
            </w:r>
            <w:r>
              <w:t>）</w:t>
            </w:r>
          </w:p>
        </w:tc>
        <w:tc>
          <w:tcPr>
            <w:tcW w:w="2318" w:type="dxa"/>
            <w:vAlign w:val="center"/>
          </w:tcPr>
          <w:p>
            <w:pPr>
              <w:pStyle w:val="42"/>
              <w:rPr>
                <w:vertAlign w:val="subscript"/>
              </w:rPr>
            </w:pPr>
            <w:r>
              <w:t>EF</w:t>
            </w:r>
            <w:r>
              <w:rPr>
                <w:vertAlign w:val="subscript"/>
              </w:rPr>
              <w:t>电力</w:t>
            </w:r>
          </w:p>
          <w:p>
            <w:pPr>
              <w:pStyle w:val="42"/>
            </w:pPr>
            <w:r>
              <w:t>（tCO</w:t>
            </w:r>
            <w:r>
              <w:rPr>
                <w:vertAlign w:val="subscript"/>
              </w:rPr>
              <w:t>2</w:t>
            </w:r>
            <w:r>
              <w:t>e/</w:t>
            </w:r>
            <w:r>
              <w:rPr>
                <w:rFonts w:eastAsiaTheme="minorEastAsia"/>
                <w:sz w:val="24"/>
                <w:lang w:bidi="zh-CN"/>
              </w:rPr>
              <w:t>MWh</w:t>
            </w:r>
            <w:r>
              <w:t>）</w:t>
            </w:r>
          </w:p>
        </w:tc>
        <w:tc>
          <w:tcPr>
            <w:tcW w:w="2131" w:type="dxa"/>
            <w:vAlign w:val="center"/>
          </w:tcPr>
          <w:p>
            <w:pPr>
              <w:pStyle w:val="42"/>
              <w:rPr>
                <w:vertAlign w:val="subscript"/>
              </w:rPr>
            </w:pPr>
            <w:r>
              <w:t>AE</w:t>
            </w:r>
            <w:r>
              <w:rPr>
                <w:vertAlign w:val="subscript"/>
              </w:rPr>
              <w:t>净调入电力</w:t>
            </w:r>
          </w:p>
          <w:p>
            <w:pPr>
              <w:pStyle w:val="42"/>
            </w:pPr>
            <w:r>
              <w:t>（</w:t>
            </w:r>
            <w:r>
              <w:rPr>
                <w:rFonts w:eastAsia="TimesNewRomanPSMT"/>
              </w:rPr>
              <w:t>tCO</w:t>
            </w:r>
            <w:r>
              <w:rPr>
                <w:rFonts w:eastAsia="TimesNewRomanPSMT"/>
                <w:sz w:val="16"/>
                <w:szCs w:val="16"/>
              </w:rPr>
              <w:t>2</w:t>
            </w:r>
            <w:r>
              <w:t>e</w:t>
            </w:r>
            <w:r>
              <w:rPr>
                <w:vertAlign w:val="subscript"/>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7" w:type="dxa"/>
            <w:vAlign w:val="center"/>
          </w:tcPr>
          <w:p>
            <w:pPr>
              <w:pStyle w:val="42"/>
            </w:pPr>
            <w:r>
              <w:t>电</w:t>
            </w:r>
          </w:p>
        </w:tc>
        <w:tc>
          <w:tcPr>
            <w:tcW w:w="2266" w:type="dxa"/>
            <w:vAlign w:val="center"/>
          </w:tcPr>
          <w:p>
            <w:pPr>
              <w:pStyle w:val="42"/>
            </w:pPr>
            <w:r>
              <w:rPr>
                <w:szCs w:val="21"/>
              </w:rPr>
              <w:t>3.487×10</w:t>
            </w:r>
            <w:r>
              <w:rPr>
                <w:szCs w:val="21"/>
                <w:vertAlign w:val="superscript"/>
              </w:rPr>
              <w:t>4</w:t>
            </w:r>
          </w:p>
        </w:tc>
        <w:tc>
          <w:tcPr>
            <w:tcW w:w="2318" w:type="dxa"/>
            <w:vAlign w:val="center"/>
          </w:tcPr>
          <w:p>
            <w:pPr>
              <w:pStyle w:val="42"/>
            </w:pPr>
            <w:r>
              <w:rPr>
                <w:rFonts w:hint="eastAsia"/>
              </w:rPr>
              <w:t>0.52</w:t>
            </w:r>
          </w:p>
        </w:tc>
        <w:tc>
          <w:tcPr>
            <w:tcW w:w="2131" w:type="dxa"/>
            <w:vAlign w:val="center"/>
          </w:tcPr>
          <w:p>
            <w:pPr>
              <w:pStyle w:val="42"/>
            </w:pPr>
            <w:r>
              <w:rPr>
                <w:rFonts w:hint="eastAsia"/>
              </w:rPr>
              <w:t>18132.4</w:t>
            </w:r>
          </w:p>
        </w:tc>
      </w:tr>
    </w:tbl>
    <w:p>
      <w:pPr>
        <w:pStyle w:val="4"/>
        <w:spacing w:before="163" w:after="163"/>
      </w:pPr>
      <w:bookmarkStart w:id="222" w:name="_Toc84844381"/>
      <w:r>
        <w:rPr>
          <w:rFonts w:hint="eastAsia"/>
        </w:rPr>
        <w:t>1</w:t>
      </w:r>
      <w:r>
        <w:t>0.2.</w:t>
      </w:r>
      <w:r>
        <w:rPr>
          <w:rFonts w:hint="eastAsia"/>
        </w:rPr>
        <w:t>4二氧化碳回收利用量</w:t>
      </w:r>
      <w:bookmarkEnd w:id="222"/>
    </w:p>
    <w:p>
      <w:pPr>
        <w:ind w:firstLine="480"/>
      </w:pPr>
      <w:r>
        <w:rPr>
          <w:rFonts w:hint="eastAsia"/>
        </w:rPr>
        <w:t>参照《温室气体排放核算与报告要求 第1 部分：化工生产企业》（GB/T32151.10-2015），回收且外供的二氧化碳量按照下式计算：</w:t>
      </w:r>
    </w:p>
    <w:p>
      <w:pPr>
        <w:pStyle w:val="41"/>
      </w:pPr>
      <w:r>
        <w:rPr>
          <w:rFonts w:hint="eastAsia"/>
        </w:rPr>
        <w:drawing>
          <wp:inline distT="0" distB="0" distL="0" distR="0">
            <wp:extent cx="1998980" cy="23304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999383" cy="233277"/>
                    </a:xfrm>
                    <a:prstGeom prst="rect">
                      <a:avLst/>
                    </a:prstGeom>
                    <a:noFill/>
                    <a:ln>
                      <a:noFill/>
                    </a:ln>
                  </pic:spPr>
                </pic:pic>
              </a:graphicData>
            </a:graphic>
          </wp:inline>
        </w:drawing>
      </w:r>
    </w:p>
    <w:p>
      <w:pPr>
        <w:ind w:firstLine="480"/>
      </w:pPr>
      <w:r>
        <w:rPr>
          <w:rFonts w:hint="eastAsia"/>
        </w:rPr>
        <w:t>式中：R</w:t>
      </w:r>
      <w:r>
        <w:rPr>
          <w:rFonts w:hint="eastAsia"/>
          <w:vertAlign w:val="subscript"/>
        </w:rPr>
        <w:t>CO2回收，i</w:t>
      </w:r>
      <w:r>
        <w:rPr>
          <w:rFonts w:hint="eastAsia"/>
        </w:rPr>
        <w:t>——第i个核算单元的二氧化碳回收利用量，单位为吨二氧化碳（tCO</w:t>
      </w:r>
      <w:r>
        <w:rPr>
          <w:rFonts w:hint="eastAsia"/>
          <w:vertAlign w:val="subscript"/>
        </w:rPr>
        <w:t>2</w:t>
      </w:r>
      <w:r>
        <w:rPr>
          <w:rFonts w:hint="eastAsia"/>
        </w:rPr>
        <w:t>）；</w:t>
      </w:r>
    </w:p>
    <w:p>
      <w:pPr>
        <w:ind w:firstLine="960" w:firstLineChars="400"/>
      </w:pPr>
      <w:r>
        <w:rPr>
          <w:rFonts w:hint="eastAsia"/>
        </w:rPr>
        <w:t>Q</w:t>
      </w:r>
      <w:r>
        <w:rPr>
          <w:rFonts w:hint="eastAsia"/>
          <w:vertAlign w:val="subscript"/>
        </w:rPr>
        <w:t>i</w:t>
      </w:r>
      <w:r>
        <w:rPr>
          <w:rFonts w:hint="eastAsia"/>
        </w:rPr>
        <w:t>——第i个核算单元回收且外供的二氧化碳气体体积，单位为万标立方（10</w:t>
      </w:r>
      <w:r>
        <w:rPr>
          <w:rFonts w:hint="eastAsia"/>
          <w:vertAlign w:val="superscript"/>
        </w:rPr>
        <w:t>4</w:t>
      </w:r>
      <w:r>
        <w:rPr>
          <w:rFonts w:hint="eastAsia"/>
        </w:rPr>
        <w:t>Nm</w:t>
      </w:r>
      <w:r>
        <w:rPr>
          <w:rFonts w:hint="eastAsia"/>
          <w:vertAlign w:val="superscript"/>
        </w:rPr>
        <w:t>3</w:t>
      </w:r>
      <w:r>
        <w:rPr>
          <w:rFonts w:hint="eastAsia"/>
        </w:rPr>
        <w:t>）；</w:t>
      </w:r>
    </w:p>
    <w:p>
      <w:pPr>
        <w:ind w:firstLine="960" w:firstLineChars="400"/>
      </w:pPr>
      <w:r>
        <w:rPr>
          <w:rFonts w:hint="eastAsia"/>
        </w:rPr>
        <w:t>PUR</w:t>
      </w:r>
      <w:r>
        <w:rPr>
          <w:rFonts w:hint="eastAsia"/>
          <w:vertAlign w:val="subscript"/>
        </w:rPr>
        <w:t xml:space="preserve"> CO2，i</w:t>
      </w:r>
      <w:r>
        <w:rPr>
          <w:rFonts w:hint="eastAsia"/>
        </w:rPr>
        <w:t>——第i个核算单元外供的二氧化碳气体的纯度（二氧化碳体积分数），以%表示；</w:t>
      </w:r>
    </w:p>
    <w:p>
      <w:pPr>
        <w:ind w:firstLine="960" w:firstLineChars="400"/>
      </w:pPr>
      <w:r>
        <w:rPr>
          <w:rFonts w:hint="eastAsia"/>
        </w:rPr>
        <w:t>19.77——标准状况下二氧化碳气体的密度，单位为吨二氧化碳每万标立方（tCO</w:t>
      </w:r>
      <w:r>
        <w:rPr>
          <w:rFonts w:hint="eastAsia"/>
          <w:vertAlign w:val="subscript"/>
        </w:rPr>
        <w:t>2</w:t>
      </w:r>
      <w:r>
        <w:rPr>
          <w:rFonts w:hint="eastAsia"/>
        </w:rPr>
        <w:t>/10</w:t>
      </w:r>
      <w:r>
        <w:rPr>
          <w:rFonts w:hint="eastAsia"/>
          <w:vertAlign w:val="superscript"/>
        </w:rPr>
        <w:t>4</w:t>
      </w:r>
      <w:r>
        <w:rPr>
          <w:rFonts w:hint="eastAsia"/>
        </w:rPr>
        <w:t>Nm</w:t>
      </w:r>
      <w:r>
        <w:rPr>
          <w:rFonts w:hint="eastAsia"/>
          <w:vertAlign w:val="superscript"/>
        </w:rPr>
        <w:t>3</w:t>
      </w:r>
      <w:r>
        <w:rPr>
          <w:rFonts w:hint="eastAsia"/>
        </w:rPr>
        <w:t>）。</w:t>
      </w:r>
    </w:p>
    <w:p>
      <w:pPr>
        <w:ind w:firstLine="480"/>
      </w:pPr>
      <w:r>
        <w:rPr>
          <w:rFonts w:hint="eastAsia"/>
        </w:rPr>
        <w:t>根据工程分析，拟建项目回收CO</w:t>
      </w:r>
      <w:r>
        <w:rPr>
          <w:vertAlign w:val="subscript"/>
        </w:rPr>
        <w:t>2</w:t>
      </w:r>
      <w:r>
        <w:rPr>
          <w:rFonts w:hint="eastAsia"/>
        </w:rPr>
        <w:t>气体5</w:t>
      </w:r>
      <w:r>
        <w:t>000</w:t>
      </w:r>
      <w:r>
        <w:rPr>
          <w:rFonts w:hint="eastAsia"/>
        </w:rPr>
        <w:t xml:space="preserve"> Nm</w:t>
      </w:r>
      <w:r>
        <w:rPr>
          <w:rFonts w:hint="eastAsia"/>
          <w:vertAlign w:val="superscript"/>
        </w:rPr>
        <w:t>3</w:t>
      </w:r>
      <w:r>
        <w:rPr>
          <w:rFonts w:hint="eastAsia"/>
        </w:rPr>
        <w:t>/h供卡贝乐公司，合4</w:t>
      </w:r>
      <w:r>
        <w:t>000</w:t>
      </w:r>
      <w:r>
        <w:rPr>
          <w:rFonts w:hint="eastAsia" w:ascii="宋体" w:hAnsi="宋体"/>
        </w:rPr>
        <w:t>×</w:t>
      </w:r>
      <w:r>
        <w:rPr>
          <w:rFonts w:hint="eastAsia"/>
        </w:rPr>
        <w:t>10</w:t>
      </w:r>
      <w:r>
        <w:rPr>
          <w:rFonts w:hint="eastAsia"/>
          <w:vertAlign w:val="superscript"/>
        </w:rPr>
        <w:t>4</w:t>
      </w:r>
      <w:r>
        <w:rPr>
          <w:rFonts w:hint="eastAsia"/>
        </w:rPr>
        <w:t>Nm</w:t>
      </w:r>
      <w:r>
        <w:rPr>
          <w:rFonts w:hint="eastAsia"/>
          <w:vertAlign w:val="superscript"/>
        </w:rPr>
        <w:t>3</w:t>
      </w:r>
      <w:r>
        <w:rPr>
          <w:rFonts w:hint="eastAsia"/>
        </w:rPr>
        <w:t>/a，纯度为9</w:t>
      </w:r>
      <w:r>
        <w:t>8.145</w:t>
      </w:r>
      <w:r>
        <w:rPr>
          <w:rFonts w:hint="eastAsia"/>
        </w:rPr>
        <w:t>%，密度为1</w:t>
      </w:r>
      <w:r>
        <w:t>.973</w:t>
      </w:r>
      <w:r>
        <w:rPr>
          <w:rFonts w:hint="eastAsia"/>
        </w:rPr>
        <w:t>g</w:t>
      </w:r>
      <w:r>
        <w:t>/</w:t>
      </w:r>
      <w:r>
        <w:rPr>
          <w:rFonts w:hint="eastAsia"/>
        </w:rPr>
        <w:t>L；回收干冰和食品级液态CO</w:t>
      </w:r>
      <w:r>
        <w:rPr>
          <w:vertAlign w:val="subscript"/>
        </w:rPr>
        <w:t>2</w:t>
      </w:r>
      <w:r>
        <w:rPr>
          <w:rFonts w:hint="eastAsia"/>
        </w:rPr>
        <w:t>约2</w:t>
      </w:r>
      <w:r>
        <w:t>.97614</w:t>
      </w:r>
      <w:r>
        <w:rPr>
          <w:rFonts w:hint="eastAsia" w:ascii="宋体" w:hAnsi="宋体"/>
        </w:rPr>
        <w:t>×</w:t>
      </w:r>
      <w:r>
        <w:rPr>
          <w:rFonts w:hint="eastAsia"/>
        </w:rPr>
        <w:t>10</w:t>
      </w:r>
      <w:r>
        <w:rPr>
          <w:rFonts w:hint="eastAsia"/>
          <w:vertAlign w:val="superscript"/>
        </w:rPr>
        <w:t>4</w:t>
      </w:r>
      <w:r>
        <w:rPr>
          <w:rFonts w:hint="eastAsia"/>
        </w:rPr>
        <w:t>t/a，纯度</w:t>
      </w:r>
      <w:r>
        <w:rPr>
          <w:rFonts w:hint="eastAsia" w:ascii="宋体" w:hAnsi="宋体"/>
        </w:rPr>
        <w:t>≥</w:t>
      </w:r>
      <w:r>
        <w:rPr>
          <w:rFonts w:hint="eastAsia"/>
        </w:rPr>
        <w:t>9</w:t>
      </w:r>
      <w:r>
        <w:t>9.9</w:t>
      </w:r>
      <w:r>
        <w:rPr>
          <w:rFonts w:hint="eastAsia"/>
        </w:rPr>
        <w:t>%；回收工业级液态CO</w:t>
      </w:r>
      <w:r>
        <w:rPr>
          <w:vertAlign w:val="subscript"/>
        </w:rPr>
        <w:t>2</w:t>
      </w:r>
      <w:r>
        <w:rPr>
          <w:rFonts w:hint="eastAsia"/>
        </w:rPr>
        <w:t>约</w:t>
      </w:r>
      <w:r>
        <w:t>4.86788</w:t>
      </w:r>
      <w:r>
        <w:rPr>
          <w:rFonts w:hint="eastAsia" w:ascii="宋体" w:hAnsi="宋体"/>
        </w:rPr>
        <w:t>×</w:t>
      </w:r>
      <w:r>
        <w:rPr>
          <w:rFonts w:hint="eastAsia"/>
        </w:rPr>
        <w:t>10</w:t>
      </w:r>
      <w:r>
        <w:rPr>
          <w:rFonts w:hint="eastAsia"/>
          <w:vertAlign w:val="superscript"/>
        </w:rPr>
        <w:t>4</w:t>
      </w:r>
      <w:r>
        <w:rPr>
          <w:rFonts w:hint="eastAsia"/>
        </w:rPr>
        <w:t>t/a，纯度</w:t>
      </w:r>
      <w:r>
        <w:rPr>
          <w:rFonts w:hint="eastAsia" w:ascii="宋体" w:hAnsi="宋体"/>
        </w:rPr>
        <w:t>≥</w:t>
      </w:r>
      <w:r>
        <w:rPr>
          <w:rFonts w:hint="eastAsia"/>
        </w:rPr>
        <w:t>9</w:t>
      </w:r>
      <w:r>
        <w:t>9.9</w:t>
      </w:r>
      <w:r>
        <w:rPr>
          <w:rFonts w:hint="eastAsia"/>
        </w:rPr>
        <w:t>%。</w:t>
      </w:r>
    </w:p>
    <w:p>
      <w:pPr>
        <w:ind w:firstLine="480"/>
      </w:pPr>
      <w:r>
        <w:rPr>
          <w:rFonts w:hint="eastAsia"/>
        </w:rPr>
        <w:t>综上，拟建项目年回收且外供的二氧化碳量为1</w:t>
      </w:r>
      <w:r>
        <w:t>55817.7</w:t>
      </w:r>
      <w:r>
        <w:rPr>
          <w:rFonts w:hint="eastAsia"/>
        </w:rPr>
        <w:t xml:space="preserve"> tCO</w:t>
      </w:r>
      <w:r>
        <w:rPr>
          <w:rFonts w:hint="eastAsia"/>
          <w:vertAlign w:val="subscript"/>
        </w:rPr>
        <w:t>2</w:t>
      </w:r>
      <w:r>
        <w:rPr>
          <w:rFonts w:hint="eastAsia"/>
        </w:rPr>
        <w:t>。</w:t>
      </w:r>
    </w:p>
    <w:p>
      <w:pPr>
        <w:pStyle w:val="4"/>
        <w:spacing w:before="163" w:after="163"/>
      </w:pPr>
      <w:bookmarkStart w:id="223" w:name="_Toc84844382"/>
      <w:r>
        <w:rPr>
          <w:rFonts w:hint="eastAsia"/>
        </w:rPr>
        <w:t>10.2.5碳排放总量</w:t>
      </w:r>
      <w:bookmarkEnd w:id="223"/>
    </w:p>
    <w:p>
      <w:pPr>
        <w:ind w:firstLine="480"/>
        <w:jc w:val="left"/>
        <w:rPr>
          <w:rFonts w:eastAsiaTheme="majorEastAsia"/>
        </w:rPr>
      </w:pPr>
      <w:r>
        <w:rPr>
          <w:rFonts w:eastAsiaTheme="majorEastAsia"/>
        </w:rPr>
        <w:t>本项目碳排放总量计算见公式：</w:t>
      </w:r>
    </w:p>
    <w:p>
      <w:pPr>
        <w:spacing w:line="600" w:lineRule="exact"/>
        <w:ind w:right="480" w:firstLine="480"/>
        <w:jc w:val="center"/>
        <w:rPr>
          <w:rFonts w:eastAsiaTheme="majorEastAsia"/>
        </w:rPr>
      </w:pPr>
      <w:r>
        <w:rPr>
          <w:rFonts w:eastAsiaTheme="majorEastAsia"/>
          <w:i/>
          <w:iCs/>
        </w:rPr>
        <w:t xml:space="preserve">   AE</w:t>
      </w:r>
      <w:r>
        <w:rPr>
          <w:rFonts w:eastAsiaTheme="majorEastAsia"/>
          <w:vertAlign w:val="subscript"/>
        </w:rPr>
        <w:t>总</w:t>
      </w:r>
      <w:r>
        <w:rPr>
          <w:rFonts w:eastAsiaTheme="majorEastAsia"/>
        </w:rPr>
        <w:t xml:space="preserve">= </w:t>
      </w:r>
      <w:r>
        <w:rPr>
          <w:rFonts w:eastAsiaTheme="majorEastAsia"/>
          <w:i/>
          <w:iCs/>
        </w:rPr>
        <w:t>AE</w:t>
      </w:r>
      <w:r>
        <w:rPr>
          <w:rFonts w:eastAsiaTheme="majorEastAsia"/>
          <w:vertAlign w:val="subscript"/>
        </w:rPr>
        <w:t>燃料燃烧</w:t>
      </w:r>
      <w:r>
        <w:rPr>
          <w:rFonts w:eastAsiaTheme="majorEastAsia"/>
        </w:rPr>
        <w:t xml:space="preserve">+ </w:t>
      </w:r>
      <w:r>
        <w:rPr>
          <w:rFonts w:eastAsiaTheme="majorEastAsia"/>
          <w:i/>
          <w:iCs/>
        </w:rPr>
        <w:t>AE</w:t>
      </w:r>
      <w:r>
        <w:rPr>
          <w:rFonts w:eastAsiaTheme="majorEastAsia"/>
          <w:vertAlign w:val="subscript"/>
        </w:rPr>
        <w:t>工业生产过程</w:t>
      </w:r>
      <w:r>
        <w:rPr>
          <w:rFonts w:eastAsiaTheme="majorEastAsia"/>
        </w:rPr>
        <w:t xml:space="preserve">+ </w:t>
      </w:r>
      <w:r>
        <w:rPr>
          <w:rFonts w:eastAsiaTheme="majorEastAsia"/>
          <w:i/>
          <w:iCs/>
        </w:rPr>
        <w:t>AE</w:t>
      </w:r>
      <w:r>
        <w:rPr>
          <w:rFonts w:eastAsiaTheme="majorEastAsia"/>
          <w:vertAlign w:val="subscript"/>
        </w:rPr>
        <w:t>净调入电力和热力</w:t>
      </w:r>
      <w:r>
        <w:rPr>
          <w:rFonts w:eastAsiaTheme="majorEastAsia"/>
        </w:rPr>
        <w:t xml:space="preserve"> </w:t>
      </w:r>
    </w:p>
    <w:p>
      <w:pPr>
        <w:spacing w:line="600" w:lineRule="exact"/>
        <w:ind w:firstLine="480"/>
        <w:jc w:val="left"/>
        <w:rPr>
          <w:rFonts w:eastAsiaTheme="majorEastAsia"/>
        </w:rPr>
      </w:pPr>
      <w:r>
        <w:rPr>
          <w:rFonts w:eastAsiaTheme="majorEastAsia"/>
        </w:rPr>
        <w:t>式中：</w:t>
      </w:r>
    </w:p>
    <w:p>
      <w:pPr>
        <w:ind w:firstLine="960" w:firstLineChars="400"/>
      </w:pPr>
      <w:r>
        <w:rPr>
          <w:i/>
          <w:iCs/>
        </w:rPr>
        <w:t>AE</w:t>
      </w:r>
      <w:r>
        <w:rPr>
          <w:vertAlign w:val="subscript"/>
        </w:rPr>
        <w:t>总</w:t>
      </w:r>
      <w:r>
        <w:t>—碳排放总量（tCO</w:t>
      </w:r>
      <w:r>
        <w:rPr>
          <w:vertAlign w:val="subscript"/>
        </w:rPr>
        <w:t>2</w:t>
      </w:r>
      <w:r>
        <w:t>e）；</w:t>
      </w:r>
    </w:p>
    <w:p>
      <w:pPr>
        <w:ind w:firstLine="960" w:firstLineChars="400"/>
      </w:pPr>
      <w:r>
        <w:rPr>
          <w:i/>
          <w:iCs/>
        </w:rPr>
        <w:t>AE</w:t>
      </w:r>
      <w:r>
        <w:rPr>
          <w:vertAlign w:val="subscript"/>
        </w:rPr>
        <w:t>燃料燃烧</w:t>
      </w:r>
      <w:r>
        <w:t>—燃料燃烧碳排放量（tCO</w:t>
      </w:r>
      <w:r>
        <w:rPr>
          <w:vertAlign w:val="subscript"/>
        </w:rPr>
        <w:t>2</w:t>
      </w:r>
      <w:r>
        <w:t>e）；</w:t>
      </w:r>
    </w:p>
    <w:p>
      <w:pPr>
        <w:ind w:firstLine="960" w:firstLineChars="400"/>
      </w:pPr>
      <w:r>
        <w:rPr>
          <w:i/>
          <w:iCs/>
        </w:rPr>
        <w:t>AE</w:t>
      </w:r>
      <w:r>
        <w:rPr>
          <w:vertAlign w:val="subscript"/>
        </w:rPr>
        <w:t>工业生产过程</w:t>
      </w:r>
      <w:r>
        <w:t>—工业生产过程碳排放量（tCO</w:t>
      </w:r>
      <w:r>
        <w:rPr>
          <w:vertAlign w:val="subscript"/>
        </w:rPr>
        <w:t>2</w:t>
      </w:r>
      <w:r>
        <w:t>e）；</w:t>
      </w:r>
    </w:p>
    <w:p>
      <w:pPr>
        <w:ind w:firstLine="960" w:firstLineChars="400"/>
      </w:pPr>
      <w:r>
        <w:rPr>
          <w:i/>
          <w:iCs/>
        </w:rPr>
        <w:t>AE</w:t>
      </w:r>
      <w:r>
        <w:rPr>
          <w:vertAlign w:val="subscript"/>
        </w:rPr>
        <w:t>净调入电力和热力</w:t>
      </w:r>
      <w:r>
        <w:t>—净调入电力和热力消耗碳排放总量（tCO</w:t>
      </w:r>
      <w:r>
        <w:rPr>
          <w:vertAlign w:val="subscript"/>
        </w:rPr>
        <w:t>2</w:t>
      </w:r>
      <w:r>
        <w:t>e）。</w:t>
      </w:r>
    </w:p>
    <w:p>
      <w:pPr>
        <w:ind w:firstLine="480"/>
      </w:pPr>
      <w:r>
        <w:rPr>
          <w:rFonts w:hint="eastAsia"/>
        </w:rPr>
        <w:t>经计算，拟建项目燃料燃烧、工业生产过程和净调入电量</w:t>
      </w:r>
      <w:r>
        <w:rPr>
          <w:rFonts w:eastAsiaTheme="majorEastAsia"/>
        </w:rPr>
        <w:t>碳排放量</w:t>
      </w:r>
      <w:r>
        <w:rPr>
          <w:rFonts w:hint="eastAsia" w:eastAsiaTheme="majorEastAsia"/>
        </w:rPr>
        <w:t>310334.3</w:t>
      </w:r>
      <w:r>
        <w:t>tCO</w:t>
      </w:r>
      <w:r>
        <w:rPr>
          <w:vertAlign w:val="subscript"/>
        </w:rPr>
        <w:t>2</w:t>
      </w:r>
      <w:r>
        <w:t>e</w:t>
      </w:r>
      <w:r>
        <w:rPr>
          <w:rFonts w:hint="eastAsia"/>
        </w:rPr>
        <w:t>，年回收且外供的二氧化碳量为1</w:t>
      </w:r>
      <w:r>
        <w:t>55817.7</w:t>
      </w:r>
      <w:r>
        <w:rPr>
          <w:rFonts w:hint="eastAsia"/>
        </w:rPr>
        <w:t xml:space="preserve"> tCO</w:t>
      </w:r>
      <w:r>
        <w:rPr>
          <w:rFonts w:hint="eastAsia"/>
          <w:vertAlign w:val="subscript"/>
        </w:rPr>
        <w:t>2</w:t>
      </w:r>
      <w:r>
        <w:rPr>
          <w:rFonts w:hint="eastAsia" w:eastAsiaTheme="majorEastAsia"/>
        </w:rPr>
        <w:t>，则本工程</w:t>
      </w:r>
      <w:r>
        <w:rPr>
          <w:rFonts w:eastAsiaTheme="majorEastAsia"/>
        </w:rPr>
        <w:t>碳排放总</w:t>
      </w:r>
      <w:r>
        <w:rPr>
          <w:rFonts w:hint="eastAsia" w:eastAsiaTheme="majorEastAsia"/>
        </w:rPr>
        <w:t>量154516.6</w:t>
      </w:r>
      <w:r>
        <w:t>CO</w:t>
      </w:r>
      <w:r>
        <w:rPr>
          <w:vertAlign w:val="subscript"/>
        </w:rPr>
        <w:t>2</w:t>
      </w:r>
      <w:r>
        <w:t>e</w:t>
      </w:r>
      <w:r>
        <w:rPr>
          <w:rFonts w:hint="eastAsia"/>
        </w:rPr>
        <w:t>。</w:t>
      </w:r>
    </w:p>
    <w:p>
      <w:pPr>
        <w:pStyle w:val="3"/>
        <w:spacing w:before="163" w:after="163"/>
      </w:pPr>
      <w:bookmarkStart w:id="224" w:name="_Toc84844383"/>
      <w:r>
        <w:rPr>
          <w:rFonts w:hint="eastAsia"/>
        </w:rPr>
        <w:t>10.3碳排放预测与评价</w:t>
      </w:r>
      <w:bookmarkEnd w:id="224"/>
    </w:p>
    <w:p>
      <w:pPr>
        <w:pStyle w:val="4"/>
        <w:spacing w:before="163" w:after="163"/>
      </w:pPr>
      <w:bookmarkStart w:id="225" w:name="_Toc84844384"/>
      <w:r>
        <w:rPr>
          <w:rFonts w:hint="eastAsia"/>
        </w:rPr>
        <w:t>10.3.1碳排放强度</w:t>
      </w:r>
      <w:bookmarkEnd w:id="225"/>
    </w:p>
    <w:p>
      <w:pPr>
        <w:ind w:firstLine="480"/>
      </w:pPr>
      <w:r>
        <w:rPr>
          <w:rFonts w:hint="eastAsia"/>
        </w:rPr>
        <w:t>根据业主提供资料，本项目满负荷运行工业增加值为52581万元，碳排放总量为</w:t>
      </w:r>
      <w:r>
        <w:rPr>
          <w:rFonts w:hint="eastAsia" w:eastAsiaTheme="majorEastAsia"/>
        </w:rPr>
        <w:t>154516.6</w:t>
      </w:r>
      <w:r>
        <w:t>tCO</w:t>
      </w:r>
      <w:r>
        <w:rPr>
          <w:vertAlign w:val="subscript"/>
        </w:rPr>
        <w:t>2</w:t>
      </w:r>
      <w:r>
        <w:t>e</w:t>
      </w:r>
      <w:r>
        <w:rPr>
          <w:rFonts w:hint="eastAsia"/>
        </w:rPr>
        <w:t>，则本项目</w:t>
      </w:r>
      <w:bookmarkStart w:id="226" w:name="OLE_LINK13"/>
      <w:bookmarkStart w:id="227" w:name="OLE_LINK12"/>
      <w:r>
        <w:rPr>
          <w:rFonts w:hint="eastAsia"/>
        </w:rPr>
        <w:t>单位工业增加值碳排放为2.94</w:t>
      </w:r>
      <w:r>
        <w:t>tCO</w:t>
      </w:r>
      <w:r>
        <w:rPr>
          <w:vertAlign w:val="subscript"/>
        </w:rPr>
        <w:t>2</w:t>
      </w:r>
      <w:r>
        <w:t xml:space="preserve"> e /万元</w:t>
      </w:r>
      <w:bookmarkEnd w:id="226"/>
      <w:bookmarkEnd w:id="227"/>
      <w:r>
        <w:rPr>
          <w:rFonts w:hint="eastAsia"/>
        </w:rPr>
        <w:t>。</w:t>
      </w:r>
    </w:p>
    <w:p>
      <w:pPr>
        <w:pStyle w:val="4"/>
        <w:spacing w:before="163" w:after="163"/>
      </w:pPr>
      <w:bookmarkStart w:id="228" w:name="_Toc84844385"/>
      <w:r>
        <w:rPr>
          <w:rFonts w:hint="eastAsia"/>
        </w:rPr>
        <w:t>10.3.2碳排放评价</w:t>
      </w:r>
      <w:bookmarkEnd w:id="228"/>
    </w:p>
    <w:p>
      <w:pPr>
        <w:ind w:firstLine="480"/>
      </w:pPr>
      <w:r>
        <w:rPr>
          <w:rFonts w:hint="eastAsia"/>
        </w:rPr>
        <w:t>本项目属于化学原料和化学制品制造业，参照浙江省生态环境厅《浙江省建设项目碳排放评价编制指南（试行）（征求意见稿）》附录五 表5行业单位工业增加值碳排放参考值 7 化工 化学原料和化学制品制造业26 单位增加碳排放3.44吨二氧化碳/万元，经比较，本项目单位增加值碳排放强度为2.94</w:t>
      </w:r>
      <w:r>
        <w:t>tCO</w:t>
      </w:r>
      <w:r>
        <w:rPr>
          <w:vertAlign w:val="subscript"/>
        </w:rPr>
        <w:t>2</w:t>
      </w:r>
      <w:r>
        <w:t xml:space="preserve"> e /万元</w:t>
      </w:r>
      <w:r>
        <w:rPr>
          <w:rFonts w:hint="eastAsia"/>
        </w:rPr>
        <w:t>，低于参照执行的同行业单位增加值碳排放水平，处于领先水平。</w:t>
      </w:r>
    </w:p>
    <w:p>
      <w:pPr>
        <w:pStyle w:val="3"/>
        <w:spacing w:before="163" w:after="163"/>
      </w:pPr>
      <w:bookmarkStart w:id="229" w:name="_Toc84844386"/>
      <w:r>
        <w:rPr>
          <w:rFonts w:hint="eastAsia"/>
        </w:rPr>
        <w:t>10.4碳减排潜力分析及建议</w:t>
      </w:r>
      <w:bookmarkEnd w:id="229"/>
    </w:p>
    <w:p>
      <w:pPr>
        <w:pStyle w:val="4"/>
        <w:spacing w:before="163" w:after="163"/>
      </w:pPr>
      <w:bookmarkStart w:id="230" w:name="_Toc84844387"/>
      <w:r>
        <w:rPr>
          <w:rFonts w:hint="eastAsia"/>
        </w:rPr>
        <w:t>10.4.1碳减排潜力分析</w:t>
      </w:r>
      <w:bookmarkEnd w:id="230"/>
    </w:p>
    <w:p>
      <w:pPr>
        <w:ind w:firstLine="480"/>
      </w:pPr>
      <w:r>
        <w:rPr>
          <w:rFonts w:hint="eastAsia"/>
        </w:rPr>
        <w:t>拟建项目清洁生产水平处于国内清洁生产先进水平，针对重点耗能工艺、重点耗能设备，采取有效节能措施；优先选用高效节能设备、节能灯具、节水器具等节能新产品。所采用的节能新技术、新工艺、新产品符合国家、行业及地方明文规定的要求，节能效益显著。</w:t>
      </w:r>
    </w:p>
    <w:p>
      <w:pPr>
        <w:ind w:firstLine="480"/>
      </w:pPr>
      <w:r>
        <w:rPr>
          <w:rFonts w:hint="eastAsia"/>
        </w:rPr>
        <w:t>本项目的碳排放源主要包括燃料燃烧排放、过程排放、购入电力排放，同时设置二氧化碳回收装置，针对过程排放二氧化碳进行回收外供。根据碳排放核算结果可知，对碳排放结果影响最大的为燃料燃烧排放。</w:t>
      </w:r>
    </w:p>
    <w:p>
      <w:pPr>
        <w:ind w:firstLine="480"/>
      </w:pPr>
      <w:r>
        <w:rPr>
          <w:rFonts w:hint="eastAsia"/>
        </w:rPr>
        <w:t>本项目通过采用各种先进技术，大量降低物料消耗、减少生产中各种污染物的产生和排放；工艺流程紧凑、合理、顺畅，最大限度的缩短中间环节物流运距，节约投资和运行成本，并在工艺设计、设备选型、建筑材料、电气系统、节能管理等各方面均采用了一系列节能措施。项目符合产业政策要求，能较好地节约能源及改善产业发展。产品达到相关质量标准。</w:t>
      </w:r>
    </w:p>
    <w:p>
      <w:pPr>
        <w:pStyle w:val="4"/>
        <w:spacing w:before="163" w:after="163"/>
      </w:pPr>
      <w:bookmarkStart w:id="231" w:name="_Toc84844388"/>
      <w:r>
        <w:rPr>
          <w:rFonts w:hint="eastAsia"/>
        </w:rPr>
        <w:t>10.4.2碳排放管理措施</w:t>
      </w:r>
      <w:bookmarkEnd w:id="231"/>
    </w:p>
    <w:p>
      <w:pPr>
        <w:pStyle w:val="5"/>
        <w:spacing w:before="163" w:after="163"/>
      </w:pPr>
      <w:r>
        <w:rPr>
          <w:rFonts w:hint="eastAsia"/>
        </w:rPr>
        <w:t>10.4.</w:t>
      </w:r>
      <w:r>
        <w:t>2.1</w:t>
      </w:r>
      <w:r>
        <w:rPr>
          <w:rFonts w:hint="eastAsia"/>
        </w:rPr>
        <w:t>组织管理</w:t>
      </w:r>
    </w:p>
    <w:p>
      <w:pPr>
        <w:ind w:firstLine="480"/>
      </w:pPr>
      <w:r>
        <w:rPr>
          <w:rFonts w:hint="eastAsia"/>
        </w:rPr>
        <w:t>（1）建立制度：为规范企业碳管理工作，结合自身生产管理实际情况，建立碳管理制度，包括但不限于建立企业碳管理工作组织体系；明确各岗位职责及权限范围；明确战略管理、碳排放管理、碳资产管理、信息公开等具体内容；明确各事项审批流程及时限；明确管理制度的时效性。</w:t>
      </w:r>
    </w:p>
    <w:p>
      <w:pPr>
        <w:ind w:firstLine="480"/>
      </w:pPr>
      <w:r>
        <w:rPr>
          <w:rFonts w:hint="eastAsia"/>
        </w:rPr>
        <w:t>（2）能力培养：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pPr>
        <w:ind w:firstLine="480"/>
      </w:pPr>
      <w:r>
        <w:rPr>
          <w:rFonts w:hint="eastAsia"/>
        </w:rPr>
        <w:t>（3）意识培养：</w:t>
      </w:r>
    </w:p>
    <w:p>
      <w:pPr>
        <w:ind w:firstLine="480"/>
      </w:pPr>
      <w:r>
        <w:rPr>
          <w:rFonts w:hint="eastAsia"/>
        </w:rPr>
        <w:t>企业应采取措施，使全体人员都意识到：实施企业碳管理工作的重要性；降低碳排放、提高碳排放绩效给企业带来的效益，以及个人工作改进能带来的碳排放绩效；偏离碳管理制度规定运行程序的潜在后果。</w:t>
      </w:r>
    </w:p>
    <w:p>
      <w:pPr>
        <w:pStyle w:val="4"/>
        <w:spacing w:before="163" w:after="163"/>
      </w:pPr>
      <w:bookmarkStart w:id="232" w:name="_Toc84844389"/>
      <w:r>
        <w:rPr>
          <w:rFonts w:hint="eastAsia"/>
        </w:rPr>
        <w:t>10.4.2</w:t>
      </w:r>
      <w:r>
        <w:t>.2</w:t>
      </w:r>
      <w:r>
        <w:rPr>
          <w:rFonts w:hint="eastAsia"/>
        </w:rPr>
        <w:t>排放管理</w:t>
      </w:r>
      <w:bookmarkEnd w:id="232"/>
    </w:p>
    <w:p>
      <w:pPr>
        <w:ind w:firstLine="480"/>
      </w:pPr>
      <w:r>
        <w:rPr>
          <w:rFonts w:hint="eastAsia"/>
        </w:rPr>
        <w:t>（</w:t>
      </w:r>
      <w:r>
        <w:t>1</w:t>
      </w:r>
      <w:r>
        <w:rPr>
          <w:rFonts w:hint="eastAsia"/>
        </w:rPr>
        <w:t>）监测管理：企业应根据自身的生产工艺和国家、地方相关部门发布的技术指南的有关要求，确保对其运行中的决定碳排放绩效的关键特性进行定期监视、测量和分析，关键特性至少应包括但不限于：排放源设施、各碳源流数据、具备实测条件的与排放因子相关的数据、碳排放相关数据和生产相关数据获取方式、数据的准确性。</w:t>
      </w:r>
    </w:p>
    <w:p>
      <w:pPr>
        <w:ind w:firstLine="480"/>
      </w:pPr>
      <w:r>
        <w:rPr>
          <w:rFonts w:hint="eastAsia"/>
        </w:rPr>
        <w:t>企业应对监视和测量获取的相关数据进行分析，应开展以下工作：a) 规范碳排放数据的整理和分析；b) 对数据来源进行分类整理；c) 对排放因子及相关参数的监测数据进行分类整理；d) 对数据进行处理并进行统计分析；e) 形成数据分析报告并存档。</w:t>
      </w:r>
    </w:p>
    <w:p>
      <w:pPr>
        <w:ind w:firstLine="480"/>
      </w:pPr>
      <w:r>
        <w:rPr>
          <w:rFonts w:hint="eastAsia"/>
        </w:rPr>
        <w:t>（2）报告管理：企业应基于碳排放核算的结果编写碳排放报告，并对其进行校核。</w:t>
      </w:r>
    </w:p>
    <w:p>
      <w:pPr>
        <w:ind w:firstLine="480"/>
      </w:pPr>
      <w:r>
        <w:rPr>
          <w:rFonts w:hint="eastAsia"/>
        </w:rPr>
        <w:t>核算报告编写应符合主管部门所规定的格式要求，对经过内部质量控制的核算结果进行确认形成最终企业盖章的碳排放报告，并按要求提交给主管部门1 份，本企业存档1份。</w:t>
      </w:r>
    </w:p>
    <w:p>
      <w:pPr>
        <w:ind w:firstLine="480"/>
      </w:pPr>
      <w:r>
        <w:rPr>
          <w:rFonts w:hint="eastAsia"/>
        </w:rPr>
        <w:t>企业碳排放报告存档时间宜与《企业碳排放核查工作规范》（DB50/T 700）对于核查机构记录保存时间要求保持一致，不低于5年。</w:t>
      </w:r>
    </w:p>
    <w:p>
      <w:pPr>
        <w:ind w:firstLine="480"/>
      </w:pPr>
      <w:r>
        <w:rPr>
          <w:rFonts w:hint="eastAsia"/>
        </w:rPr>
        <w:t>（3）信息公开：企业应按照主管部门相关要求和规定，核算并上报企业碳排放情况。鼓励企业选择合适的自发性披露渠道和方式，面向社会发布企业碳排放情况。</w:t>
      </w:r>
    </w:p>
    <w:p>
      <w:pPr>
        <w:pStyle w:val="4"/>
        <w:spacing w:before="163" w:after="163"/>
      </w:pPr>
      <w:bookmarkStart w:id="233" w:name="_Toc84844390"/>
      <w:r>
        <w:rPr>
          <w:rFonts w:hint="eastAsia"/>
        </w:rPr>
        <w:t>10.4.3碳减排建议</w:t>
      </w:r>
      <w:bookmarkEnd w:id="233"/>
    </w:p>
    <w:p>
      <w:pPr>
        <w:ind w:firstLine="480"/>
      </w:pPr>
      <w:r>
        <w:rPr>
          <w:rFonts w:hint="eastAsia"/>
        </w:rPr>
        <w:t>结合工艺特点，本工程采取以下节能减排措施：</w:t>
      </w:r>
    </w:p>
    <w:p>
      <w:pPr>
        <w:ind w:firstLine="480"/>
      </w:pPr>
      <w:r>
        <w:rPr>
          <w:rFonts w:hint="eastAsia"/>
        </w:rPr>
        <w:t>（1）转化采用顶烧式一段转化炉，设备结构紧凑，热量损失小，同时在一段炉对流段设置了多组预热盘管，使排烟温度降低到130℃左右，从而提高了一段炉总效率，一段炉的设计热效率大于91%，减少燃料天然气的吨氨消耗量。</w:t>
      </w:r>
    </w:p>
    <w:p>
      <w:pPr>
        <w:ind w:firstLine="480"/>
      </w:pPr>
      <w:r>
        <w:rPr>
          <w:rFonts w:hint="eastAsia"/>
        </w:rPr>
        <w:t>（2）利用转化气、高变气的高位能余热副产中压蒸汽，过热后供给本装置做汽提蒸汽及工艺蒸汽，正常生产时不需要外界输入蒸汽，节约能耗。</w:t>
      </w:r>
    </w:p>
    <w:p>
      <w:pPr>
        <w:ind w:firstLine="480"/>
      </w:pPr>
      <w:r>
        <w:rPr>
          <w:rFonts w:hint="eastAsia"/>
        </w:rPr>
        <w:t>（3）采用工艺冷凝液中压汽提，汽提蒸汽作为工艺蒸汽，汽提后的工艺冷凝液回收到脱盐水系统使用，经脱盐水装置处理后，作为热交换器给水，减少了脱盐水的补充量；既节约了用水又减少了污染。</w:t>
      </w:r>
    </w:p>
    <w:p>
      <w:pPr>
        <w:ind w:firstLine="480"/>
      </w:pPr>
      <w:r>
        <w:rPr>
          <w:rFonts w:hint="eastAsia"/>
        </w:rPr>
        <w:t>（4）采用低能耗的PSA法脱碳，降低能耗。</w:t>
      </w:r>
    </w:p>
    <w:p>
      <w:pPr>
        <w:ind w:firstLine="480"/>
      </w:pPr>
      <w:r>
        <w:rPr>
          <w:rFonts w:hint="eastAsia"/>
        </w:rPr>
        <w:t>（5）合成采用14.0MPa低压合成工艺，减少合成气压缩功；合成塔出口设置蒸汽过热器及热交换器回收热量，产生中压过热蒸汽。</w:t>
      </w:r>
    </w:p>
    <w:p>
      <w:pPr>
        <w:ind w:firstLine="480"/>
      </w:pPr>
      <w:r>
        <w:rPr>
          <w:rFonts w:hint="eastAsia"/>
        </w:rPr>
        <w:t>（6）采用膜分离法回收甲醇弛放气中的氢，回收氢后的弛放气尾气送一段蒸汽转化炉作为原料，将其高含量的甲烷再转化为H</w:t>
      </w:r>
      <w:r>
        <w:rPr>
          <w:rFonts w:hint="eastAsia"/>
          <w:vertAlign w:val="subscript"/>
        </w:rPr>
        <w:t>2</w:t>
      </w:r>
      <w:r>
        <w:rPr>
          <w:rFonts w:hint="eastAsia"/>
        </w:rPr>
        <w:t>及CO,以降低原料天然气的用量；回收的氢送至PSA提氢单元，提纯出高纯度H</w:t>
      </w:r>
      <w:r>
        <w:rPr>
          <w:rFonts w:hint="eastAsia"/>
          <w:vertAlign w:val="subscript"/>
        </w:rPr>
        <w:t>2</w:t>
      </w:r>
      <w:r>
        <w:rPr>
          <w:rFonts w:hint="eastAsia"/>
        </w:rPr>
        <w:t>（99.9%V）送入合成系统。这样既可达到增加氨产量，又可节能。</w:t>
      </w:r>
    </w:p>
    <w:p>
      <w:pPr>
        <w:ind w:firstLine="480"/>
      </w:pPr>
      <w:r>
        <w:rPr>
          <w:rFonts w:hint="eastAsia"/>
        </w:rPr>
        <w:t>（7）工艺生产装置余（废）热，尽量由工艺装置回收，只有在没有回收价值的情况下，才用冷却水冷却，从而减少冷却水的耗用量；</w:t>
      </w:r>
    </w:p>
    <w:p>
      <w:pPr>
        <w:ind w:firstLine="480"/>
      </w:pPr>
      <w:r>
        <w:rPr>
          <w:rFonts w:hint="eastAsia"/>
        </w:rPr>
        <w:t>（8）装置中设置了工艺余热发电系统，将无法利用的工艺低位能热用于发电，即节约了电耗又节约了循环冷却水的消耗。</w:t>
      </w:r>
    </w:p>
    <w:p>
      <w:pPr>
        <w:ind w:firstLine="480"/>
      </w:pPr>
      <w:r>
        <w:rPr>
          <w:rFonts w:hint="eastAsia"/>
        </w:rPr>
        <w:t>（9）对水、汽、气采用流量计量便于能源管理。</w:t>
      </w:r>
    </w:p>
    <w:p>
      <w:pPr>
        <w:ind w:firstLine="480"/>
      </w:pPr>
      <w:r>
        <w:rPr>
          <w:rFonts w:hint="eastAsia"/>
        </w:rPr>
        <w:t>（10）在换热器的设计上采用高效、低压降换热器，以提高效率，减少能耗；在机泵的选用上，选用高效机泵，提高设备效率。</w:t>
      </w:r>
    </w:p>
    <w:p>
      <w:pPr>
        <w:ind w:firstLine="480"/>
      </w:pPr>
      <w:r>
        <w:rPr>
          <w:rFonts w:hint="eastAsia"/>
        </w:rPr>
        <w:t>(11)在控制方案上，采用先进的自动控制系统，使得各系统在优化条件下操作，提高全厂的用能水平。</w:t>
      </w:r>
    </w:p>
    <w:p>
      <w:pPr>
        <w:ind w:firstLine="480"/>
      </w:pPr>
      <w:r>
        <w:rPr>
          <w:rFonts w:hint="eastAsia"/>
        </w:rPr>
        <w:t>(12)加强设备及管道隔热和保温等措施，对所有高温设备及管线均选用优质保温材料，减少散热，提高装置及系统的热回收率。</w:t>
      </w:r>
    </w:p>
    <w:p>
      <w:pPr>
        <w:ind w:firstLine="480"/>
      </w:pPr>
      <w:r>
        <w:rPr>
          <w:rFonts w:hint="eastAsia"/>
        </w:rPr>
        <w:t>（13）装置中还采用新型设备、新型保温材料等节能措施，以节省能耗。</w:t>
      </w:r>
    </w:p>
    <w:p>
      <w:pPr>
        <w:pStyle w:val="3"/>
        <w:spacing w:before="163" w:after="163"/>
      </w:pPr>
      <w:bookmarkStart w:id="234" w:name="_Toc84844391"/>
      <w:r>
        <w:rPr>
          <w:rFonts w:hint="eastAsia"/>
        </w:rPr>
        <w:t>10.5小结</w:t>
      </w:r>
      <w:bookmarkEnd w:id="234"/>
    </w:p>
    <w:p>
      <w:pPr>
        <w:ind w:firstLine="480"/>
      </w:pPr>
      <w:r>
        <w:rPr>
          <w:rFonts w:hint="eastAsia"/>
        </w:rPr>
        <w:t>本项目以企业法人独立核算单位为边界，核算生产系统产生的温室气体排放。碳排放源主要包括燃料燃烧排放、过程排放、购入电力排放，同时设置二氧化碳回收装置，针对过程排放二氧化碳进行回收外供。根据碳排放核算结果可知，本工程碳排放总量为</w:t>
      </w:r>
      <w:r>
        <w:rPr>
          <w:rFonts w:hint="eastAsia" w:eastAsiaTheme="majorEastAsia"/>
        </w:rPr>
        <w:t>154516.6</w:t>
      </w:r>
      <w:r>
        <w:rPr>
          <w:rFonts w:hint="eastAsia"/>
        </w:rPr>
        <w:t xml:space="preserve"> tCO</w:t>
      </w:r>
      <w:r>
        <w:rPr>
          <w:rFonts w:hint="eastAsia"/>
          <w:vertAlign w:val="subscript"/>
        </w:rPr>
        <w:t>2</w:t>
      </w:r>
      <w:r>
        <w:rPr>
          <w:rFonts w:hint="eastAsia"/>
        </w:rPr>
        <w:t>e，主要为燃料燃烧排放和购入电力排放；单位工业增加值碳排放为2.94</w:t>
      </w:r>
      <w:r>
        <w:t>tCO</w:t>
      </w:r>
      <w:r>
        <w:rPr>
          <w:vertAlign w:val="subscript"/>
        </w:rPr>
        <w:t>2</w:t>
      </w:r>
      <w:r>
        <w:t xml:space="preserve"> e /万元</w:t>
      </w:r>
      <w:r>
        <w:rPr>
          <w:rFonts w:hint="eastAsia"/>
        </w:rPr>
        <w:t>。</w:t>
      </w:r>
    </w:p>
    <w:p>
      <w:pPr>
        <w:ind w:firstLine="480"/>
      </w:pPr>
      <w:r>
        <w:rPr>
          <w:rFonts w:hint="eastAsia"/>
        </w:rPr>
        <w:t>本工程在工艺设计、设备选型、建筑材料、节能管理等方面，均采取了一系列节能措施，以实现生产过程中各个环节的节能降耗，碳排放强度达到同行业领先水平。</w:t>
      </w:r>
    </w:p>
    <w:p>
      <w:pPr>
        <w:ind w:firstLine="480"/>
      </w:pPr>
    </w:p>
    <w:bookmarkEnd w:id="216"/>
    <w:p>
      <w:pPr>
        <w:pStyle w:val="2"/>
        <w:spacing w:before="163" w:after="163"/>
        <w:sectPr>
          <w:pgSz w:w="11906" w:h="16838"/>
          <w:pgMar w:top="1440" w:right="1800" w:bottom="1440" w:left="1800" w:header="851" w:footer="992" w:gutter="0"/>
          <w:cols w:space="425" w:num="1"/>
          <w:docGrid w:type="lines" w:linePitch="326" w:charSpace="0"/>
        </w:sectPr>
      </w:pPr>
    </w:p>
    <w:p>
      <w:pPr>
        <w:pStyle w:val="2"/>
        <w:spacing w:before="163" w:after="163"/>
      </w:pPr>
      <w:bookmarkStart w:id="235" w:name="_Toc84844392"/>
      <w:r>
        <w:rPr>
          <w:rFonts w:hint="eastAsia"/>
        </w:rPr>
        <w:t>11结论与建议</w:t>
      </w:r>
      <w:bookmarkEnd w:id="235"/>
    </w:p>
    <w:p>
      <w:pPr>
        <w:pStyle w:val="3"/>
        <w:spacing w:before="163" w:after="163"/>
      </w:pPr>
      <w:bookmarkStart w:id="236" w:name="_Toc84844393"/>
      <w:r>
        <w:rPr>
          <w:rFonts w:hint="eastAsia"/>
        </w:rPr>
        <w:t>11.1结论</w:t>
      </w:r>
      <w:bookmarkEnd w:id="236"/>
    </w:p>
    <w:p>
      <w:pPr>
        <w:pStyle w:val="4"/>
        <w:spacing w:before="163" w:after="163"/>
      </w:pPr>
      <w:bookmarkStart w:id="237" w:name="_Toc84844394"/>
      <w:r>
        <w:rPr>
          <w:rFonts w:hint="eastAsia"/>
        </w:rPr>
        <w:t>11.1.1项目概况</w:t>
      </w:r>
      <w:bookmarkEnd w:id="237"/>
    </w:p>
    <w:p>
      <w:pPr>
        <w:ind w:firstLine="480"/>
      </w:pPr>
      <w:r>
        <w:rPr>
          <w:rFonts w:hint="eastAsia"/>
        </w:rPr>
        <w:t>重庆建峰化工股份有限公司利用化工尾气制20万吨/年合成氨循环经济项目选址于重庆（长寿）经济技术开发区，占地面积35016m</w:t>
      </w:r>
      <w:r>
        <w:rPr>
          <w:rFonts w:hint="eastAsia"/>
          <w:vertAlign w:val="superscript"/>
        </w:rPr>
        <w:t>2</w:t>
      </w:r>
      <w:r>
        <w:rPr>
          <w:rFonts w:hint="eastAsia"/>
        </w:rPr>
        <w:t>，主要建设内容包括合成氨装置和CO</w:t>
      </w:r>
      <w:r>
        <w:rPr>
          <w:rFonts w:hint="eastAsia"/>
          <w:vertAlign w:val="subscript"/>
        </w:rPr>
        <w:t>2</w:t>
      </w:r>
      <w:r>
        <w:rPr>
          <w:rFonts w:hint="eastAsia"/>
        </w:rPr>
        <w:t>回收液化装置各一套，配套设置分析化验室、中央控制室和配电室等公辅工程，废水处理站和危险废物暂存间等环保工程；另外，本项目循环水系统、脱盐水系统、液氨储罐和事故应急火炬系统依托重庆化医恩力吉投资有限责任公司现有设施。</w:t>
      </w:r>
    </w:p>
    <w:p>
      <w:pPr>
        <w:ind w:firstLine="480"/>
      </w:pPr>
      <w:r>
        <w:rPr>
          <w:rFonts w:hint="eastAsia"/>
        </w:rPr>
        <w:t>拟建项目总投资60986万元，其中包括环保投资218万元，建成后形成合成氨20万t/a、CO</w:t>
      </w:r>
      <w:r>
        <w:rPr>
          <w:rFonts w:hint="eastAsia"/>
          <w:vertAlign w:val="subscript"/>
        </w:rPr>
        <w:t>2</w:t>
      </w:r>
      <w:r>
        <w:rPr>
          <w:rFonts w:hint="eastAsia"/>
        </w:rPr>
        <w:t>10.24万t/a的生产规模。项目新增劳动定员80人，生产车间实行四班三运转，每班8小时，年生产8000h。</w:t>
      </w:r>
    </w:p>
    <w:p>
      <w:pPr>
        <w:pStyle w:val="4"/>
        <w:spacing w:before="163" w:after="163"/>
      </w:pPr>
      <w:bookmarkStart w:id="238" w:name="_Toc84844395"/>
      <w:r>
        <w:rPr>
          <w:rFonts w:hint="eastAsia"/>
        </w:rPr>
        <w:t>11.1.2选址合理性及产业政策符合性分析</w:t>
      </w:r>
      <w:bookmarkEnd w:id="238"/>
    </w:p>
    <w:p>
      <w:pPr>
        <w:ind w:firstLine="480"/>
      </w:pPr>
      <w:r>
        <w:t>（</w:t>
      </w:r>
      <w:r>
        <w:rPr>
          <w:rFonts w:hint="eastAsia"/>
        </w:rPr>
        <w:t>1</w:t>
      </w:r>
      <w:r>
        <w:t>）产业政策符合性</w:t>
      </w:r>
    </w:p>
    <w:p>
      <w:pPr>
        <w:ind w:firstLine="480"/>
      </w:pPr>
      <w:r>
        <w:rPr>
          <w:rFonts w:hint="eastAsia"/>
        </w:rPr>
        <w:t>拟建项目综合利用卡贝乐公司甲醇装置弛放气、补充部分天然气为原料合成氨，天然气制气工序采用脱硫、一段蒸汽转化、2.9MPa条件下高温变换工艺制气。</w:t>
      </w:r>
      <w:r>
        <w:t>根据</w:t>
      </w:r>
      <w:r>
        <w:rPr>
          <w:rFonts w:hint="eastAsia"/>
        </w:rPr>
        <w:t>《产业结构调整指导目录 （2019年本）》（中华人民共和国国家发展和改革委员会令第29号），</w:t>
      </w:r>
      <w:r>
        <w:t>不属于指导目录中“限制类”和“淘汰类”项目，属于允许类项目；并且</w:t>
      </w:r>
      <w:r>
        <w:rPr>
          <w:rFonts w:hint="eastAsia"/>
        </w:rPr>
        <w:t>该项目已经重庆市长寿区发展和改革委员会</w:t>
      </w:r>
      <w:r>
        <w:t>备案</w:t>
      </w:r>
      <w:r>
        <w:rPr>
          <w:rFonts w:hint="eastAsia"/>
        </w:rPr>
        <w:t>（2019-500115-26-03-103990）。</w:t>
      </w:r>
    </w:p>
    <w:p>
      <w:pPr>
        <w:ind w:firstLine="480"/>
      </w:pPr>
      <w:r>
        <w:t>因此，拟建项目的建设符合国家产业政策要求。</w:t>
      </w:r>
    </w:p>
    <w:p>
      <w:pPr>
        <w:ind w:firstLine="480"/>
      </w:pPr>
      <w:r>
        <w:rPr>
          <w:rFonts w:hint="eastAsia"/>
        </w:rPr>
        <w:t>（2）规划符合性及选址合理性</w:t>
      </w:r>
    </w:p>
    <w:p>
      <w:pPr>
        <w:ind w:firstLine="480"/>
      </w:pPr>
      <w:r>
        <w:rPr>
          <w:rFonts w:hint="eastAsia"/>
        </w:rPr>
        <w:t>拟建项目选址于重庆（长寿）经济技术开发区晏家组团G标准分区，</w:t>
      </w:r>
      <w:r>
        <w:t>符合《重庆市产业投资准入工作手册》</w:t>
      </w:r>
      <w:r>
        <w:rPr>
          <w:rFonts w:hint="eastAsia"/>
        </w:rPr>
        <w:t>、《重庆市长江经济带发展负面清单实施细则（试行）》</w:t>
      </w:r>
      <w:r>
        <w:t>和重庆市工业项目环境准入规定，符合《重庆市长寿区城乡总体规划》，满足《重庆市长寿经济技术开发区规划环境影响报告书》及审查意见中产业规划及</w:t>
      </w:r>
      <w:r>
        <w:rPr>
          <w:rFonts w:hint="eastAsia"/>
        </w:rPr>
        <w:t>“</w:t>
      </w:r>
      <w:r>
        <w:t>三线一单</w:t>
      </w:r>
      <w:r>
        <w:rPr>
          <w:rFonts w:hint="eastAsia"/>
        </w:rPr>
        <w:t>”管理</w:t>
      </w:r>
      <w:r>
        <w:t>要求</w:t>
      </w:r>
      <w:r>
        <w:rPr>
          <w:rFonts w:hint="eastAsia"/>
        </w:rPr>
        <w:t>，项目符合相关环保政策和规划；同时拟建项目所在区域环境质量较好，有环境容量；项目所排污染物均实现达标排放；项目完成后，评价区域环境质量维持现状，仍能满足环境质量标准及功能区划要求。项目总平面布置合理，风险可控，从环境保护的角度考虑拟建项目选址合理。</w:t>
      </w:r>
    </w:p>
    <w:p>
      <w:pPr>
        <w:pStyle w:val="4"/>
        <w:spacing w:before="163" w:after="163"/>
      </w:pPr>
      <w:bookmarkStart w:id="239" w:name="_Toc84844396"/>
      <w:r>
        <w:rPr>
          <w:rFonts w:hint="eastAsia"/>
        </w:rPr>
        <w:t>11.1.3环境质量现状</w:t>
      </w:r>
      <w:bookmarkEnd w:id="239"/>
    </w:p>
    <w:p>
      <w:pPr>
        <w:ind w:firstLine="480"/>
      </w:pPr>
      <w:r>
        <w:t>（1）环境空气</w:t>
      </w:r>
    </w:p>
    <w:p>
      <w:pPr>
        <w:ind w:firstLine="480"/>
      </w:pPr>
      <w:r>
        <w:t>根据</w:t>
      </w:r>
      <w:r>
        <w:rPr>
          <w:rFonts w:hint="eastAsia"/>
        </w:rPr>
        <w:t>《2020重庆市环境状况公报》</w:t>
      </w:r>
      <w:r>
        <w:t>，长寿区大气环境PM</w:t>
      </w:r>
      <w:r>
        <w:rPr>
          <w:vertAlign w:val="subscript"/>
        </w:rPr>
        <w:t>10</w:t>
      </w:r>
      <w:r>
        <w:t>、PM</w:t>
      </w:r>
      <w:r>
        <w:rPr>
          <w:vertAlign w:val="subscript"/>
        </w:rPr>
        <w:t>2.5</w:t>
      </w:r>
      <w:r>
        <w:rPr>
          <w:rFonts w:hint="eastAsia"/>
        </w:rPr>
        <w:t>、</w:t>
      </w:r>
      <w:r>
        <w:t>SO</w:t>
      </w:r>
      <w:r>
        <w:rPr>
          <w:vertAlign w:val="subscript"/>
        </w:rPr>
        <w:t>2</w:t>
      </w:r>
      <w:r>
        <w:t>、NO</w:t>
      </w:r>
      <w:r>
        <w:rPr>
          <w:vertAlign w:val="subscript"/>
        </w:rPr>
        <w:t>2</w:t>
      </w:r>
      <w:r>
        <w:t>、O</w:t>
      </w:r>
      <w:r>
        <w:rPr>
          <w:vertAlign w:val="subscript"/>
        </w:rPr>
        <w:t>3</w:t>
      </w:r>
      <w:r>
        <w:t>、CO 满足《环境空气质量标准》(GB3095-2012)二级标准</w:t>
      </w:r>
      <w:r>
        <w:rPr>
          <w:rFonts w:hint="eastAsia"/>
        </w:rPr>
        <w:t>，属于达标区</w:t>
      </w:r>
      <w:r>
        <w:t>。</w:t>
      </w:r>
    </w:p>
    <w:p>
      <w:pPr>
        <w:ind w:firstLine="480"/>
      </w:pPr>
      <w:r>
        <w:t>环境空气</w:t>
      </w:r>
      <w:r>
        <w:rPr>
          <w:rFonts w:hint="eastAsia"/>
        </w:rPr>
        <w:t>特征因子氨和非甲烷总烃引用《监测报告》（渝环（监）字[2020]第PJ1-3号）中A4管委会办公区对面附近和A8云天化聚甲醛项目位置附近数据进行环境空气质量现状评价，</w:t>
      </w:r>
      <w:r>
        <w:t>监测结果表明</w:t>
      </w:r>
      <w:r>
        <w:rPr>
          <w:rFonts w:hint="eastAsia"/>
        </w:rPr>
        <w:t>：各监测点的氨小时平均值浓度值和TVOC8小时平均值均满足《环境影响评价技术导则大气环境》（HJ/2.2-2018）附录D浓度参考限值；非甲烷总烃小时平均浓度监测结果满足《环境空气质量非甲烷总烃限值》（DB13/1577-2012）要求。</w:t>
      </w:r>
      <w:r>
        <w:t>项目所在地环境空气质量现状较好。</w:t>
      </w:r>
    </w:p>
    <w:p>
      <w:pPr>
        <w:ind w:firstLine="480"/>
      </w:pPr>
      <w:r>
        <w:rPr>
          <w:rFonts w:hint="eastAsia"/>
        </w:rPr>
        <w:t>（2）地表水</w:t>
      </w:r>
    </w:p>
    <w:p>
      <w:pPr>
        <w:ind w:firstLine="480"/>
      </w:pPr>
      <w:r>
        <w:rPr>
          <w:rFonts w:hint="eastAsia"/>
        </w:rPr>
        <w:t>本次评价引用</w:t>
      </w:r>
      <w:r>
        <w:t>《监测报告》（渝环（监）字[20</w:t>
      </w:r>
      <w:r>
        <w:rPr>
          <w:rFonts w:hint="eastAsia"/>
        </w:rPr>
        <w:t>20</w:t>
      </w:r>
      <w:r>
        <w:t>]第PJ1</w:t>
      </w:r>
      <w:r>
        <w:rPr>
          <w:rFonts w:hint="eastAsia"/>
        </w:rPr>
        <w:t>-</w:t>
      </w:r>
      <w:r>
        <w:t>1号）中</w:t>
      </w:r>
      <w:r>
        <w:rPr>
          <w:rFonts w:hint="eastAsia"/>
        </w:rPr>
        <w:t>1#扇沱断面和2#三峡水务长寿排水公司排口下游长江大桥附近断面</w:t>
      </w:r>
      <w:r>
        <w:t>进行区域地表水环境质量现状评价。</w:t>
      </w:r>
      <w:r>
        <w:rPr>
          <w:rFonts w:hint="eastAsia"/>
        </w:rPr>
        <w:t>评价结果：1#扇沱断面和2#三峡水务长寿排水公司排口下游长江大桥附近断面</w:t>
      </w:r>
      <w:r>
        <w:t>各项监测指标Si值均小于1，满足《地表水环境质量标准》（GB3838-2002）III标准的要求</w:t>
      </w:r>
      <w:r>
        <w:rPr>
          <w:rFonts w:hint="eastAsia"/>
        </w:rPr>
        <w:t>。各监测断面均</w:t>
      </w:r>
      <w:r>
        <w:t>有一定的环境容量。</w:t>
      </w:r>
    </w:p>
    <w:p>
      <w:pPr>
        <w:ind w:firstLine="480"/>
      </w:pPr>
      <w:r>
        <w:rPr>
          <w:rFonts w:hint="eastAsia"/>
        </w:rPr>
        <w:t>（</w:t>
      </w:r>
      <w:r>
        <w:t>3</w:t>
      </w:r>
      <w:r>
        <w:rPr>
          <w:rFonts w:hint="eastAsia"/>
        </w:rPr>
        <w:t>）地下水</w:t>
      </w:r>
    </w:p>
    <w:p>
      <w:pPr>
        <w:ind w:firstLine="480"/>
      </w:pPr>
      <w:r>
        <w:t>评价</w:t>
      </w:r>
      <w:r>
        <w:rPr>
          <w:rFonts w:hint="eastAsia"/>
        </w:rPr>
        <w:t>引用</w:t>
      </w:r>
      <w:r>
        <w:t>《监测报告》（渝环（监）字【20</w:t>
      </w:r>
      <w:r>
        <w:rPr>
          <w:rFonts w:hint="eastAsia"/>
        </w:rPr>
        <w:t>20</w:t>
      </w:r>
      <w:r>
        <w:t>】第PJ1</w:t>
      </w:r>
      <w:r>
        <w:rPr>
          <w:rFonts w:hint="eastAsia"/>
        </w:rPr>
        <w:t>-4</w:t>
      </w:r>
      <w:r>
        <w:t>号）中的数据进行区域地表水环境质量现状评价。监测结果表明</w:t>
      </w:r>
      <w:r>
        <w:rPr>
          <w:rFonts w:hint="eastAsia"/>
        </w:rPr>
        <w:t>：</w:t>
      </w:r>
      <w:r>
        <w:t>评价区域内地下水的钾、钠、钙、镁等八大离子含量均在正常范围内，确定该调查区地下水类型为HCO</w:t>
      </w:r>
      <w:r>
        <w:rPr>
          <w:vertAlign w:val="subscript"/>
        </w:rPr>
        <w:t>3</w:t>
      </w:r>
      <w:r>
        <w:t>-Ca•Mg型水；</w:t>
      </w:r>
      <w:r>
        <w:rPr>
          <w:rFonts w:hint="eastAsia"/>
        </w:rPr>
        <w:t>监测结果表明：评价引用各监测点</w:t>
      </w:r>
      <w:r>
        <w:t>各项监测指标的</w:t>
      </w:r>
      <w:r>
        <w:rPr>
          <w:rFonts w:hint="eastAsia"/>
        </w:rPr>
        <w:t>P</w:t>
      </w:r>
      <w:r>
        <w:t>i值均</w:t>
      </w:r>
      <w:r>
        <w:rPr>
          <w:rFonts w:hint="eastAsia"/>
        </w:rPr>
        <w:t>不大于</w:t>
      </w:r>
      <w:r>
        <w:t>1，</w:t>
      </w:r>
      <w:r>
        <w:rPr>
          <w:rFonts w:hint="eastAsia"/>
        </w:rPr>
        <w:t>各监测指标均满足</w:t>
      </w:r>
      <w:r>
        <w:t>《地下水质量标准》（GB/T14848-2017）</w:t>
      </w:r>
      <w:r>
        <w:rPr>
          <w:kern w:val="0"/>
        </w:rPr>
        <w:fldChar w:fldCharType="begin"/>
      </w:r>
      <w:r>
        <w:rPr>
          <w:kern w:val="0"/>
        </w:rPr>
        <w:instrText xml:space="preserve">= 3 \* ROMAN</w:instrText>
      </w:r>
      <w:r>
        <w:rPr>
          <w:kern w:val="0"/>
        </w:rPr>
        <w:fldChar w:fldCharType="separate"/>
      </w:r>
      <w:r>
        <w:rPr>
          <w:kern w:val="0"/>
        </w:rPr>
        <w:t>III</w:t>
      </w:r>
      <w:r>
        <w:rPr>
          <w:kern w:val="0"/>
        </w:rPr>
        <w:fldChar w:fldCharType="end"/>
      </w:r>
      <w:r>
        <w:t>类标准要求，项目</w:t>
      </w:r>
      <w:r>
        <w:rPr>
          <w:rFonts w:hint="eastAsia"/>
        </w:rPr>
        <w:t>所在区域</w:t>
      </w:r>
      <w:r>
        <w:t>地下水环境质量较好。</w:t>
      </w:r>
    </w:p>
    <w:p>
      <w:pPr>
        <w:ind w:firstLine="480"/>
      </w:pPr>
      <w:r>
        <w:rPr>
          <w:rFonts w:hint="eastAsia"/>
        </w:rPr>
        <w:t>（4）声环境</w:t>
      </w:r>
    </w:p>
    <w:p>
      <w:pPr>
        <w:ind w:firstLine="480"/>
      </w:pPr>
      <w:r>
        <w:rPr>
          <w:rFonts w:hint="eastAsia"/>
        </w:rPr>
        <w:t>本次</w:t>
      </w:r>
      <w:r>
        <w:t>评价对拟建项目场地声环境质量进行实测，根据现场监测结果，</w:t>
      </w:r>
      <w:r>
        <w:rPr>
          <w:rFonts w:hint="eastAsia"/>
        </w:rPr>
        <w:t>各监测点</w:t>
      </w:r>
      <w:r>
        <w:t>声环境质量现状监测值昼间、夜间均满足《声环境质量标准》（GB3096-2008）中3类标准要求，项目所在地声环境质量现状较好。</w:t>
      </w:r>
    </w:p>
    <w:p>
      <w:pPr>
        <w:ind w:firstLine="480"/>
      </w:pPr>
      <w:r>
        <w:t>（5）土壤</w:t>
      </w:r>
    </w:p>
    <w:p>
      <w:pPr>
        <w:ind w:firstLine="480"/>
      </w:pPr>
      <w:r>
        <w:rPr>
          <w:rFonts w:hint="eastAsia"/>
        </w:rPr>
        <w:t>拟建项目评价范围用地性质属于建设用地，从监测及评价结果可见，占地范围内</w:t>
      </w:r>
      <w:r>
        <w:t>表层、柱状样点和</w:t>
      </w:r>
      <w:r>
        <w:rPr>
          <w:rFonts w:hint="eastAsia"/>
        </w:rPr>
        <w:t>占地范围外表层样点</w:t>
      </w:r>
      <w:r>
        <w:t>各监测因子浓度均低于《土壤环境质量建设用地土壤污染风险管控标准（试行）》（GB36600-2018）表1筛选值的要求，土壤环境质量现状较好。</w:t>
      </w:r>
    </w:p>
    <w:p>
      <w:pPr>
        <w:pStyle w:val="4"/>
        <w:spacing w:before="163" w:after="163"/>
      </w:pPr>
      <w:bookmarkStart w:id="240" w:name="_Toc84844397"/>
      <w:r>
        <w:rPr>
          <w:rFonts w:hint="eastAsia"/>
        </w:rPr>
        <w:t>11.1.4污染防治措施及污染物排放情况</w:t>
      </w:r>
      <w:bookmarkEnd w:id="240"/>
    </w:p>
    <w:p>
      <w:pPr>
        <w:ind w:firstLine="480"/>
      </w:pPr>
      <w:r>
        <w:t>（1）废气</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一段转化炉烟气：拟建项目一段转化炉以天然气、CO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废水处理站臭气和危废暂存间废气：废水处理站调节池、SBR生化池、污泥浓缩池等产臭构筑物加盖密闭，臭气管道集中收集；危废暂存间设置抽排风系统，废气集中收集，与废水处理站臭气一并经采用“活性炭吸附”处理达标后，经15高排气筒排放。</w:t>
      </w:r>
    </w:p>
    <w:p>
      <w:pPr>
        <w:ind w:firstLine="480"/>
      </w:pPr>
      <w:r>
        <w:rPr>
          <w:rFonts w:hint="eastAsia"/>
        </w:rPr>
        <w:t>主要污染物排放情况：颗粒物13.81t/a、NOx103.6t/a、SO</w:t>
      </w:r>
      <w:r>
        <w:rPr>
          <w:rFonts w:hint="eastAsia"/>
          <w:vertAlign w:val="subscript"/>
        </w:rPr>
        <w:t>2</w:t>
      </w:r>
      <w:r>
        <w:rPr>
          <w:rFonts w:hint="eastAsia"/>
        </w:rPr>
        <w:t>6.88t/a、氨0.5t/a。</w:t>
      </w:r>
    </w:p>
    <w:p>
      <w:pPr>
        <w:ind w:firstLine="480"/>
      </w:pPr>
      <w:r>
        <w:rPr>
          <w:rFonts w:hint="eastAsia"/>
        </w:rPr>
        <w:t>（2）废水</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hint="eastAsia"/>
        </w:rPr>
        <w:t>另外，拟建项目设热交换器，排水量约280.8m</w:t>
      </w:r>
      <w:r>
        <w:rPr>
          <w:rFonts w:hint="eastAsia"/>
          <w:vertAlign w:val="superscript"/>
        </w:rPr>
        <w:t>3</w:t>
      </w:r>
      <w:r>
        <w:rPr>
          <w:rFonts w:hint="eastAsia"/>
        </w:rPr>
        <w:t>/d，经清下水管网集中收集至厂区雨水总排口，经雨水排口排入园区雨水系统；脱盐水和循环冷却水依托恩力吉公司现有装置，脱盐水系统排水和循环水系统排水共计1081.03 m</w:t>
      </w:r>
      <w:r>
        <w:rPr>
          <w:rFonts w:hint="eastAsia"/>
          <w:vertAlign w:val="superscript"/>
        </w:rPr>
        <w:t>3</w:t>
      </w:r>
      <w:r>
        <w:rPr>
          <w:rFonts w:hint="eastAsia"/>
        </w:rPr>
        <w:t>/d，依托恩力吉公司现有清下水管网集中收集，排入园区雨水系统。</w:t>
      </w:r>
    </w:p>
    <w:p>
      <w:pPr>
        <w:ind w:firstLine="480"/>
      </w:pPr>
      <w:r>
        <w:rPr>
          <w:rFonts w:hint="eastAsia"/>
        </w:rPr>
        <w:t>主要污染物排放情况：</w:t>
      </w:r>
      <w:r>
        <w:t>COD：</w:t>
      </w:r>
      <w:r>
        <w:rPr>
          <w:rFonts w:hint="eastAsia"/>
        </w:rPr>
        <w:t>0.282</w:t>
      </w:r>
      <w:r>
        <w:t>t/a、</w:t>
      </w:r>
      <w:r>
        <w:rPr>
          <w:rFonts w:hint="eastAsia"/>
        </w:rPr>
        <w:t>BOD</w:t>
      </w:r>
      <w:r>
        <w:rPr>
          <w:rFonts w:hint="eastAsia"/>
          <w:vertAlign w:val="subscript"/>
        </w:rPr>
        <w:t>5</w:t>
      </w:r>
      <w:r>
        <w:rPr>
          <w:rFonts w:hint="eastAsia"/>
        </w:rPr>
        <w:t>：0.049t/a、</w:t>
      </w:r>
      <w:r>
        <w:t>SS：</w:t>
      </w:r>
      <w:r>
        <w:rPr>
          <w:rFonts w:hint="eastAsia"/>
        </w:rPr>
        <w:t>0.328</w:t>
      </w:r>
      <w:r>
        <w:t>t/a、NH</w:t>
      </w:r>
      <w:r>
        <w:rPr>
          <w:vertAlign w:val="subscript"/>
        </w:rPr>
        <w:t>3</w:t>
      </w:r>
      <w:r>
        <w:t>-N：</w:t>
      </w:r>
      <w:r>
        <w:rPr>
          <w:rFonts w:hint="eastAsia"/>
        </w:rPr>
        <w:t>0.0.047</w:t>
      </w:r>
      <w:r>
        <w:t>t/a、</w:t>
      </w:r>
      <w:r>
        <w:rPr>
          <w:rFonts w:hint="eastAsia"/>
        </w:rPr>
        <w:t>石油类：0.007t/a</w:t>
      </w:r>
      <w:r>
        <w:t>。</w:t>
      </w:r>
    </w:p>
    <w:p>
      <w:pPr>
        <w:ind w:firstLine="480"/>
      </w:pPr>
      <w:r>
        <w:rPr>
          <w:rFonts w:hint="eastAsia"/>
        </w:rPr>
        <w:t>（3）固体废物</w:t>
      </w:r>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ind w:firstLine="480"/>
      </w:pPr>
      <w:r>
        <w:rPr>
          <w:rFonts w:hint="eastAsia"/>
        </w:rPr>
        <w:t>（4）噪声</w:t>
      </w:r>
    </w:p>
    <w:p>
      <w:pPr>
        <w:ind w:firstLine="480"/>
      </w:pPr>
      <w:r>
        <w:rPr>
          <w:rFonts w:hint="eastAsia"/>
        </w:rPr>
        <w:t>拟建项目主要的噪声源有风机、压缩机、制冷机、各类泵等机械设备，噪声值在85～100dB（A）之间，选用低噪声设备的基础上，各类泵、压缩机机座加减震垫、作防震基础；风机减振、隔震、设消声器；绿化降噪。</w:t>
      </w:r>
    </w:p>
    <w:p>
      <w:pPr>
        <w:ind w:firstLine="480"/>
      </w:pPr>
      <w:r>
        <w:rPr>
          <w:rFonts w:hint="eastAsia"/>
        </w:rPr>
        <w:t>（5）地下水</w:t>
      </w:r>
    </w:p>
    <w:p>
      <w:pPr>
        <w:ind w:firstLine="480"/>
      </w:pPr>
      <w:r>
        <w:rPr>
          <w:rFonts w:hint="eastAsia"/>
        </w:rPr>
        <w:t>按照“源头控制、分区防治、污染监控、应急响应”相结合的原则，从污染物的产生、入渗、扩散、应急响应全方位进行控制。</w:t>
      </w:r>
    </w:p>
    <w:p>
      <w:pPr>
        <w:ind w:firstLine="480"/>
      </w:pPr>
      <w:r>
        <w:rPr>
          <w:rFonts w:hint="eastAsia"/>
        </w:rPr>
        <w:t>重点防渗区包括生产装置区、储罐区、废水处理站、危废暂存间和事故池等区域，防渗层的防渗性能不应低于6.0m厚渗透系数为1.0×10</w:t>
      </w:r>
      <w:r>
        <w:rPr>
          <w:rFonts w:hint="eastAsia"/>
          <w:vertAlign w:val="superscript"/>
        </w:rPr>
        <w:t>-7</w:t>
      </w:r>
      <w:r>
        <w:rPr>
          <w:rFonts w:hint="eastAsia"/>
        </w:rPr>
        <w:t>cm/s的黏土层的防渗性能；一般污染防治区包括综合楼以及重点污染防治区域附近区域，防渗层的防渗性能不应低于1.5m厚渗透系数1.0×10</w:t>
      </w:r>
      <w:r>
        <w:rPr>
          <w:rFonts w:hint="eastAsia"/>
          <w:vertAlign w:val="superscript"/>
        </w:rPr>
        <w:t>-7</w:t>
      </w:r>
      <w:r>
        <w:rPr>
          <w:rFonts w:hint="eastAsia"/>
        </w:rPr>
        <w:t>cm/s的黏土层的防渗性能。</w:t>
      </w:r>
    </w:p>
    <w:p>
      <w:pPr>
        <w:ind w:firstLine="480"/>
      </w:pPr>
      <w:r>
        <w:rPr>
          <w:rFonts w:hint="eastAsia"/>
        </w:rPr>
        <w:t>设施按要求建设完成后，应安排专人定期检查各设施的防渗情况，出现破损应及时修复，避免出现污染物渗漏的情况。</w:t>
      </w:r>
    </w:p>
    <w:p>
      <w:pPr>
        <w:ind w:firstLine="480"/>
      </w:pPr>
      <w:r>
        <w:rPr>
          <w:rFonts w:hint="eastAsia"/>
        </w:rPr>
        <w:t>组织应急救援队伍，制定应急响应程序。</w:t>
      </w:r>
    </w:p>
    <w:p>
      <w:pPr>
        <w:ind w:firstLine="480"/>
      </w:pPr>
      <w:r>
        <w:rPr>
          <w:rFonts w:hint="eastAsia"/>
        </w:rPr>
        <w:t>在场地内、厂区边界的上、下游处设置地下水监控井共3个，定时监测地下水中各种污染物含量，发现问题及时启动应急预案、采取应急措施控制地下水污染。</w:t>
      </w:r>
    </w:p>
    <w:p>
      <w:pPr>
        <w:ind w:firstLine="480"/>
      </w:pPr>
      <w:r>
        <w:rPr>
          <w:rFonts w:hint="eastAsia"/>
        </w:rPr>
        <w:t>（6）土壤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拟建项目厂区内设置废水两级防控，生产装置区设围堤和导流设施，一旦发生事故性泄漏、遇明火发生火灾爆炸，事故废水可被截流在围堤内，围堤收集能力不够时可通过管道排至事故池，然后根据实际情况分批排入废水处理站处理达标后排放；设置雨水管网和雨污切换阀，保证可能受污染的初期雨水排至至厂内事故水池。全面防控事故废水和可能受污染的雨水发生地面漫流，进入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拟建项目针对厂区制定分区防渗，对生产装置区、废水处理站、危废暂存间和事故池等区域采取重点防渗；对综合楼以及重点污染防治区域附近区域采取一般防渗；对厂区道路等采用一般地面硬化。</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跟踪监测：对厂区范围内的土壤定期监测，发现土壤污染时，及时查找泄漏源，防止污染源的进一步下渗，必要时对已污染的土壤进行替换或修复。基于建设项目现状监测点设置兼顾土壤环境影响跟踪监测计划的原则，环评建议在厂区内合成氨装置区旁设置土壤跟踪监测点，拟建项目相关的监测因子主要为：氨，监测频次为1次/5年。</w:t>
      </w:r>
    </w:p>
    <w:p>
      <w:pPr>
        <w:pStyle w:val="4"/>
        <w:spacing w:before="163" w:after="163"/>
      </w:pPr>
      <w:bookmarkStart w:id="241" w:name="_Toc84844398"/>
      <w:r>
        <w:rPr>
          <w:rFonts w:hint="eastAsia"/>
        </w:rPr>
        <w:t>11.1.5主要环境保护措施及环境影响</w:t>
      </w:r>
      <w:bookmarkEnd w:id="241"/>
    </w:p>
    <w:p>
      <w:pPr>
        <w:ind w:firstLine="480"/>
      </w:pPr>
      <w:r>
        <w:rPr>
          <w:rFonts w:hint="eastAsia"/>
        </w:rPr>
        <w:t>（1）废气</w:t>
      </w:r>
    </w:p>
    <w:p>
      <w:pPr>
        <w:ind w:firstLine="480"/>
      </w:pPr>
      <w:r>
        <w:rPr>
          <w:rFonts w:hint="eastAsia"/>
        </w:rPr>
        <w:t>拟建项目废气主要为一段转化炉烟气、废水处理站臭气、危废暂存间废气和无组织排放废气。</w:t>
      </w:r>
    </w:p>
    <w:p>
      <w:pPr>
        <w:ind w:firstLine="480"/>
      </w:pPr>
      <w:r>
        <w:rPr>
          <w:rFonts w:hint="eastAsia"/>
        </w:rPr>
        <w:t>一段转化炉烟气：拟建项目一段转化炉以天然气、CO</w:t>
      </w:r>
      <w:r>
        <w:rPr>
          <w:rFonts w:hint="eastAsia"/>
          <w:vertAlign w:val="subscript"/>
        </w:rPr>
        <w:t>2</w:t>
      </w:r>
      <w:r>
        <w:rPr>
          <w:rFonts w:hint="eastAsia"/>
        </w:rPr>
        <w:t>液化装置解析气（主要成分为CH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和CO</w:t>
      </w:r>
      <w:r>
        <w:rPr>
          <w:rFonts w:hint="eastAsia"/>
          <w:vertAlign w:val="subscript"/>
        </w:rPr>
        <w:t>2</w:t>
      </w:r>
      <w:r>
        <w:rPr>
          <w:rFonts w:hint="eastAsia"/>
        </w:rPr>
        <w:t>等）、氨洗塔尾气（主要成分为NH</w:t>
      </w:r>
      <w:r>
        <w:rPr>
          <w:rFonts w:hint="eastAsia"/>
          <w:vertAlign w:val="subscript"/>
        </w:rPr>
        <w:t>3</w:t>
      </w:r>
      <w:r>
        <w:rPr>
          <w:rFonts w:hint="eastAsia"/>
        </w:rPr>
        <w:t>、N</w:t>
      </w:r>
      <w:r>
        <w:rPr>
          <w:rFonts w:hint="eastAsia"/>
          <w:vertAlign w:val="subscript"/>
        </w:rPr>
        <w:t>2</w:t>
      </w:r>
      <w:r>
        <w:rPr>
          <w:rFonts w:hint="eastAsia"/>
        </w:rPr>
        <w:t>、H</w:t>
      </w:r>
      <w:r>
        <w:rPr>
          <w:rFonts w:hint="eastAsia"/>
          <w:vertAlign w:val="subscript"/>
        </w:rPr>
        <w:t>2</w:t>
      </w:r>
      <w:r>
        <w:rPr>
          <w:rFonts w:hint="eastAsia"/>
        </w:rPr>
        <w:t>以及惰性气体等）和PSA吸附器解析气（主要成分为CH</w:t>
      </w:r>
      <w:r>
        <w:rPr>
          <w:rFonts w:hint="eastAsia"/>
          <w:vertAlign w:val="subscript"/>
        </w:rPr>
        <w:t>4</w:t>
      </w:r>
      <w:r>
        <w:rPr>
          <w:rFonts w:hint="eastAsia"/>
        </w:rPr>
        <w:t>、CO、N</w:t>
      </w:r>
      <w:r>
        <w:rPr>
          <w:rFonts w:hint="eastAsia"/>
          <w:vertAlign w:val="subscript"/>
        </w:rPr>
        <w:t>2</w:t>
      </w:r>
      <w:r>
        <w:rPr>
          <w:rFonts w:hint="eastAsia"/>
        </w:rPr>
        <w:t>、H</w:t>
      </w:r>
      <w:r>
        <w:rPr>
          <w:rFonts w:hint="eastAsia"/>
          <w:vertAlign w:val="subscript"/>
        </w:rPr>
        <w:t>2</w:t>
      </w:r>
      <w:r>
        <w:rPr>
          <w:rFonts w:hint="eastAsia"/>
        </w:rPr>
        <w:t>、甲醇、烃类和CO</w:t>
      </w:r>
      <w:r>
        <w:rPr>
          <w:rFonts w:hint="eastAsia"/>
          <w:vertAlign w:val="subscript"/>
        </w:rPr>
        <w:t>2</w:t>
      </w:r>
      <w:r>
        <w:rPr>
          <w:rFonts w:hint="eastAsia"/>
        </w:rPr>
        <w:t>等）为燃料，燃烧烟气集中收集后通过60m高烟囱排放，污染物SO</w:t>
      </w:r>
      <w:r>
        <w:rPr>
          <w:rFonts w:hint="eastAsia"/>
          <w:vertAlign w:val="subscript"/>
        </w:rPr>
        <w:t>2</w:t>
      </w:r>
      <w:r>
        <w:rPr>
          <w:rFonts w:hint="eastAsia"/>
        </w:rPr>
        <w:t>、烟尘、NOx和NH</w:t>
      </w:r>
      <w:r>
        <w:rPr>
          <w:rFonts w:hint="eastAsia"/>
          <w:vertAlign w:val="subscript"/>
        </w:rPr>
        <w:t>3</w:t>
      </w:r>
      <w:r>
        <w:rPr>
          <w:rFonts w:hint="eastAsia"/>
        </w:rPr>
        <w:t>排放浓度均满足《无机化学工业污染物排放标准》（GB31573-2015）中表3大气污染物排放限值。</w:t>
      </w:r>
    </w:p>
    <w:p>
      <w:pPr>
        <w:ind w:firstLine="480"/>
      </w:pPr>
      <w:r>
        <w:rPr>
          <w:rFonts w:hint="eastAsia"/>
        </w:rPr>
        <w:t>废水处理站臭气：废水处理站调节池、SBR生化池、污泥浓缩池等产臭构筑物加盖密闭，臭气管道集中收集，采用“活性炭吸附”处理达标后，经15高排气筒排放。</w:t>
      </w:r>
    </w:p>
    <w:p>
      <w:pPr>
        <w:ind w:firstLine="480"/>
      </w:pPr>
      <w:r>
        <w:rPr>
          <w:rFonts w:hint="eastAsia"/>
        </w:rPr>
        <w:t>无组织排放废气：拟建项目无组织散排废气主要来源于阀门、法兰等管道连接处。</w:t>
      </w:r>
      <w:r>
        <w:rPr>
          <w:rFonts w:hint="eastAsia"/>
          <w:kern w:val="0"/>
        </w:rPr>
        <w:t>为控制无组织废气的排放量，拟建项目</w:t>
      </w:r>
      <w:r>
        <w:rPr>
          <w:rFonts w:hint="eastAsia"/>
        </w:rPr>
        <w:t>生产过程采用全密闭设备，且安装先进的自动控制系统和安全报警装置，系统可根据压力、阀位检测、温度、流量等参数自动对工艺或设备故障进行自动诊断，并设有设有可燃、有毒气体检测报警仪，一旦发生气体泄漏，系统将自动报警，并立即采取措施，所以拟建项目生产装置区的无组织排放量控制在较低水平；拟建项目液氨闪蒸槽废气经管道收集接入氨洗塔，水洗处理后排入一段转化炉作为燃料回收利用；二氧化碳储罐区呼吸废气管道集中收集，作为纯化干燥工序再生气回用。</w:t>
      </w:r>
    </w:p>
    <w:p>
      <w:pPr>
        <w:ind w:firstLine="480"/>
      </w:pPr>
      <w:r>
        <w:rPr>
          <w:rFonts w:hint="eastAsia"/>
        </w:rPr>
        <w:t>在日常生产中必须加强设备的维修、保持储罐、设备的严密性、不断改进生产操作管理。对各配套设施定期彻底检查，确保气密性符合要求。采取以上措施后，可将无组织废气排放量降到最低。</w:t>
      </w:r>
    </w:p>
    <w:p>
      <w:pPr>
        <w:ind w:firstLine="480"/>
      </w:pPr>
      <w:r>
        <w:rPr>
          <w:rFonts w:hint="eastAsia" w:eastAsiaTheme="minorEastAsia"/>
        </w:rPr>
        <w:t>根据预测结果，拟建项目新增污染源正常排放下，</w:t>
      </w:r>
      <w:r>
        <w:rPr>
          <w:rFonts w:hint="eastAsia"/>
        </w:rPr>
        <w:t>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、NH</w:t>
      </w:r>
      <w:r>
        <w:rPr>
          <w:rFonts w:hint="eastAsia"/>
          <w:vertAlign w:val="subscript"/>
        </w:rPr>
        <w:t>3</w:t>
      </w:r>
      <w:r>
        <w:rPr>
          <w:rFonts w:hint="eastAsia"/>
        </w:rPr>
        <w:t>和非甲烷总烃</w:t>
      </w:r>
      <w:r>
        <w:rPr>
          <w:rFonts w:hint="eastAsia" w:eastAsiaTheme="minorEastAsia"/>
        </w:rPr>
        <w:t>等各因子短期（小时平均、日平均）浓度贡献值的最大浓度占标率均小于100%；各污染因子</w:t>
      </w:r>
      <w:r>
        <w:rPr>
          <w:rFonts w:hint="eastAsia"/>
        </w:rPr>
        <w:t>年均浓度贡献值的最大浓度占标率均</w:t>
      </w:r>
      <w:r>
        <w:rPr>
          <w:rFonts w:eastAsiaTheme="minorEastAsia"/>
        </w:rPr>
        <w:t>小于30%。</w:t>
      </w:r>
    </w:p>
    <w:p>
      <w:pPr>
        <w:ind w:firstLine="480"/>
        <w:rPr>
          <w:rFonts w:eastAsiaTheme="minorEastAsia"/>
        </w:rPr>
      </w:pPr>
      <w:r>
        <w:rPr>
          <w:rFonts w:hint="eastAsia" w:eastAsiaTheme="minorEastAsia"/>
        </w:rPr>
        <w:t>拟建</w:t>
      </w:r>
      <w:r>
        <w:rPr>
          <w:rFonts w:eastAsiaTheme="minorEastAsia"/>
        </w:rPr>
        <w:t>项目建成后，</w:t>
      </w:r>
      <w:r>
        <w:rPr>
          <w:rFonts w:hint="eastAsia"/>
        </w:rPr>
        <w:t>各污染源排放SO</w:t>
      </w:r>
      <w:r>
        <w:rPr>
          <w:rFonts w:hint="eastAsia"/>
          <w:vertAlign w:val="subscript"/>
        </w:rPr>
        <w:t>2</w:t>
      </w:r>
      <w:r>
        <w:rPr>
          <w:rFonts w:hint="eastAsia"/>
        </w:rPr>
        <w:t>、NOx和PM</w:t>
      </w:r>
      <w:r>
        <w:rPr>
          <w:rFonts w:hint="eastAsia"/>
          <w:vertAlign w:val="subscript"/>
        </w:rPr>
        <w:t>10</w:t>
      </w:r>
      <w:r>
        <w:rPr>
          <w:rFonts w:hint="eastAsia"/>
        </w:rPr>
        <w:t>在评价范围内各环境空气保护目标和网格点最大年均浓度叠加背景浓度值、区域削减源和及在建污染源后，各污染物浓度均满足《环境空气质量标准》（GB3095-2012）二级标准要求；NH</w:t>
      </w:r>
      <w:r>
        <w:rPr>
          <w:rFonts w:hint="eastAsia"/>
          <w:vertAlign w:val="subscript"/>
        </w:rPr>
        <w:t>3</w:t>
      </w:r>
      <w:r>
        <w:rPr>
          <w:rFonts w:hint="eastAsia"/>
        </w:rPr>
        <w:t>和非甲烷总烃在评价范围内各环境空气保护目标和网格点最大小时浓度贡献值叠加补充监测现状数据、区域削减源及在建污染源后，各污染物浓度分别满足</w:t>
      </w:r>
      <w:r>
        <w:rPr>
          <w:rFonts w:eastAsiaTheme="minorEastAsia"/>
        </w:rPr>
        <w:t>《环境影响评价技术导则 大气环境》（H.J 2.2-2018）附录D中浓度按参考限值</w:t>
      </w:r>
      <w:r>
        <w:rPr>
          <w:rFonts w:hint="eastAsia" w:eastAsiaTheme="minorEastAsia"/>
        </w:rPr>
        <w:t>和参照执行的</w:t>
      </w:r>
      <w:r>
        <w:rPr>
          <w:rFonts w:eastAsiaTheme="minorEastAsia"/>
        </w:rPr>
        <w:t>《环境空气质量 非甲烷总烃限值》（DB13/1577-2012）二级标准浓度限值</w:t>
      </w:r>
      <w:r>
        <w:rPr>
          <w:rFonts w:hint="eastAsia" w:eastAsiaTheme="minorEastAsia"/>
        </w:rPr>
        <w:t>要求。</w:t>
      </w:r>
    </w:p>
    <w:p>
      <w:pPr>
        <w:ind w:firstLine="480"/>
        <w:rPr>
          <w:rFonts w:eastAsiaTheme="minorEastAsia"/>
        </w:rPr>
      </w:pPr>
      <w:r>
        <w:rPr>
          <w:rFonts w:hint="eastAsia"/>
          <w:kern w:val="24"/>
        </w:rPr>
        <w:t>同时，根据预测实施区域削减方案后，拟建项目PM</w:t>
      </w:r>
      <w:r>
        <w:rPr>
          <w:rFonts w:hint="eastAsia"/>
          <w:kern w:val="24"/>
          <w:vertAlign w:val="subscript"/>
        </w:rPr>
        <w:t>2.5</w:t>
      </w:r>
      <w:r>
        <w:rPr>
          <w:rFonts w:hint="eastAsia"/>
          <w:kern w:val="24"/>
        </w:rPr>
        <w:t>预测范围的年平均浓度变化率 k小于-20%。因此，及拟建项目实施区域削减方案后区域环境质量整体改善。</w:t>
      </w:r>
    </w:p>
    <w:p>
      <w:pPr>
        <w:ind w:firstLine="480"/>
      </w:pPr>
      <w:r>
        <w:rPr>
          <w:rFonts w:hint="eastAsia" w:eastAsiaTheme="minorEastAsia"/>
        </w:rPr>
        <w:t>因此，拟建项目正常工况排放的废气对区域大气环境影响程度可接受。</w:t>
      </w:r>
    </w:p>
    <w:p>
      <w:pPr>
        <w:ind w:firstLine="480"/>
      </w:pPr>
      <w:r>
        <w:rPr>
          <w:rFonts w:hint="eastAsia"/>
        </w:rPr>
        <w:t>（2）废水</w:t>
      </w:r>
    </w:p>
    <w:p>
      <w:pPr>
        <w:ind w:firstLine="480"/>
      </w:pPr>
      <w:r>
        <w:rPr>
          <w:rFonts w:hint="eastAsia"/>
        </w:rPr>
        <w:t>拟建项目投产后无工艺废水产生，废水主要包括地坪清洗水和生活污水，废水量共计14.06m</w:t>
      </w:r>
      <w:r>
        <w:rPr>
          <w:rFonts w:hint="eastAsia"/>
          <w:vertAlign w:val="superscript"/>
        </w:rPr>
        <w:t>3</w:t>
      </w:r>
      <w:r>
        <w:rPr>
          <w:rFonts w:hint="eastAsia"/>
        </w:rPr>
        <w:t>/d（4675.4m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-N、石油类。</w:t>
      </w:r>
    </w:p>
    <w:p>
      <w:pPr>
        <w:ind w:firstLine="480"/>
      </w:pPr>
      <w:r>
        <w:rPr>
          <w:rFonts w:hint="eastAsia"/>
        </w:rPr>
        <w:t>本工程配套设置处理规模为20m</w:t>
      </w:r>
      <w:r>
        <w:rPr>
          <w:rFonts w:hint="eastAsia"/>
          <w:vertAlign w:val="superscript"/>
        </w:rPr>
        <w:t>3</w:t>
      </w:r>
      <w:r>
        <w:rPr>
          <w:rFonts w:hint="eastAsia"/>
        </w:rPr>
        <w:t>/d的废水处理站，采用“调节池+初沉池+SBR生化处理+二沉池”工艺，废水处理达《合成氨工业水污染物排放标准》（GB13458-2013）表2新建企业水污染物排放浓度限值（间接排放）要求后，进入园区污水处理厂，进一步深度处理达《化工园区主要水污染物排放标准》（DB50/457-2012）中表1标准规定（COD执行60mg/L）后，排入长江。</w:t>
      </w:r>
    </w:p>
    <w:p>
      <w:pPr>
        <w:ind w:firstLine="480"/>
      </w:pPr>
      <w:r>
        <w:rPr>
          <w:rFonts w:hint="eastAsia"/>
        </w:rPr>
        <w:t>拟建项目废水处理达标后排放对地表水环境影响可接受。</w:t>
      </w:r>
    </w:p>
    <w:p>
      <w:pPr>
        <w:ind w:firstLine="480"/>
      </w:pPr>
      <w:r>
        <w:rPr>
          <w:rFonts w:hint="eastAsia"/>
        </w:rPr>
        <w:t>（3）固体废物</w:t>
      </w:r>
    </w:p>
    <w:p>
      <w:pPr>
        <w:ind w:firstLine="480"/>
      </w:pPr>
      <w:r>
        <w:rPr>
          <w:rFonts w:hint="eastAsia"/>
        </w:rPr>
        <w:t>拟建项目运营期间固体废物主要包括废催化剂、废脱硫剂、废吸附剂、废活性炭、污泥和生活垃圾，其中废催化剂、废脱硫剂、废吸附剂、废活性炭属于危险废物，分类收集后交有资质的单位统一清运处置；污泥定期清掏，交垃圾填埋场统一处理；生活垃圾袋装收集后由长寿区环卫部门统一处置。</w:t>
      </w:r>
    </w:p>
    <w:p>
      <w:pPr>
        <w:ind w:firstLine="480"/>
      </w:pPr>
      <w:r>
        <w:rPr>
          <w:rFonts w:hint="eastAsia"/>
        </w:rPr>
        <w:t>拟建项目新建建筑面积为100m</w:t>
      </w:r>
      <w:r>
        <w:rPr>
          <w:rFonts w:hint="eastAsia"/>
          <w:vertAlign w:val="superscript"/>
        </w:rPr>
        <w:t>2</w:t>
      </w:r>
      <w:r>
        <w:rPr>
          <w:rFonts w:hint="eastAsia"/>
        </w:rPr>
        <w:t>的危险废物暂存间。危险废物分类收集，采用专用桶/袋装后，分区暂存于危废暂存间，在装卸、运输、堆放过程中，应严格进行固体废物包装的检查，在运出危险废物临时暂存点时其包装应是完好和密封的，避免有害废物的泄漏等产生二次污染。</w:t>
      </w:r>
    </w:p>
    <w:p>
      <w:pPr>
        <w:ind w:firstLine="480"/>
      </w:pPr>
      <w:r>
        <w:rPr>
          <w:rFonts w:hint="eastAsia"/>
        </w:rPr>
        <w:t>采取以上措施后，拟建项目产生的固体废物均得到有效处置，对环境影响可接受。</w:t>
      </w:r>
    </w:p>
    <w:p>
      <w:pPr>
        <w:ind w:firstLine="480"/>
      </w:pPr>
      <w:r>
        <w:rPr>
          <w:rFonts w:hint="eastAsia"/>
        </w:rPr>
        <w:t>（4）噪声</w:t>
      </w:r>
    </w:p>
    <w:p>
      <w:pPr>
        <w:ind w:firstLine="480"/>
      </w:pPr>
      <w:r>
        <w:rPr>
          <w:rFonts w:hint="eastAsia"/>
        </w:rPr>
        <w:t>拟建项目主要的噪声源有各类泵、风机、压缩机和制冷机组等机械设备，噪声值在85～100dB（A）。</w:t>
      </w:r>
    </w:p>
    <w:p>
      <w:pPr>
        <w:ind w:firstLine="480"/>
      </w:pPr>
      <w:r>
        <w:t>拟建项目设备选型时尽量选用低噪声设备，通过在建筑上采取隔音设计，部分设备采取减振、隔震、设消声器等措施进行治理。</w:t>
      </w:r>
    </w:p>
    <w:p>
      <w:pPr>
        <w:ind w:firstLine="480"/>
      </w:pPr>
      <w:r>
        <w:rPr>
          <w:rFonts w:hint="eastAsia"/>
        </w:rPr>
        <w:t>根据预测，项目在采取了一系列的减振、消声和吸声等噪声防治措施后，厂界噪声值昼、夜间均可满足《工业企业厂界环境噪声排放标准》（GB12348-2008）3类标准要求，对环境的影响较小。</w:t>
      </w:r>
    </w:p>
    <w:p>
      <w:pPr>
        <w:ind w:firstLine="480"/>
      </w:pPr>
      <w:r>
        <w:rPr>
          <w:rFonts w:hint="eastAsia"/>
        </w:rPr>
        <w:t>（5）地下水</w:t>
      </w:r>
    </w:p>
    <w:p>
      <w:pPr>
        <w:ind w:firstLine="480"/>
      </w:pPr>
      <w:r>
        <w:rPr>
          <w:rFonts w:hint="eastAsia" w:eastAsiaTheme="minorEastAsia"/>
        </w:rPr>
        <w:t>拟建项目所在区域地下水类型为HCO</w:t>
      </w:r>
      <w:r>
        <w:rPr>
          <w:rFonts w:hint="eastAsia" w:eastAsiaTheme="minorEastAsia"/>
          <w:vertAlign w:val="subscript"/>
        </w:rPr>
        <w:t>3</w:t>
      </w:r>
      <w:r>
        <w:rPr>
          <w:rFonts w:hint="eastAsia" w:eastAsiaTheme="minorEastAsia"/>
        </w:rPr>
        <w:t>-Ca•Mg型水，各监测点位各项因子均满足《地下水质量标准》（GB/T14848-2017）III类标准要求</w:t>
      </w:r>
      <w:r>
        <w:t>。</w:t>
      </w:r>
      <w:r>
        <w:rPr>
          <w:rFonts w:hint="eastAsia" w:eastAsiaTheme="minorEastAsia"/>
        </w:rPr>
        <w:t>经预测，</w:t>
      </w:r>
      <w:r>
        <w:rPr>
          <w:rFonts w:hint="eastAsia"/>
        </w:rPr>
        <w:t>在非正常工况下，不考虑污染物在含水层的吸附、挥发、生物化学反应，地坪清洗水一旦泄漏进入地下水系统，将会对局部地下水造成污染，100d时，最大超标运移距离为COD：44.5m、NH</w:t>
      </w:r>
      <w:r>
        <w:rPr>
          <w:rFonts w:hint="eastAsia"/>
          <w:vertAlign w:val="subscript"/>
        </w:rPr>
        <w:t>3</w:t>
      </w:r>
      <w:r>
        <w:rPr>
          <w:rFonts w:hint="eastAsia"/>
        </w:rPr>
        <w:t>-N：54.5m；1000d时，最大超标运移距离为COD：166m、NH</w:t>
      </w:r>
      <w:r>
        <w:rPr>
          <w:rFonts w:hint="eastAsia"/>
          <w:vertAlign w:val="subscript"/>
        </w:rPr>
        <w:t>3</w:t>
      </w:r>
      <w:r>
        <w:rPr>
          <w:rFonts w:hint="eastAsia"/>
        </w:rPr>
        <w:t>-N：198m，该范围内不存在地下水环境保护目标，且不会流入长江。评价区域周边居民已全部使用自来水作为饮用水源，厂址区污染物的泄露也不会对周边居民饮用水水源的造成影响。</w:t>
      </w:r>
    </w:p>
    <w:p>
      <w:pPr>
        <w:ind w:firstLine="480"/>
      </w:pPr>
      <w:r>
        <w:rPr>
          <w:rFonts w:hint="eastAsia"/>
        </w:rPr>
        <w:t>根据工程设计，拟建项目采取分区防渗：重点污染防治区如生产装置区、储罐区、废水处理站、危废暂存间和事故池等区域，防渗层的防渗性能不应低于6.0m厚渗透系数为1.0×10</w:t>
      </w:r>
      <w:r>
        <w:rPr>
          <w:rFonts w:hint="eastAsia"/>
          <w:vertAlign w:val="superscript"/>
        </w:rPr>
        <w:t>-7</w:t>
      </w:r>
      <w:r>
        <w:rPr>
          <w:rFonts w:hint="eastAsia"/>
        </w:rPr>
        <w:t>cm/s的黏土层的防渗性能，一般污染防治区如综合楼以及重点污染防治区域附近区域，防渗层的防渗性能不应低于1.5m厚渗透系数1.0×10</w:t>
      </w:r>
      <w:r>
        <w:rPr>
          <w:rFonts w:hint="eastAsia"/>
          <w:vertAlign w:val="superscript"/>
        </w:rPr>
        <w:t>-7</w:t>
      </w:r>
      <w:r>
        <w:rPr>
          <w:rFonts w:hint="eastAsia"/>
        </w:rPr>
        <w:t>cm/s的黏土层的防渗性能。另外，厂区内污水、物料输送管道均采用“可视化”设计，厂区除绿化地带以外的地面均进行硬化，正常工况下拟建项目涉及的物料洒漏、消防废水等渗入地下的几率极小，拟建项目对地下水影响甚微。</w:t>
      </w:r>
    </w:p>
    <w:p>
      <w:pPr>
        <w:ind w:firstLine="480"/>
      </w:pPr>
      <w:r>
        <w:rPr>
          <w:rFonts w:hint="eastAsia"/>
        </w:rPr>
        <w:t>（6）土壤</w:t>
      </w:r>
    </w:p>
    <w:p>
      <w:pPr>
        <w:ind w:firstLine="480"/>
      </w:pPr>
      <w:r>
        <w:rPr>
          <w:rFonts w:hint="eastAsia"/>
        </w:rPr>
        <w:t>针对可能发生的土壤环境影响，拟建项目采取以下环保措施：</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rPr>
          <w:rFonts w:hint="eastAsia"/>
        </w:rPr>
        <w:t>拟建项目厂区内设置废水两级防控，生产装置区设围堤和导流设施，一旦发生事故性泄漏、遇明火发生火灾爆炸，事故废水可被截流在围堤内，围堤收集能力不够时可通过管道排至事故池，然后根据实际情况分批排入废水处理站处理达标后排放；设置雨水管网和雨污切换阀，保证可能受污染的初期雨水排至至厂内事故水池。全面防控事故废水和可能受污染的雨水发生地面漫流，进入土壤。</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拟建项目针对厂区制定分区防渗，对生产装置区、废水处理站、危废暂存间和事故池等区域采取重点防渗；对综合楼以及重点污染防治区域附近区域采取一般防渗；对厂区道路等采用一般地面硬化。</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跟踪监测：对厂区范围内的土壤定期监测，发现土壤污染时，及时查找泄漏源，防止污染源的进一步下渗，必要时对已污染的土壤进行替换或修复。基于建设项目现状监测点设置兼顾土壤环境影响跟踪监测计划的原则，环评建议在厂区内合成氨装置区旁设置土壤跟踪监测点，拟建项目相关的监测因子主要为：氨，监测频次为1次/5年。</w:t>
      </w:r>
    </w:p>
    <w:p>
      <w:pPr>
        <w:ind w:firstLine="480"/>
      </w:pPr>
      <w:r>
        <w:rPr>
          <w:rFonts w:hint="eastAsia"/>
        </w:rPr>
        <w:t>拟建项目土壤污染防治措施技术成熟可行，在全面落实两级防控和分区防渗措施的情况下，本工程对土壤影响较小。</w:t>
      </w:r>
    </w:p>
    <w:p>
      <w:pPr>
        <w:ind w:firstLine="480"/>
      </w:pPr>
      <w:r>
        <w:rPr>
          <w:rFonts w:hint="eastAsia"/>
        </w:rPr>
        <w:t>（7）环境风险</w:t>
      </w:r>
    </w:p>
    <w:p>
      <w:pPr>
        <w:ind w:firstLine="480"/>
        <w:rPr>
          <w:rFonts w:eastAsiaTheme="minorEastAsia"/>
        </w:rPr>
      </w:pPr>
      <w:r>
        <w:fldChar w:fldCharType="begin"/>
      </w:r>
      <w:r>
        <w:instrText xml:space="preserve"> </w:instrText>
      </w:r>
      <w:r>
        <w:rPr>
          <w:rFonts w:hint="eastAsia"/>
        </w:rPr>
        <w:instrText xml:space="preserve">eq \o\ac(○,</w:instrText>
      </w:r>
      <w:r>
        <w:rPr>
          <w:rFonts w:hint="eastAsia"/>
          <w:position w:val="3"/>
          <w:sz w:val="16"/>
        </w:rPr>
        <w:instrText xml:space="preserve">1</w:instrText>
      </w:r>
      <w:r>
        <w:rPr>
          <w:rFonts w:hint="eastAsia"/>
        </w:rPr>
        <w:instrText xml:space="preserve">)</w:instrText>
      </w:r>
      <w:r>
        <w:fldChar w:fldCharType="end"/>
      </w:r>
      <w:r>
        <w:t>项目危险因素</w:t>
      </w:r>
      <w:r>
        <w:rPr>
          <w:rFonts w:hint="eastAsia"/>
        </w:rPr>
        <w:t>：拟建项目涉及的甲烷、氨、甲醇等属于《建设项目环境风险评价技术导则》（HJ169-2018）附录B中有临界量的重点关注的危险物质；环境风险源主要为装置区、物料管道、</w:t>
      </w:r>
      <w:r>
        <w:rPr>
          <w:rFonts w:hint="eastAsia" w:eastAsiaTheme="minorEastAsia"/>
        </w:rPr>
        <w:t>废水处理站和危废暂存间等</w:t>
      </w:r>
      <w:r>
        <w:rPr>
          <w:rFonts w:eastAsiaTheme="minorEastAsia"/>
        </w:rPr>
        <w:t>。</w:t>
      </w:r>
    </w:p>
    <w:p>
      <w:pPr>
        <w:ind w:firstLine="480"/>
      </w:pPr>
      <w:r>
        <w:t>经统计，</w:t>
      </w:r>
      <w:r>
        <w:rPr>
          <w:rFonts w:hint="eastAsia"/>
        </w:rPr>
        <w:t>拟建项目Q=8.027，属于1≤Q＜10；</w:t>
      </w:r>
      <w:r>
        <w:t>本项目</w:t>
      </w:r>
      <w:r>
        <w:rPr>
          <w:rFonts w:hint="eastAsia"/>
        </w:rPr>
        <w:t>生产过程中涉及</w:t>
      </w:r>
      <w:r>
        <w:t>合成氨工艺</w:t>
      </w:r>
      <w:r>
        <w:rPr>
          <w:rFonts w:hint="eastAsia"/>
        </w:rPr>
        <w:t>和氧化工艺各1套，并且涉及高温、高压设备，全厂M=55，以M1表示。</w:t>
      </w:r>
    </w:p>
    <w:p>
      <w:pPr>
        <w:ind w:firstLine="480"/>
      </w:pPr>
      <w:r>
        <w:rPr>
          <w:rFonts w:hint="eastAsia"/>
        </w:rPr>
        <w:t>拟建项目</w:t>
      </w:r>
      <w:r>
        <w:rPr>
          <w:rFonts w:hint="eastAsia" w:eastAsiaTheme="minorEastAsia"/>
        </w:rPr>
        <w:t>建成后</w:t>
      </w:r>
      <w:r>
        <w:t>大气</w:t>
      </w:r>
      <w:r>
        <w:rPr>
          <w:rFonts w:hint="eastAsia"/>
        </w:rPr>
        <w:t>和</w:t>
      </w:r>
      <w:r>
        <w:t>地表水环境风险潜势</w:t>
      </w:r>
      <w:r>
        <w:rPr>
          <w:rFonts w:hint="eastAsia"/>
        </w:rPr>
        <w:t>均</w:t>
      </w:r>
      <w:r>
        <w:t>为</w:t>
      </w:r>
      <w:r>
        <w:rPr>
          <w:rFonts w:hint="eastAsia"/>
        </w:rPr>
        <w:t>Ⅳ级；地下水</w:t>
      </w:r>
      <w:r>
        <w:t>环境风险潜势为</w:t>
      </w:r>
      <w:r>
        <w:rPr>
          <w:rFonts w:hint="eastAsia"/>
        </w:rPr>
        <w:t>Ⅲ级。</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t>环境敏感性</w:t>
      </w:r>
    </w:p>
    <w:p>
      <w:pPr>
        <w:ind w:firstLine="480"/>
        <w:rPr>
          <w:rFonts w:eastAsiaTheme="minorEastAsia"/>
        </w:rPr>
      </w:pPr>
      <w:r>
        <w:rPr>
          <w:rFonts w:eastAsiaTheme="minorEastAsia"/>
        </w:rPr>
        <w:t>大气环境敏感程度分级</w:t>
      </w:r>
      <w:r>
        <w:rPr>
          <w:rFonts w:hint="eastAsia" w:eastAsiaTheme="minorEastAsia"/>
        </w:rPr>
        <w:t>：</w:t>
      </w:r>
      <w:r>
        <w:rPr>
          <w:rFonts w:eastAsiaTheme="minorEastAsia"/>
        </w:rPr>
        <w:t>拟建项目环境敏感目标为周边5km范围内居住区、医疗卫生、文化教育、科研、行政办公等机构人口总数大于5万人，敏感程度为E1。</w:t>
      </w:r>
    </w:p>
    <w:p>
      <w:pPr>
        <w:ind w:firstLine="480"/>
        <w:rPr>
          <w:rFonts w:eastAsiaTheme="minorEastAsia"/>
        </w:rPr>
      </w:pPr>
      <w:r>
        <w:rPr>
          <w:rFonts w:eastAsiaTheme="minorEastAsia"/>
        </w:rPr>
        <w:t>地表水环境敏感程度分级</w:t>
      </w:r>
      <w:r>
        <w:rPr>
          <w:rFonts w:hint="eastAsia" w:eastAsiaTheme="minorEastAsia"/>
        </w:rPr>
        <w:t>：</w:t>
      </w:r>
      <w:r>
        <w:rPr>
          <w:rFonts w:eastAsiaTheme="minorEastAsia"/>
        </w:rPr>
        <w:t>拟建项目</w:t>
      </w:r>
      <w:r>
        <w:rPr>
          <w:rFonts w:hint="eastAsia" w:eastAsiaTheme="minorEastAsia"/>
        </w:rPr>
        <w:t>最终受纳水体</w:t>
      </w:r>
      <w:r>
        <w:rPr>
          <w:rFonts w:eastAsiaTheme="minorEastAsia"/>
        </w:rPr>
        <w:t>长江为III类水域，按地表水功能敏感性分区为较敏感F2。中法水务排放口位于长江重庆段四大家鱼国家级水产种质资源保护区，按地表水环境敏感目标分级为S1。依据事故情况下危险物质泄漏到水体的排放点受纳地表水体功能敏感性，与下游环境敏感目标情况，地表水环境敏感程度为E1。</w:t>
      </w:r>
    </w:p>
    <w:p>
      <w:pPr>
        <w:ind w:firstLine="480"/>
        <w:rPr>
          <w:rFonts w:eastAsiaTheme="minorEastAsia"/>
        </w:rPr>
      </w:pPr>
      <w:r>
        <w:rPr>
          <w:rFonts w:eastAsiaTheme="minorEastAsia"/>
        </w:rPr>
        <w:t>地下水环境敏感程度分级</w:t>
      </w:r>
      <w:r>
        <w:rPr>
          <w:rFonts w:hint="eastAsia" w:eastAsiaTheme="minorEastAsia"/>
        </w:rPr>
        <w:t>：拟建项目所在厂区</w:t>
      </w:r>
      <w:r>
        <w:rPr>
          <w:rFonts w:eastAsiaTheme="minorEastAsia"/>
        </w:rPr>
        <w:t>周边区域不属于集中式饮用水源准保护区以及补给径流区，没有分散式饮用水水源地，没有特殊地下水资源，地下水功能敏感性为不敏感G3。岩土的渗透系数为0.401m/d，包气带防污性能为D1。依据地下水功能敏感性与包气带防污性能，地下水环境敏感程度为E2。</w:t>
      </w:r>
    </w:p>
    <w:p>
      <w:pPr>
        <w:ind w:firstLine="480"/>
      </w:pPr>
      <w:r>
        <w:rPr>
          <w:snapToGrid w:val="0"/>
        </w:rPr>
        <w:fldChar w:fldCharType="begin"/>
      </w:r>
      <w:r>
        <w:rPr>
          <w:snapToGrid w:val="0"/>
        </w:rPr>
        <w:instrText xml:space="preserve"> </w:instrText>
      </w:r>
      <w:r>
        <w:rPr>
          <w:rFonts w:hint="eastAsia"/>
          <w:snapToGrid w:val="0"/>
        </w:rPr>
        <w:instrText xml:space="preserve">eq \o\ac(○,</w:instrText>
      </w:r>
      <w:r>
        <w:rPr>
          <w:rFonts w:hint="eastAsia"/>
          <w:snapToGrid w:val="0"/>
          <w:position w:val="3"/>
          <w:sz w:val="16"/>
        </w:rPr>
        <w:instrText xml:space="preserve">3</w:instrText>
      </w:r>
      <w:r>
        <w:rPr>
          <w:rFonts w:hint="eastAsia"/>
          <w:snapToGrid w:val="0"/>
        </w:rPr>
        <w:instrText xml:space="preserve">)</w:instrText>
      </w:r>
      <w:r>
        <w:rPr>
          <w:snapToGrid w:val="0"/>
        </w:rPr>
        <w:fldChar w:fldCharType="end"/>
      </w:r>
      <w:r>
        <w:rPr>
          <w:snapToGrid w:val="0"/>
        </w:rPr>
        <w:t>评价等级</w:t>
      </w:r>
      <w:r>
        <w:rPr>
          <w:rFonts w:hint="eastAsia"/>
          <w:snapToGrid w:val="0"/>
        </w:rPr>
        <w:t>：</w:t>
      </w:r>
      <w:r>
        <w:rPr>
          <w:rFonts w:hint="eastAsia" w:eastAsiaTheme="minorEastAsia"/>
        </w:rPr>
        <w:t>拟建项目</w:t>
      </w:r>
      <w:r>
        <w:rPr>
          <w:rFonts w:hint="eastAsia"/>
        </w:rPr>
        <w:t>大气环境风险评价等级为一级、地表水环境风险评价等级为一级、地下水环境风险评价等级为二级。</w:t>
      </w:r>
    </w:p>
    <w:p>
      <w:pPr>
        <w:ind w:firstLine="480"/>
        <w:rPr>
          <w:rFonts w:eastAsiaTheme="minorEastAsia"/>
        </w:rPr>
      </w:pPr>
      <w:r>
        <w:fldChar w:fldCharType="begin"/>
      </w:r>
      <w:r>
        <w:instrText xml:space="preserve"> </w:instrText>
      </w:r>
      <w:r>
        <w:rPr>
          <w:rFonts w:hint="eastAsia"/>
        </w:rPr>
        <w:instrText xml:space="preserve">eq \o\ac(○,</w:instrText>
      </w:r>
      <w:r>
        <w:rPr>
          <w:rFonts w:hint="eastAsia"/>
          <w:position w:val="3"/>
          <w:sz w:val="16"/>
        </w:rPr>
        <w:instrText xml:space="preserve">4</w:instrText>
      </w:r>
      <w:r>
        <w:rPr>
          <w:rFonts w:hint="eastAsia"/>
        </w:rPr>
        <w:instrText xml:space="preserve">)</w:instrText>
      </w:r>
      <w:r>
        <w:fldChar w:fldCharType="end"/>
      </w:r>
      <w:r>
        <w:t>事故环境影响</w:t>
      </w:r>
      <w:r>
        <w:rPr>
          <w:rFonts w:hint="eastAsia"/>
        </w:rPr>
        <w:t>：由预测结果可知，液氨管道泄漏后，最不利气象条件下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155</w:t>
      </w:r>
      <w:r>
        <w:t>m；</w:t>
      </w:r>
      <w:r>
        <w:rPr>
          <w:rFonts w:hint="eastAsia"/>
        </w:rPr>
        <w:t>天然气（甲烷）发生火灾燃爆事故次生的CO扩散后最不利气象条件下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100</w:t>
      </w:r>
      <w:r>
        <w:rPr>
          <w:rFonts w:eastAsiaTheme="minorEastAsia"/>
        </w:rPr>
        <w:t>m；</w:t>
      </w:r>
      <w:r>
        <w:rPr>
          <w:rFonts w:hint="eastAsia" w:eastAsiaTheme="minorEastAsia"/>
        </w:rPr>
        <w:t>最常见气象条件下</w:t>
      </w:r>
      <w:r>
        <w:t>不会出现超过毒性终点浓度-1</w:t>
      </w:r>
      <w:r>
        <w:rPr>
          <w:rFonts w:hint="eastAsia"/>
        </w:rPr>
        <w:t>的地面浓度，</w:t>
      </w:r>
      <w:r>
        <w:rPr>
          <w:rFonts w:hint="eastAsia" w:eastAsiaTheme="minorEastAsia"/>
        </w:rPr>
        <w:t>超过</w:t>
      </w:r>
      <w:r>
        <w:rPr>
          <w:rFonts w:eastAsiaTheme="minorEastAsia"/>
        </w:rPr>
        <w:t>毒性终点浓度-2的最大距离为</w:t>
      </w:r>
      <w:r>
        <w:rPr>
          <w:rFonts w:hint="eastAsia" w:eastAsiaTheme="minorEastAsia"/>
        </w:rPr>
        <w:t>90</w:t>
      </w:r>
      <w:r>
        <w:rPr>
          <w:rFonts w:eastAsiaTheme="minorEastAsia"/>
        </w:rPr>
        <w:t>m</w:t>
      </w:r>
      <w:r>
        <w:rPr>
          <w:rFonts w:hint="eastAsia" w:eastAsiaTheme="minorEastAsia"/>
        </w:rPr>
        <w:t>。</w:t>
      </w:r>
    </w:p>
    <w:p>
      <w:pPr>
        <w:ind w:firstLine="480"/>
      </w:pPr>
      <w:r>
        <w:rPr>
          <w:rFonts w:hint="eastAsia" w:eastAsiaTheme="minorEastAsia"/>
        </w:rPr>
        <w:t>液氨管道泄漏，敏感点最大浓度出现在</w:t>
      </w:r>
      <w:r>
        <w:rPr>
          <w:rFonts w:hint="eastAsia"/>
        </w:rPr>
        <w:t>龙口村居民点</w:t>
      </w:r>
      <w:r>
        <w:rPr>
          <w:rFonts w:hint="eastAsia" w:eastAsiaTheme="minorEastAsia"/>
        </w:rPr>
        <w:t>，浓度为</w:t>
      </w:r>
      <w:r>
        <w:rPr>
          <w:rFonts w:hint="eastAsia"/>
        </w:rPr>
        <w:t xml:space="preserve">1.0640 </w:t>
      </w:r>
      <w:r>
        <w:rPr>
          <w:rFonts w:eastAsiaTheme="minorEastAsia"/>
        </w:rPr>
        <w:t>mg/m</w:t>
      </w:r>
      <w:r>
        <w:rPr>
          <w:rFonts w:eastAsiaTheme="minorEastAsia"/>
          <w:vertAlign w:val="superscript"/>
        </w:rPr>
        <w:t>3</w:t>
      </w:r>
      <w:r>
        <w:rPr>
          <w:rFonts w:eastAsiaTheme="minorEastAsia"/>
        </w:rPr>
        <w:t>，低于毒性终点浓度-1（</w:t>
      </w:r>
      <w:r>
        <w:rPr>
          <w:rFonts w:hint="eastAsia" w:eastAsiaTheme="minorEastAsia"/>
        </w:rPr>
        <w:t>770</w:t>
      </w:r>
      <w:r>
        <w:rPr>
          <w:rFonts w:eastAsiaTheme="minorEastAsia"/>
        </w:rPr>
        <w:t>mg/m</w:t>
      </w:r>
      <w:r>
        <w:rPr>
          <w:rFonts w:eastAsiaTheme="minorEastAsia"/>
          <w:vertAlign w:val="superscript"/>
        </w:rPr>
        <w:t>3</w:t>
      </w:r>
      <w:r>
        <w:rPr>
          <w:rFonts w:eastAsiaTheme="minorEastAsia"/>
        </w:rPr>
        <w:t>）和毒性终点浓度-2（</w:t>
      </w:r>
      <w:r>
        <w:rPr>
          <w:rFonts w:hint="eastAsia" w:eastAsiaTheme="minorEastAsia"/>
        </w:rPr>
        <w:t>110</w:t>
      </w:r>
      <w:r>
        <w:rPr>
          <w:rFonts w:eastAsiaTheme="minorEastAsia"/>
        </w:rPr>
        <w:t>mg/m</w:t>
      </w:r>
      <w:r>
        <w:rPr>
          <w:rFonts w:eastAsiaTheme="minorEastAsia"/>
          <w:vertAlign w:val="superscript"/>
        </w:rPr>
        <w:t>3</w:t>
      </w:r>
      <w:r>
        <w:rPr>
          <w:rFonts w:eastAsiaTheme="minorEastAsia"/>
        </w:rPr>
        <w:t>）；</w:t>
      </w:r>
      <w:r>
        <w:rPr>
          <w:rFonts w:hint="eastAsia"/>
        </w:rPr>
        <w:t>天然气（甲烷）</w:t>
      </w:r>
      <w:r>
        <w:rPr>
          <w:rFonts w:eastAsiaTheme="minorEastAsia"/>
        </w:rPr>
        <w:t>燃爆次生CO</w:t>
      </w:r>
      <w:r>
        <w:rPr>
          <w:rFonts w:hint="eastAsia" w:eastAsiaTheme="minorEastAsia"/>
        </w:rPr>
        <w:t>扩散</w:t>
      </w:r>
      <w:r>
        <w:rPr>
          <w:rFonts w:eastAsiaTheme="minorEastAsia"/>
        </w:rPr>
        <w:t>，敏感点最大浓度出现在</w:t>
      </w:r>
      <w:r>
        <w:t>长寿经开区管委会</w:t>
      </w:r>
      <w:r>
        <w:rPr>
          <w:rFonts w:eastAsiaTheme="minorEastAsia"/>
        </w:rPr>
        <w:t>，浓度为</w:t>
      </w:r>
      <w:r>
        <w:rPr>
          <w:rFonts w:hint="eastAsia"/>
        </w:rPr>
        <w:t xml:space="preserve">1.1145 </w:t>
      </w:r>
      <w:r>
        <w:rPr>
          <w:rFonts w:eastAsiaTheme="minorEastAsia"/>
        </w:rPr>
        <w:t>mg/m</w:t>
      </w:r>
      <w:r>
        <w:rPr>
          <w:rFonts w:eastAsiaTheme="minorEastAsia"/>
          <w:vertAlign w:val="superscript"/>
        </w:rPr>
        <w:t>3</w:t>
      </w:r>
      <w:r>
        <w:rPr>
          <w:rFonts w:eastAsiaTheme="minorEastAsia"/>
        </w:rPr>
        <w:t>，低于毒性终点浓度-1（380mg/m</w:t>
      </w:r>
      <w:r>
        <w:rPr>
          <w:rFonts w:eastAsiaTheme="minorEastAsia"/>
          <w:vertAlign w:val="superscript"/>
        </w:rPr>
        <w:t>3</w:t>
      </w:r>
      <w:r>
        <w:rPr>
          <w:rFonts w:eastAsiaTheme="minorEastAsia"/>
        </w:rPr>
        <w:t>）毒性终点浓度-2（95mg/m</w:t>
      </w:r>
      <w:r>
        <w:rPr>
          <w:rFonts w:eastAsiaTheme="minorEastAsia"/>
          <w:vertAlign w:val="superscript"/>
        </w:rPr>
        <w:t>3</w:t>
      </w:r>
      <w:r>
        <w:rPr>
          <w:rFonts w:eastAsiaTheme="minorEastAsia"/>
        </w:rPr>
        <w:t>））。</w:t>
      </w:r>
    </w:p>
    <w:p>
      <w:pPr>
        <w:ind w:firstLine="480"/>
      </w:pPr>
      <w:r>
        <w:t>拟建项目在事故状况下</w:t>
      </w:r>
      <w:r>
        <w:rPr>
          <w:rFonts w:hint="eastAsia"/>
        </w:rPr>
        <w:t>污水处理站调节池底部防渗层出现破损，高浓废水渗入污染地下水，污染物迁移100天、1000天及10年时，</w:t>
      </w:r>
      <w:r>
        <w:rPr>
          <w:rFonts w:eastAsiaTheme="minorEastAsia"/>
        </w:rPr>
        <w:t>将会对局部地下水造成污染</w:t>
      </w:r>
      <w:r>
        <w:rPr>
          <w:rFonts w:hint="eastAsia" w:eastAsiaTheme="minorEastAsia"/>
        </w:rPr>
        <w:t>，但是</w:t>
      </w:r>
      <w:r>
        <w:rPr>
          <w:rFonts w:hint="eastAsia"/>
        </w:rPr>
        <w:t>不会流入到长江，对长江的影响小；评价区域周边居民已全部使用自来水作为饮用水源，厂址区污染物的泄露也不会对周边居民饮用水水源的造成影响。</w:t>
      </w:r>
    </w:p>
    <w:p>
      <w:pPr>
        <w:ind w:firstLine="480"/>
        <w:rPr>
          <w:snapToGrid w:val="0"/>
        </w:rPr>
      </w:pPr>
      <w:r>
        <w:rPr>
          <w:snapToGrid w:val="0"/>
        </w:rPr>
        <w:fldChar w:fldCharType="begin"/>
      </w:r>
      <w:r>
        <w:rPr>
          <w:snapToGrid w:val="0"/>
        </w:rPr>
        <w:instrText xml:space="preserve"> </w:instrText>
      </w:r>
      <w:r>
        <w:rPr>
          <w:rFonts w:hint="eastAsia"/>
          <w:snapToGrid w:val="0"/>
        </w:rPr>
        <w:instrText xml:space="preserve">eq \o\ac(○,</w:instrText>
      </w:r>
      <w:r>
        <w:rPr>
          <w:rFonts w:hint="eastAsia"/>
          <w:snapToGrid w:val="0"/>
          <w:position w:val="3"/>
          <w:sz w:val="16"/>
        </w:rPr>
        <w:instrText xml:space="preserve">5</w:instrText>
      </w:r>
      <w:r>
        <w:rPr>
          <w:rFonts w:hint="eastAsia"/>
          <w:snapToGrid w:val="0"/>
        </w:rPr>
        <w:instrText xml:space="preserve">)</w:instrText>
      </w:r>
      <w:r>
        <w:rPr>
          <w:snapToGrid w:val="0"/>
        </w:rPr>
        <w:fldChar w:fldCharType="end"/>
      </w:r>
      <w:r>
        <w:rPr>
          <w:snapToGrid w:val="0"/>
        </w:rPr>
        <w:t>风险防范措施和应急预案</w:t>
      </w:r>
      <w:r>
        <w:rPr>
          <w:rFonts w:hint="eastAsia"/>
          <w:snapToGrid w:val="0"/>
        </w:rPr>
        <w:t>：</w:t>
      </w:r>
      <w:r>
        <w:t>拟建项目制定了较为周全的风险事故防范措施</w:t>
      </w:r>
      <w:r>
        <w:rPr>
          <w:rFonts w:hint="eastAsia"/>
        </w:rPr>
        <w:t>，投产前编写环境风险</w:t>
      </w:r>
      <w:r>
        <w:t>应急预案，当发生风险事故时立即启动事故应急预案，能确保事故不扩大</w:t>
      </w:r>
      <w:r>
        <w:rPr>
          <w:rFonts w:hint="eastAsia"/>
        </w:rPr>
        <w:t>，按照评价提出的</w:t>
      </w:r>
      <w:r>
        <w:t>风险防范措施</w:t>
      </w:r>
      <w:r>
        <w:rPr>
          <w:rFonts w:hint="eastAsia"/>
        </w:rPr>
        <w:t>实施</w:t>
      </w:r>
      <w:r>
        <w:t>后，最大可信事故风险值小于化工行业可接受风险水平RL（8.33×10</w:t>
      </w:r>
      <w:r>
        <w:rPr>
          <w:vertAlign w:val="superscript"/>
        </w:rPr>
        <w:t>-5</w:t>
      </w:r>
      <w:r>
        <w:t>），虽存在一定风险，但在采取有效风险防范措施和应急预案后，风险处于环境可接受的水平。</w:t>
      </w:r>
    </w:p>
    <w:p>
      <w:pPr>
        <w:ind w:firstLine="480"/>
      </w:pPr>
      <w:r>
        <w:fldChar w:fldCharType="begin"/>
      </w:r>
      <w:r>
        <w:instrText xml:space="preserve"> </w:instrText>
      </w:r>
      <w:r>
        <w:rPr>
          <w:rFonts w:hint="eastAsia"/>
        </w:rPr>
        <w:instrText xml:space="preserve">eq \o\ac(○,</w:instrText>
      </w:r>
      <w:r>
        <w:rPr>
          <w:rFonts w:hint="eastAsia"/>
          <w:position w:val="3"/>
          <w:sz w:val="16"/>
        </w:rPr>
        <w:instrText xml:space="preserve">6</w:instrText>
      </w:r>
      <w:r>
        <w:rPr>
          <w:rFonts w:hint="eastAsia"/>
        </w:rPr>
        <w:instrText xml:space="preserve">)</w:instrText>
      </w:r>
      <w:r>
        <w:fldChar w:fldCharType="end"/>
      </w:r>
      <w:r>
        <w:rPr>
          <w:rFonts w:hint="eastAsia"/>
        </w:rPr>
        <w:t>环境风险评价结论：拟建项目在生产工艺装置、设备和生产管理等方面充分考虑了其环境风险。项目建成后，生产过程涉及到甲烷、氨、甲醇等重点关注的危险物质，潜存火灾、爆炸、泄漏中毒等风险，项目制定了较为周全的环境风险防范措施，并且在投产前制定环境风险应急预案。在采取严格的安全防护和风险防范措施后，建设项目可能出现的风险概率将大大减小，能将事故的环境风险降到最低，环境可以接受。</w:t>
      </w:r>
    </w:p>
    <w:p>
      <w:pPr>
        <w:pStyle w:val="4"/>
        <w:spacing w:before="163" w:after="163"/>
      </w:pPr>
      <w:bookmarkStart w:id="242" w:name="_Toc84844400"/>
      <w:r>
        <w:rPr>
          <w:rFonts w:hint="eastAsia"/>
        </w:rPr>
        <w:t>11.1.7清洁生产</w:t>
      </w:r>
      <w:bookmarkEnd w:id="242"/>
    </w:p>
    <w:p>
      <w:pPr>
        <w:ind w:firstLine="480"/>
      </w:pPr>
      <w:r>
        <w:rPr>
          <w:rFonts w:hint="eastAsia"/>
        </w:rPr>
        <w:t>拟建项目生产工艺与装备、废物回收处理、资源能源利用指标、污染物产生指标（末端处理前）和环境管理均满足《清洁生产标准 氮肥制造业》（HJ/T188-2006）二级指标要求，拟建项目清洁生产水平处于国内清洁生产先进水平。</w:t>
      </w:r>
    </w:p>
    <w:p>
      <w:pPr>
        <w:pStyle w:val="4"/>
        <w:spacing w:before="163" w:after="163"/>
      </w:pPr>
      <w:bookmarkStart w:id="243" w:name="_Toc84844401"/>
      <w:r>
        <w:rPr>
          <w:rFonts w:hint="eastAsia"/>
        </w:rPr>
        <w:t>11.1.8环境影响经济损益分析</w:t>
      </w:r>
      <w:bookmarkEnd w:id="243"/>
    </w:p>
    <w:p>
      <w:pPr>
        <w:ind w:firstLine="480"/>
      </w:pPr>
      <w:r>
        <w:rPr>
          <w:rFonts w:hint="eastAsia"/>
        </w:rPr>
        <w:t>拟建项目环保措施效益为422万元/a，环保措施费用为375.71万元/a，其效益与费用之比为1.1，大于1，表明拟建项目环保措施在经济上是基本合理的。</w:t>
      </w:r>
    </w:p>
    <w:p>
      <w:pPr>
        <w:ind w:firstLine="480"/>
      </w:pPr>
      <w:r>
        <w:rPr>
          <w:rFonts w:hint="eastAsia"/>
        </w:rPr>
        <w:t>重庆建峰化工股份有限公司利用化工尾气制20万吨/年合成氨循环经济项目环保投资经济效益较好，同时具有较好的环境效益和社会效益，做到了污染物达标排放，减轻了对环境的污染，保护了人群健康。因此，本评价认为本项目环保投资是可行、合理和有价值的。</w:t>
      </w:r>
    </w:p>
    <w:p>
      <w:pPr>
        <w:pStyle w:val="4"/>
        <w:spacing w:before="163" w:after="163"/>
      </w:pPr>
      <w:bookmarkStart w:id="244" w:name="_Toc84844402"/>
      <w:r>
        <w:rPr>
          <w:rFonts w:hint="eastAsia"/>
        </w:rPr>
        <w:t>11.1.9环境管理和监测计划</w:t>
      </w:r>
      <w:bookmarkEnd w:id="244"/>
    </w:p>
    <w:p>
      <w:pPr>
        <w:ind w:firstLine="480"/>
      </w:pPr>
      <w:r>
        <w:rPr>
          <w:rFonts w:eastAsiaTheme="minorEastAsia"/>
        </w:rPr>
        <w:t>建设单位严格按环境影响报告书的要求认真落实“三同时”，明确职责，专人管理，切实搞好环境管理和监测工作，保证环保设施的正常运行。</w:t>
      </w:r>
    </w:p>
    <w:p>
      <w:pPr>
        <w:pStyle w:val="4"/>
        <w:spacing w:before="163" w:after="163"/>
      </w:pPr>
      <w:bookmarkStart w:id="245" w:name="_Toc84844403"/>
      <w:r>
        <w:rPr>
          <w:rFonts w:hint="eastAsia"/>
        </w:rPr>
        <w:t>11.1.10综合结论</w:t>
      </w:r>
      <w:bookmarkEnd w:id="245"/>
    </w:p>
    <w:p>
      <w:pPr>
        <w:ind w:firstLine="480"/>
      </w:pPr>
      <w:r>
        <w:rPr>
          <w:rFonts w:hint="eastAsia"/>
        </w:rPr>
        <w:t>重庆建峰化工股份有限公司利用化工尾气制20万吨/年合成氨循环经济项目选址于重庆（长寿）经济技术开发区，</w:t>
      </w:r>
      <w:r>
        <w:t>项目建设符合国家产业政策，符合长寿区城市总体规划及重庆长寿经济技术开发区产业发展规划及入园条件。项目采用的工艺技术和设备符合清洁生产要求；所采用的污染防治措施技术经济可行，项目</w:t>
      </w:r>
      <w:r>
        <w:rPr>
          <w:rFonts w:eastAsiaTheme="minorEastAsia"/>
        </w:rPr>
        <w:t>严格</w:t>
      </w:r>
      <w:r>
        <w:rPr>
          <w:rFonts w:hint="eastAsia" w:eastAsiaTheme="minorEastAsia"/>
        </w:rPr>
        <w:t>落实了各项</w:t>
      </w:r>
      <w:r>
        <w:t>污染防治措施和环境风险防范措施后，排放的污染物对周围环境影响较小，环境风险</w:t>
      </w:r>
      <w:r>
        <w:rPr>
          <w:rFonts w:hint="eastAsia"/>
        </w:rPr>
        <w:t>可控</w:t>
      </w:r>
      <w:r>
        <w:t>。因此，从环境保护角度分析，</w:t>
      </w:r>
      <w:r>
        <w:rPr>
          <w:rFonts w:hint="eastAsia" w:eastAsiaTheme="minorEastAsia"/>
        </w:rPr>
        <w:t>项目建设方案可行</w:t>
      </w:r>
      <w:r>
        <w:t>。</w:t>
      </w:r>
    </w:p>
    <w:p>
      <w:pPr>
        <w:pStyle w:val="3"/>
        <w:spacing w:before="163" w:after="163"/>
      </w:pPr>
      <w:bookmarkStart w:id="246" w:name="_Toc84844404"/>
      <w:r>
        <w:rPr>
          <w:rFonts w:hint="eastAsia"/>
        </w:rPr>
        <w:t>11.2建议</w:t>
      </w:r>
      <w:bookmarkEnd w:id="246"/>
    </w:p>
    <w:p>
      <w:pPr>
        <w:ind w:firstLine="480"/>
        <w:rPr>
          <w:rFonts w:eastAsiaTheme="minorEastAsia"/>
        </w:rPr>
      </w:pPr>
      <w:r>
        <w:rPr>
          <w:rFonts w:eastAsiaTheme="minorEastAsia"/>
        </w:rPr>
        <w:t>（1）企业应通过进一步强化清洁生产管理，降低原料消耗，实施节能减排，以节约资源，减少耗水量和污染物排放量。</w:t>
      </w:r>
    </w:p>
    <w:p>
      <w:pPr>
        <w:ind w:firstLine="480"/>
      </w:pPr>
      <w:r>
        <w:rPr>
          <w:rFonts w:eastAsiaTheme="minorEastAsia"/>
        </w:rPr>
        <w:t>（2）建设单位应多给周边群众宣传本公司的安全、环保知识，以取得周边群众的理解和支持，同时，在事故发生时，也方便组织群众进行安全撤离。</w:t>
      </w:r>
    </w:p>
    <w:p>
      <w:pPr>
        <w:ind w:firstLine="480"/>
      </w:pPr>
    </w:p>
    <w:p>
      <w:pPr>
        <w:ind w:firstLine="480"/>
      </w:pPr>
    </w:p>
    <w:p>
      <w:pPr>
        <w:ind w:firstLine="480"/>
      </w:pPr>
    </w:p>
    <w:p>
      <w:pPr>
        <w:ind w:firstLine="480"/>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roman"/>
    <w:pitch w:val="default"/>
    <w:sig w:usb0="00000000" w:usb1="00000000" w:usb2="00000010"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Times">
    <w:altName w:val="Times New Roman"/>
    <w:panose1 w:val="02020603050405020304"/>
    <w:charset w:val="00"/>
    <w:family w:val="roman"/>
    <w:pitch w:val="default"/>
    <w:sig w:usb0="00000000" w:usb1="00000000" w:usb2="00000009" w:usb3="00000000" w:csb0="000001FF"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7696461"/>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9</w:t>
        </w:r>
        <w:r>
          <w:fldChar w:fldCharType="end"/>
        </w:r>
      </w:p>
    </w:sdtContent>
  </w:sdt>
  <w:p>
    <w:pPr>
      <w:pStyle w:val="2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119150"/>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33</w:t>
        </w:r>
        <w:r>
          <w:fldChar w:fldCharType="end"/>
        </w:r>
      </w:p>
    </w:sdtContent>
  </w:sdt>
  <w:p>
    <w:pPr>
      <w:pStyle w:val="2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5904201"/>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81</w:t>
        </w:r>
        <w:r>
          <w:fldChar w:fldCharType="end"/>
        </w:r>
      </w:p>
    </w:sdtContent>
  </w:sdt>
  <w:p>
    <w:pPr>
      <w:pStyle w:val="23"/>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7641165"/>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157</w:t>
        </w:r>
        <w:r>
          <w:fldChar w:fldCharType="end"/>
        </w:r>
      </w:p>
    </w:sdtContent>
  </w:sdt>
  <w:p>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568218"/>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244</w:t>
        </w:r>
        <w:r>
          <w:fldChar w:fldCharType="end"/>
        </w:r>
      </w:p>
    </w:sdtContent>
  </w:sdt>
  <w:p>
    <w:pPr>
      <w:pStyle w:val="23"/>
      <w:ind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9505371"/>
      <w:docPartObj>
        <w:docPartGallery w:val="AutoText"/>
      </w:docPartObj>
    </w:sdtPr>
    <w:sdtContent>
      <w:p>
        <w:pPr>
          <w:pStyle w:val="23"/>
          <w:ind w:firstLine="360"/>
          <w:jc w:val="center"/>
        </w:pPr>
        <w:r>
          <w:fldChar w:fldCharType="begin"/>
        </w:r>
        <w:r>
          <w:instrText xml:space="preserve">PAGE   \* MERGEFORMAT</w:instrText>
        </w:r>
        <w:r>
          <w:fldChar w:fldCharType="separate"/>
        </w:r>
        <w:r>
          <w:rPr>
            <w:lang w:val="zh-CN"/>
          </w:rPr>
          <w:t>25</w:t>
        </w:r>
        <w:r>
          <w:fldChar w:fldCharType="end"/>
        </w:r>
      </w:p>
    </w:sdtContent>
  </w:sdt>
  <w:p>
    <w:pPr>
      <w:pStyle w:val="2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rFonts w:hint="eastAsia"/>
      </w:rPr>
      <w:t>重庆建峰化工股份有限公司利用化工尾气制20万吨/年合成氨循环经济项目环境影响报告书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rFonts w:hint="eastAsia"/>
      </w:rPr>
      <w:t>重庆建峰化工股份有限公司利用化工尾气制20万吨/年合成氨循环经济项目环境影响报告书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rFonts w:hint="eastAsia"/>
      </w:rPr>
      <w:t>重庆建峰化工股份有限公司利用化工尾气制20万吨/年合成氨循环经济项目环境影响报告书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rFonts w:hint="eastAsia"/>
      </w:rPr>
      <w:t>重庆建峰化工股份有限公司利用化工尾气制20万吨/年合成氨循环经济项目环境影响报告书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rFonts w:hint="eastAsia"/>
      </w:rPr>
      <w:t>重庆建峰化工股份有限公司利用化工尾气制20万吨/年合成氨循环经济项目环境影响报告书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pPr>
    <w:r>
      <w:rPr>
        <w:rFonts w:hint="eastAsia"/>
      </w:rPr>
      <w:t>重庆建峰化工股份有限公司利用化工尾气制20万吨/年合成氨循环经济项目环境影响报告书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stylePaneFormatFilter w:val="3401" w:allStyles="1" w:customStyles="0" w:latentStyles="0" w:stylesInUse="0" w:headingStyles="0" w:numberingStyles="0" w:tableStyles="0" w:directFormattingOnRuns="0" w:directFormattingOnParagraphs="0" w:directFormattingOnNumbering="1" w:directFormattingOnTables="0" w:clearFormatting="1" w:top3HeadingStyles="1" w:visibleStyles="0" w:alternateStyleNames="0"/>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1E"/>
    <w:rsid w:val="0000124A"/>
    <w:rsid w:val="00002996"/>
    <w:rsid w:val="00004703"/>
    <w:rsid w:val="00007C7B"/>
    <w:rsid w:val="00022639"/>
    <w:rsid w:val="00022840"/>
    <w:rsid w:val="00023529"/>
    <w:rsid w:val="000313C6"/>
    <w:rsid w:val="000501E5"/>
    <w:rsid w:val="0006763C"/>
    <w:rsid w:val="000722F6"/>
    <w:rsid w:val="000747F0"/>
    <w:rsid w:val="00096552"/>
    <w:rsid w:val="000B05DD"/>
    <w:rsid w:val="00110B6F"/>
    <w:rsid w:val="001526DA"/>
    <w:rsid w:val="0017193A"/>
    <w:rsid w:val="00180140"/>
    <w:rsid w:val="001B3460"/>
    <w:rsid w:val="001C231D"/>
    <w:rsid w:val="001C7A90"/>
    <w:rsid w:val="001E41DD"/>
    <w:rsid w:val="001F76F0"/>
    <w:rsid w:val="00200F71"/>
    <w:rsid w:val="00202814"/>
    <w:rsid w:val="00203C0A"/>
    <w:rsid w:val="00220212"/>
    <w:rsid w:val="0022193D"/>
    <w:rsid w:val="002305C8"/>
    <w:rsid w:val="00232B4A"/>
    <w:rsid w:val="00240ADE"/>
    <w:rsid w:val="00241013"/>
    <w:rsid w:val="002565F0"/>
    <w:rsid w:val="00257C77"/>
    <w:rsid w:val="0026079C"/>
    <w:rsid w:val="002626BA"/>
    <w:rsid w:val="00262D31"/>
    <w:rsid w:val="00270224"/>
    <w:rsid w:val="002711EB"/>
    <w:rsid w:val="002A336D"/>
    <w:rsid w:val="002B014C"/>
    <w:rsid w:val="002B02A8"/>
    <w:rsid w:val="002B1D15"/>
    <w:rsid w:val="002B2313"/>
    <w:rsid w:val="002D0364"/>
    <w:rsid w:val="002E5929"/>
    <w:rsid w:val="002F27A1"/>
    <w:rsid w:val="003077D3"/>
    <w:rsid w:val="0031670A"/>
    <w:rsid w:val="003241BF"/>
    <w:rsid w:val="00332CD6"/>
    <w:rsid w:val="00336819"/>
    <w:rsid w:val="00376A96"/>
    <w:rsid w:val="003A3B73"/>
    <w:rsid w:val="003B4C56"/>
    <w:rsid w:val="003C0B22"/>
    <w:rsid w:val="003C2CE2"/>
    <w:rsid w:val="003C6C02"/>
    <w:rsid w:val="003D148E"/>
    <w:rsid w:val="003E0E04"/>
    <w:rsid w:val="003E63E8"/>
    <w:rsid w:val="003F1E34"/>
    <w:rsid w:val="003F423A"/>
    <w:rsid w:val="003F49A5"/>
    <w:rsid w:val="00411EF7"/>
    <w:rsid w:val="0043420B"/>
    <w:rsid w:val="004366AD"/>
    <w:rsid w:val="00440085"/>
    <w:rsid w:val="0044026D"/>
    <w:rsid w:val="004528C9"/>
    <w:rsid w:val="004704BB"/>
    <w:rsid w:val="004835C1"/>
    <w:rsid w:val="004964B4"/>
    <w:rsid w:val="00497DA2"/>
    <w:rsid w:val="004A5CE5"/>
    <w:rsid w:val="004A6E13"/>
    <w:rsid w:val="004C15D4"/>
    <w:rsid w:val="004C4125"/>
    <w:rsid w:val="004D497C"/>
    <w:rsid w:val="004E2526"/>
    <w:rsid w:val="005044E0"/>
    <w:rsid w:val="005154EB"/>
    <w:rsid w:val="00520484"/>
    <w:rsid w:val="0052095E"/>
    <w:rsid w:val="00530B8E"/>
    <w:rsid w:val="00537819"/>
    <w:rsid w:val="00544AB4"/>
    <w:rsid w:val="00571D1E"/>
    <w:rsid w:val="00582BC2"/>
    <w:rsid w:val="005A0688"/>
    <w:rsid w:val="005A3578"/>
    <w:rsid w:val="005B744D"/>
    <w:rsid w:val="005B7F24"/>
    <w:rsid w:val="005C3F3F"/>
    <w:rsid w:val="005C4D00"/>
    <w:rsid w:val="005E3142"/>
    <w:rsid w:val="006151A1"/>
    <w:rsid w:val="006206CB"/>
    <w:rsid w:val="00627F31"/>
    <w:rsid w:val="006501D3"/>
    <w:rsid w:val="00655F33"/>
    <w:rsid w:val="00662E9C"/>
    <w:rsid w:val="006652D5"/>
    <w:rsid w:val="00674C0A"/>
    <w:rsid w:val="006B2228"/>
    <w:rsid w:val="006E5A09"/>
    <w:rsid w:val="006F08DF"/>
    <w:rsid w:val="0072621C"/>
    <w:rsid w:val="00740603"/>
    <w:rsid w:val="00751AB2"/>
    <w:rsid w:val="0075243E"/>
    <w:rsid w:val="00762B24"/>
    <w:rsid w:val="0079361C"/>
    <w:rsid w:val="007A0E6D"/>
    <w:rsid w:val="007B7F0E"/>
    <w:rsid w:val="007D34AF"/>
    <w:rsid w:val="007F7546"/>
    <w:rsid w:val="00853256"/>
    <w:rsid w:val="0086485B"/>
    <w:rsid w:val="0086618B"/>
    <w:rsid w:val="00896D14"/>
    <w:rsid w:val="008A3D74"/>
    <w:rsid w:val="008D3D4F"/>
    <w:rsid w:val="00900D16"/>
    <w:rsid w:val="00916A53"/>
    <w:rsid w:val="00916D8B"/>
    <w:rsid w:val="00940FC3"/>
    <w:rsid w:val="00956C35"/>
    <w:rsid w:val="0099347E"/>
    <w:rsid w:val="009A38AA"/>
    <w:rsid w:val="009E2589"/>
    <w:rsid w:val="009F61B7"/>
    <w:rsid w:val="00A32AF8"/>
    <w:rsid w:val="00A33C14"/>
    <w:rsid w:val="00A34151"/>
    <w:rsid w:val="00A464CA"/>
    <w:rsid w:val="00A54609"/>
    <w:rsid w:val="00A738AC"/>
    <w:rsid w:val="00A7628C"/>
    <w:rsid w:val="00A86C0E"/>
    <w:rsid w:val="00A87066"/>
    <w:rsid w:val="00AB33CD"/>
    <w:rsid w:val="00AC1386"/>
    <w:rsid w:val="00B00882"/>
    <w:rsid w:val="00B02F1B"/>
    <w:rsid w:val="00B14FB4"/>
    <w:rsid w:val="00B318A0"/>
    <w:rsid w:val="00B31C54"/>
    <w:rsid w:val="00B375A0"/>
    <w:rsid w:val="00B40B5C"/>
    <w:rsid w:val="00B5723A"/>
    <w:rsid w:val="00B719FC"/>
    <w:rsid w:val="00B760C4"/>
    <w:rsid w:val="00B852FF"/>
    <w:rsid w:val="00B95BC5"/>
    <w:rsid w:val="00B96AD0"/>
    <w:rsid w:val="00BD5B20"/>
    <w:rsid w:val="00BE345F"/>
    <w:rsid w:val="00BF2D22"/>
    <w:rsid w:val="00C13ABC"/>
    <w:rsid w:val="00C31D42"/>
    <w:rsid w:val="00C3622B"/>
    <w:rsid w:val="00C65152"/>
    <w:rsid w:val="00C8200D"/>
    <w:rsid w:val="00C949A6"/>
    <w:rsid w:val="00C97773"/>
    <w:rsid w:val="00CA6B8C"/>
    <w:rsid w:val="00CC456C"/>
    <w:rsid w:val="00CC5147"/>
    <w:rsid w:val="00CD781D"/>
    <w:rsid w:val="00CE3AF8"/>
    <w:rsid w:val="00CE4F4F"/>
    <w:rsid w:val="00D029C7"/>
    <w:rsid w:val="00D1101D"/>
    <w:rsid w:val="00D131AC"/>
    <w:rsid w:val="00D13418"/>
    <w:rsid w:val="00D22DF9"/>
    <w:rsid w:val="00D237D6"/>
    <w:rsid w:val="00D26395"/>
    <w:rsid w:val="00D31047"/>
    <w:rsid w:val="00D3601A"/>
    <w:rsid w:val="00D561E7"/>
    <w:rsid w:val="00D57497"/>
    <w:rsid w:val="00DB5793"/>
    <w:rsid w:val="00DB62F7"/>
    <w:rsid w:val="00DB7694"/>
    <w:rsid w:val="00DC6893"/>
    <w:rsid w:val="00DC6AA6"/>
    <w:rsid w:val="00DD3426"/>
    <w:rsid w:val="00DF3CDD"/>
    <w:rsid w:val="00DF6EAF"/>
    <w:rsid w:val="00E02808"/>
    <w:rsid w:val="00E0431F"/>
    <w:rsid w:val="00E15AFC"/>
    <w:rsid w:val="00E2691B"/>
    <w:rsid w:val="00E55C8A"/>
    <w:rsid w:val="00E6084A"/>
    <w:rsid w:val="00E712AD"/>
    <w:rsid w:val="00E829A7"/>
    <w:rsid w:val="00E85911"/>
    <w:rsid w:val="00E86F21"/>
    <w:rsid w:val="00E92E44"/>
    <w:rsid w:val="00EA0619"/>
    <w:rsid w:val="00EA4904"/>
    <w:rsid w:val="00EC4BE5"/>
    <w:rsid w:val="00EE75C1"/>
    <w:rsid w:val="00EF153F"/>
    <w:rsid w:val="00F235E9"/>
    <w:rsid w:val="00F33998"/>
    <w:rsid w:val="00F403A4"/>
    <w:rsid w:val="00F4170A"/>
    <w:rsid w:val="00F458CC"/>
    <w:rsid w:val="00F60C69"/>
    <w:rsid w:val="00F65EBF"/>
    <w:rsid w:val="00F86782"/>
    <w:rsid w:val="00FC4344"/>
    <w:rsid w:val="00FC6DC2"/>
    <w:rsid w:val="00FE4D0C"/>
    <w:rsid w:val="00FF327D"/>
    <w:rsid w:val="02B60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name="annotation text"/>
    <w:lsdException w:unhideWhenUsed="0" w:uiPriority="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unhideWhenUsed="0" w:uiPriority="0" w:name="page number"/>
    <w:lsdException w:qFormat="1" w:unhideWhenUsed="0" w:uiPriority="0" w:name="endnote reference"/>
    <w:lsdException w:unhideWhenUsed="0"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name="Body Text"/>
    <w:lsdException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name="Date"/>
    <w:lsdException w:uiPriority="0" w:name="Body Text First Indent"/>
    <w:lsdException w:uiPriority="0" w:name="Body Text First Indent 2"/>
    <w:lsdException w:uiPriority="0" w:name="Note Heading"/>
    <w:lsdException w:unhideWhenUsed="0" w:uiPriority="0" w:name="Body Text 2"/>
    <w:lsdException w:qFormat="1" w:unhideWhenUsed="0"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72"/>
    <w:qFormat/>
    <w:uiPriority w:val="0"/>
    <w:pPr>
      <w:keepNext/>
      <w:keepLines/>
      <w:spacing w:before="50" w:beforeLines="50" w:after="50" w:afterLines="50"/>
      <w:ind w:firstLine="0" w:firstLineChars="0"/>
      <w:jc w:val="center"/>
      <w:outlineLvl w:val="0"/>
    </w:pPr>
    <w:rPr>
      <w:rFonts w:ascii="Arial" w:hAnsi="Arial" w:cs="Arial"/>
      <w:b/>
      <w:bCs/>
      <w:kern w:val="44"/>
      <w:sz w:val="28"/>
      <w:szCs w:val="44"/>
    </w:rPr>
  </w:style>
  <w:style w:type="paragraph" w:styleId="3">
    <w:name w:val="heading 2"/>
    <w:basedOn w:val="1"/>
    <w:next w:val="1"/>
    <w:link w:val="73"/>
    <w:qFormat/>
    <w:uiPriority w:val="0"/>
    <w:pPr>
      <w:keepNext/>
      <w:keepLines/>
      <w:spacing w:before="50" w:beforeLines="50" w:after="50" w:afterLines="50"/>
      <w:ind w:firstLine="0" w:firstLineChars="0"/>
      <w:outlineLvl w:val="1"/>
    </w:pPr>
    <w:rPr>
      <w:rFonts w:ascii="Arial" w:hAnsi="Arial"/>
      <w:b/>
      <w:bCs/>
      <w:szCs w:val="30"/>
    </w:rPr>
  </w:style>
  <w:style w:type="paragraph" w:styleId="4">
    <w:name w:val="heading 3"/>
    <w:basedOn w:val="1"/>
    <w:next w:val="1"/>
    <w:link w:val="71"/>
    <w:qFormat/>
    <w:uiPriority w:val="0"/>
    <w:pPr>
      <w:keepNext/>
      <w:keepLines/>
      <w:spacing w:before="50" w:beforeLines="50" w:after="50" w:afterLines="50"/>
      <w:ind w:firstLine="0" w:firstLineChars="0"/>
      <w:outlineLvl w:val="2"/>
    </w:pPr>
    <w:rPr>
      <w:b/>
      <w:bCs/>
      <w:szCs w:val="32"/>
    </w:rPr>
  </w:style>
  <w:style w:type="paragraph" w:styleId="5">
    <w:name w:val="heading 4"/>
    <w:basedOn w:val="1"/>
    <w:next w:val="1"/>
    <w:link w:val="74"/>
    <w:qFormat/>
    <w:uiPriority w:val="0"/>
    <w:pPr>
      <w:keepNext/>
      <w:keepLines/>
      <w:spacing w:before="156" w:beforeLines="50" w:after="156" w:afterLines="50"/>
      <w:ind w:firstLine="0" w:firstLineChars="0"/>
      <w:outlineLvl w:val="3"/>
    </w:pPr>
    <w:rPr>
      <w:rFonts w:ascii="Arial" w:hAnsi="Arial"/>
      <w:b/>
      <w:bCs/>
      <w:szCs w:val="28"/>
    </w:rPr>
  </w:style>
  <w:style w:type="paragraph" w:styleId="6">
    <w:name w:val="heading 5"/>
    <w:basedOn w:val="1"/>
    <w:next w:val="1"/>
    <w:link w:val="66"/>
    <w:unhideWhenUsed/>
    <w:qFormat/>
    <w:uiPriority w:val="9"/>
    <w:pPr>
      <w:spacing w:before="156" w:beforeLines="50" w:after="156" w:afterLines="50"/>
      <w:ind w:firstLine="480"/>
      <w:outlineLvl w:val="4"/>
    </w:pPr>
  </w:style>
  <w:style w:type="paragraph" w:styleId="7">
    <w:name w:val="heading 6"/>
    <w:basedOn w:val="1"/>
    <w:next w:val="1"/>
    <w:link w:val="67"/>
    <w:semiHidden/>
    <w:unhideWhenUsed/>
    <w:qFormat/>
    <w:uiPriority w:val="9"/>
    <w:pPr>
      <w:keepNext/>
      <w:keepLines/>
      <w:spacing w:before="240" w:after="64" w:line="320" w:lineRule="atLeast"/>
      <w:ind w:left="1152" w:hanging="1152"/>
      <w:jc w:val="left"/>
      <w:outlineLvl w:val="5"/>
    </w:pPr>
    <w:rPr>
      <w:rFonts w:ascii="Cambria" w:hAnsi="Cambria"/>
      <w:b/>
      <w:bCs/>
      <w:color w:val="000000"/>
    </w:rPr>
  </w:style>
  <w:style w:type="paragraph" w:styleId="8">
    <w:name w:val="heading 7"/>
    <w:basedOn w:val="1"/>
    <w:next w:val="1"/>
    <w:link w:val="68"/>
    <w:semiHidden/>
    <w:unhideWhenUsed/>
    <w:qFormat/>
    <w:uiPriority w:val="9"/>
    <w:pPr>
      <w:keepNext/>
      <w:keepLines/>
      <w:spacing w:before="240" w:after="64" w:line="320" w:lineRule="atLeast"/>
      <w:ind w:left="1296" w:hanging="1296"/>
      <w:jc w:val="left"/>
      <w:outlineLvl w:val="6"/>
    </w:pPr>
    <w:rPr>
      <w:b/>
      <w:bCs/>
      <w:color w:val="000000"/>
    </w:rPr>
  </w:style>
  <w:style w:type="paragraph" w:styleId="9">
    <w:name w:val="heading 8"/>
    <w:basedOn w:val="1"/>
    <w:next w:val="1"/>
    <w:link w:val="69"/>
    <w:semiHidden/>
    <w:unhideWhenUsed/>
    <w:qFormat/>
    <w:uiPriority w:val="9"/>
    <w:pPr>
      <w:keepNext/>
      <w:keepLines/>
      <w:spacing w:before="240" w:after="64" w:line="320" w:lineRule="atLeast"/>
      <w:ind w:left="1440" w:hanging="1440"/>
      <w:jc w:val="left"/>
      <w:outlineLvl w:val="7"/>
    </w:pPr>
    <w:rPr>
      <w:rFonts w:ascii="Cambria" w:hAnsi="Cambria"/>
      <w:color w:val="000000"/>
    </w:rPr>
  </w:style>
  <w:style w:type="paragraph" w:styleId="10">
    <w:name w:val="heading 9"/>
    <w:basedOn w:val="1"/>
    <w:next w:val="1"/>
    <w:link w:val="70"/>
    <w:semiHidden/>
    <w:unhideWhenUsed/>
    <w:qFormat/>
    <w:uiPriority w:val="9"/>
    <w:pPr>
      <w:keepNext/>
      <w:keepLines/>
      <w:spacing w:before="240" w:after="64" w:line="320" w:lineRule="atLeast"/>
      <w:ind w:left="1584" w:hanging="1584"/>
      <w:jc w:val="left"/>
      <w:outlineLvl w:val="8"/>
    </w:pPr>
    <w:rPr>
      <w:rFonts w:ascii="Cambria" w:hAnsi="Cambria"/>
      <w:color w:val="000000"/>
      <w:sz w:val="21"/>
      <w:szCs w:val="21"/>
    </w:rPr>
  </w:style>
  <w:style w:type="character" w:default="1" w:styleId="36">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2">
    <w:name w:val="Document Map"/>
    <w:basedOn w:val="1"/>
    <w:link w:val="78"/>
    <w:semiHidden/>
    <w:qFormat/>
    <w:uiPriority w:val="0"/>
    <w:pPr>
      <w:shd w:val="clear" w:color="auto" w:fill="000080"/>
    </w:pPr>
  </w:style>
  <w:style w:type="paragraph" w:styleId="13">
    <w:name w:val="annotation text"/>
    <w:basedOn w:val="1"/>
    <w:link w:val="61"/>
    <w:semiHidden/>
    <w:qFormat/>
    <w:uiPriority w:val="0"/>
    <w:pPr>
      <w:adjustRightInd w:val="0"/>
      <w:jc w:val="left"/>
      <w:textAlignment w:val="baseline"/>
    </w:pPr>
    <w:rPr>
      <w:kern w:val="0"/>
      <w:szCs w:val="20"/>
    </w:rPr>
  </w:style>
  <w:style w:type="paragraph" w:styleId="14">
    <w:name w:val="Body Text 3"/>
    <w:basedOn w:val="1"/>
    <w:link w:val="81"/>
    <w:semiHidden/>
    <w:qFormat/>
    <w:uiPriority w:val="0"/>
    <w:pPr>
      <w:spacing w:after="120"/>
    </w:pPr>
    <w:rPr>
      <w:sz w:val="16"/>
      <w:szCs w:val="16"/>
    </w:rPr>
  </w:style>
  <w:style w:type="paragraph" w:styleId="15">
    <w:name w:val="Body Text"/>
    <w:basedOn w:val="1"/>
    <w:link w:val="79"/>
    <w:semiHidden/>
    <w:uiPriority w:val="0"/>
    <w:pPr>
      <w:spacing w:after="120"/>
    </w:pPr>
  </w:style>
  <w:style w:type="paragraph" w:styleId="16">
    <w:name w:val="Body Text Indent"/>
    <w:basedOn w:val="1"/>
    <w:link w:val="82"/>
    <w:semiHidden/>
    <w:uiPriority w:val="0"/>
    <w:pPr>
      <w:ind w:firstLine="600"/>
    </w:pPr>
    <w:rPr>
      <w:sz w:val="30"/>
    </w:rPr>
  </w:style>
  <w:style w:type="paragraph" w:styleId="17">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18">
    <w:name w:val="toc 3"/>
    <w:basedOn w:val="1"/>
    <w:next w:val="1"/>
    <w:qFormat/>
    <w:uiPriority w:val="39"/>
    <w:pPr>
      <w:ind w:left="840" w:leftChars="400"/>
    </w:pPr>
  </w:style>
  <w:style w:type="paragraph" w:styleId="19">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0">
    <w:name w:val="Date"/>
    <w:basedOn w:val="1"/>
    <w:next w:val="1"/>
    <w:semiHidden/>
    <w:qFormat/>
    <w:uiPriority w:val="0"/>
    <w:pPr>
      <w:ind w:left="100" w:leftChars="2500"/>
    </w:pPr>
    <w:rPr>
      <w:sz w:val="30"/>
    </w:rPr>
  </w:style>
  <w:style w:type="paragraph" w:styleId="21">
    <w:name w:val="endnote text"/>
    <w:basedOn w:val="1"/>
    <w:link w:val="77"/>
    <w:semiHidden/>
    <w:uiPriority w:val="0"/>
    <w:pPr>
      <w:snapToGrid w:val="0"/>
    </w:pPr>
  </w:style>
  <w:style w:type="paragraph" w:styleId="22">
    <w:name w:val="Balloon Text"/>
    <w:basedOn w:val="1"/>
    <w:link w:val="76"/>
    <w:semiHidden/>
    <w:qFormat/>
    <w:uiPriority w:val="0"/>
    <w:rPr>
      <w:sz w:val="18"/>
      <w:szCs w:val="18"/>
    </w:rPr>
  </w:style>
  <w:style w:type="paragraph" w:styleId="23">
    <w:name w:val="footer"/>
    <w:basedOn w:val="1"/>
    <w:link w:val="64"/>
    <w:qFormat/>
    <w:uiPriority w:val="0"/>
    <w:pPr>
      <w:tabs>
        <w:tab w:val="center" w:pos="4153"/>
        <w:tab w:val="right" w:pos="8306"/>
      </w:tabs>
      <w:snapToGrid w:val="0"/>
      <w:jc w:val="left"/>
    </w:pPr>
    <w:rPr>
      <w:sz w:val="18"/>
      <w:szCs w:val="18"/>
    </w:rPr>
  </w:style>
  <w:style w:type="paragraph" w:styleId="24">
    <w:name w:val="header"/>
    <w:basedOn w:val="1"/>
    <w:semiHidden/>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iPriority w:val="39"/>
  </w:style>
  <w:style w:type="paragraph" w:styleId="26">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27">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28">
    <w:name w:val="toc 2"/>
    <w:basedOn w:val="1"/>
    <w:next w:val="1"/>
    <w:uiPriority w:val="39"/>
    <w:pPr>
      <w:ind w:left="420" w:leftChars="200"/>
    </w:pPr>
  </w:style>
  <w:style w:type="paragraph" w:styleId="29">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0">
    <w:name w:val="Body Text 2"/>
    <w:basedOn w:val="1"/>
    <w:link w:val="80"/>
    <w:semiHidden/>
    <w:uiPriority w:val="0"/>
    <w:pPr>
      <w:spacing w:after="120" w:line="480" w:lineRule="auto"/>
    </w:pPr>
  </w:style>
  <w:style w:type="paragraph" w:styleId="31">
    <w:name w:val="HTML Preformatted"/>
    <w:basedOn w:val="1"/>
    <w:link w:val="75"/>
    <w:semiHidden/>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2">
    <w:name w:val="Normal (Web)"/>
    <w:basedOn w:val="1"/>
    <w:semiHidden/>
    <w:qFormat/>
    <w:uiPriority w:val="0"/>
    <w:pPr>
      <w:widowControl/>
      <w:spacing w:before="100" w:beforeAutospacing="1" w:after="100" w:afterAutospacing="1"/>
      <w:jc w:val="left"/>
    </w:pPr>
    <w:rPr>
      <w:rFonts w:ascii="宋体" w:hAnsi="宋体" w:cs="宋体"/>
      <w:kern w:val="0"/>
    </w:rPr>
  </w:style>
  <w:style w:type="table" w:styleId="34">
    <w:name w:val="Table Grid"/>
    <w:basedOn w:val="33"/>
    <w:qFormat/>
    <w:uiPriority w:val="0"/>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Simple 1"/>
    <w:basedOn w:val="33"/>
    <w:uiPriority w:val="0"/>
    <w:pPr>
      <w:widowControl w:val="0"/>
      <w:adjustRightInd w:val="0"/>
      <w:textAlignment w:val="baseline"/>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37">
    <w:name w:val="endnote reference"/>
    <w:semiHidden/>
    <w:qFormat/>
    <w:uiPriority w:val="0"/>
    <w:rPr>
      <w:vertAlign w:val="superscript"/>
    </w:rPr>
  </w:style>
  <w:style w:type="character" w:styleId="38">
    <w:name w:val="page number"/>
    <w:basedOn w:val="36"/>
    <w:semiHidden/>
    <w:uiPriority w:val="0"/>
  </w:style>
  <w:style w:type="character" w:styleId="39">
    <w:name w:val="Hyperlink"/>
    <w:qFormat/>
    <w:uiPriority w:val="99"/>
    <w:rPr>
      <w:color w:val="0000FF"/>
      <w:u w:val="single"/>
    </w:rPr>
  </w:style>
  <w:style w:type="character" w:styleId="40">
    <w:name w:val="annotation reference"/>
    <w:semiHidden/>
    <w:qFormat/>
    <w:uiPriority w:val="0"/>
    <w:rPr>
      <w:sz w:val="21"/>
      <w:szCs w:val="21"/>
    </w:rPr>
  </w:style>
  <w:style w:type="paragraph" w:customStyle="1" w:styleId="41">
    <w:name w:val="表头"/>
    <w:basedOn w:val="1"/>
    <w:link w:val="62"/>
    <w:qFormat/>
    <w:uiPriority w:val="0"/>
    <w:pPr>
      <w:ind w:firstLine="0" w:firstLineChars="0"/>
      <w:jc w:val="center"/>
    </w:pPr>
    <w:rPr>
      <w:sz w:val="21"/>
    </w:rPr>
  </w:style>
  <w:style w:type="paragraph" w:customStyle="1" w:styleId="42">
    <w:name w:val="表格"/>
    <w:basedOn w:val="1"/>
    <w:link w:val="60"/>
    <w:qFormat/>
    <w:uiPriority w:val="0"/>
    <w:pPr>
      <w:spacing w:line="360" w:lineRule="exact"/>
      <w:ind w:firstLine="0" w:firstLineChars="0"/>
      <w:jc w:val="center"/>
    </w:pPr>
    <w:rPr>
      <w:sz w:val="21"/>
    </w:rPr>
  </w:style>
  <w:style w:type="paragraph" w:customStyle="1" w:styleId="43">
    <w:name w:val="样式 标题 1 + 段前: 0.5 行 段后: 0.5 行"/>
    <w:basedOn w:val="2"/>
    <w:semiHidden/>
    <w:qFormat/>
    <w:uiPriority w:val="0"/>
    <w:pPr>
      <w:spacing w:before="167" w:after="167"/>
    </w:pPr>
    <w:rPr>
      <w:rFonts w:cs="宋体"/>
      <w:szCs w:val="20"/>
    </w:rPr>
  </w:style>
  <w:style w:type="paragraph" w:customStyle="1" w:styleId="44">
    <w:name w:val="样式 标题 2 + 段前: 0.5 行 段后: 0.5 行"/>
    <w:basedOn w:val="3"/>
    <w:semiHidden/>
    <w:uiPriority w:val="0"/>
    <w:rPr>
      <w:rFonts w:cs="宋体"/>
      <w:szCs w:val="20"/>
    </w:rPr>
  </w:style>
  <w:style w:type="paragraph" w:customStyle="1" w:styleId="45">
    <w:name w:val="样式 首行缩进:  2 字符"/>
    <w:basedOn w:val="1"/>
    <w:semiHidden/>
    <w:uiPriority w:val="0"/>
    <w:pPr>
      <w:spacing w:line="420" w:lineRule="atLeast"/>
    </w:pPr>
    <w:rPr>
      <w:rFonts w:cs="宋体"/>
      <w:szCs w:val="20"/>
    </w:rPr>
  </w:style>
  <w:style w:type="paragraph" w:customStyle="1" w:styleId="46">
    <w:name w:val="样式 四号 居中"/>
    <w:basedOn w:val="1"/>
    <w:semiHidden/>
    <w:qFormat/>
    <w:uiPriority w:val="0"/>
    <w:pPr>
      <w:adjustRightInd w:val="0"/>
      <w:spacing w:line="460" w:lineRule="exact"/>
      <w:jc w:val="center"/>
      <w:textAlignment w:val="baseline"/>
    </w:pPr>
    <w:rPr>
      <w:rFonts w:cs="宋体"/>
      <w:szCs w:val="20"/>
    </w:rPr>
  </w:style>
  <w:style w:type="paragraph" w:customStyle="1" w:styleId="47">
    <w:name w:val="样式 宋体 小四 行距: 固定值 23 磅"/>
    <w:basedOn w:val="1"/>
    <w:semiHidden/>
    <w:qFormat/>
    <w:uiPriority w:val="0"/>
    <w:pPr>
      <w:spacing w:line="460" w:lineRule="exact"/>
      <w:ind w:firstLine="464"/>
    </w:pPr>
    <w:rPr>
      <w:rFonts w:ascii="宋体" w:hAnsi="宋体" w:cs="宋体"/>
      <w:szCs w:val="20"/>
    </w:rPr>
  </w:style>
  <w:style w:type="paragraph" w:customStyle="1" w:styleId="48">
    <w:name w:val="样式 样式 样式 首行缩进:  2 字符 + 首行缩进:  2 字符 + 首行缩进:  2 字符"/>
    <w:basedOn w:val="1"/>
    <w:semiHidden/>
    <w:uiPriority w:val="0"/>
    <w:pPr>
      <w:spacing w:line="420" w:lineRule="atLeast"/>
    </w:pPr>
    <w:rPr>
      <w:rFonts w:eastAsia="仿宋_GB2312" w:cs="宋体"/>
      <w:szCs w:val="20"/>
    </w:rPr>
  </w:style>
  <w:style w:type="paragraph" w:customStyle="1" w:styleId="49">
    <w:name w:val="样式 样式 样式 样式1 + 首行缩进:  2 字符 + 首行缩进:  2 字符 段前: 0.5 行 段后: 0.5 行 + 首..."/>
    <w:basedOn w:val="50"/>
    <w:semiHidden/>
    <w:uiPriority w:val="0"/>
    <w:pPr>
      <w:ind w:firstLine="464"/>
    </w:pPr>
  </w:style>
  <w:style w:type="paragraph" w:customStyle="1" w:styleId="50">
    <w:name w:val="样式 样式 样式1 + 首行缩进:  2 字符 + 首行缩进:  2 字符 段前: 0.5 行 段后: 0.5 行"/>
    <w:basedOn w:val="51"/>
    <w:semiHidden/>
    <w:qFormat/>
    <w:uiPriority w:val="0"/>
    <w:pPr>
      <w:spacing w:before="167" w:after="167"/>
      <w:ind w:firstLine="384"/>
    </w:pPr>
  </w:style>
  <w:style w:type="paragraph" w:customStyle="1" w:styleId="51">
    <w:name w:val="样式 样式1 + 首行缩进:  2 字符"/>
    <w:basedOn w:val="52"/>
    <w:semiHidden/>
    <w:qFormat/>
    <w:uiPriority w:val="0"/>
    <w:pPr>
      <w:spacing w:before="50" w:beforeLines="50" w:after="50" w:afterLines="50"/>
      <w:ind w:firstLine="200"/>
    </w:pPr>
    <w:rPr>
      <w:rFonts w:cs="宋体"/>
      <w:szCs w:val="20"/>
    </w:rPr>
  </w:style>
  <w:style w:type="paragraph" w:customStyle="1" w:styleId="52">
    <w:name w:val="样式1"/>
    <w:basedOn w:val="1"/>
    <w:semiHidden/>
    <w:qFormat/>
    <w:uiPriority w:val="0"/>
    <w:pPr>
      <w:spacing w:line="460" w:lineRule="exact"/>
      <w:ind w:firstLine="584"/>
    </w:pPr>
    <w:rPr>
      <w:rFonts w:ascii="仿宋_GB2312"/>
    </w:rPr>
  </w:style>
  <w:style w:type="paragraph" w:customStyle="1" w:styleId="53">
    <w:name w:val="样式 样式 样式 样式1 + 首行缩进:  2 字符 + 首行缩进:  2 字符 段前: 0.5 行 段后: 0.5 行 + 首...1"/>
    <w:basedOn w:val="50"/>
    <w:semiHidden/>
    <w:qFormat/>
    <w:uiPriority w:val="0"/>
    <w:pPr>
      <w:ind w:firstLine="464"/>
    </w:pPr>
  </w:style>
  <w:style w:type="paragraph" w:customStyle="1" w:styleId="54">
    <w:name w:val="样式 样式1 + 首行缩进:  2 字符 Char Char Char Char Char Char"/>
    <w:basedOn w:val="1"/>
    <w:semiHidden/>
    <w:qFormat/>
    <w:uiPriority w:val="0"/>
    <w:pPr>
      <w:spacing w:line="460" w:lineRule="exact"/>
      <w:ind w:firstLine="480"/>
    </w:pPr>
    <w:rPr>
      <w:rFonts w:cs="宋体"/>
      <w:kern w:val="0"/>
      <w:szCs w:val="20"/>
      <w:lang w:val="zh-CN"/>
    </w:rPr>
  </w:style>
  <w:style w:type="paragraph" w:customStyle="1" w:styleId="55">
    <w:name w:val="样式 样式1 + 首行缩进:  2 字符 Char Char Char Char Char Char Char Char"/>
    <w:basedOn w:val="1"/>
    <w:semiHidden/>
    <w:uiPriority w:val="0"/>
    <w:pPr>
      <w:spacing w:line="460" w:lineRule="exact"/>
      <w:ind w:firstLine="480"/>
    </w:pPr>
    <w:rPr>
      <w:rFonts w:cs="宋体"/>
      <w:szCs w:val="21"/>
      <w:lang w:val="zh-CN"/>
    </w:rPr>
  </w:style>
  <w:style w:type="character" w:customStyle="1" w:styleId="56">
    <w:name w:val="样式1 Char Char"/>
    <w:semiHidden/>
    <w:qFormat/>
    <w:uiPriority w:val="0"/>
    <w:rPr>
      <w:rFonts w:eastAsia="宋体"/>
      <w:sz w:val="24"/>
      <w:szCs w:val="21"/>
      <w:lang w:val="zh-CN" w:eastAsia="zh-CN" w:bidi="ar-SA"/>
    </w:rPr>
  </w:style>
  <w:style w:type="paragraph" w:customStyle="1" w:styleId="57">
    <w:name w:val="样式2"/>
    <w:basedOn w:val="1"/>
    <w:semiHidden/>
    <w:qFormat/>
    <w:uiPriority w:val="0"/>
    <w:pPr>
      <w:adjustRightInd w:val="0"/>
      <w:spacing w:line="380" w:lineRule="exact"/>
      <w:jc w:val="center"/>
      <w:textAlignment w:val="baseline"/>
    </w:pPr>
    <w:rPr>
      <w:rFonts w:eastAsia="黑体"/>
    </w:rPr>
  </w:style>
  <w:style w:type="paragraph" w:customStyle="1" w:styleId="58">
    <w:name w:val="样式3"/>
    <w:basedOn w:val="46"/>
    <w:semiHidden/>
    <w:uiPriority w:val="0"/>
    <w:pPr>
      <w:spacing w:line="300" w:lineRule="exact"/>
    </w:pPr>
    <w:rPr>
      <w:sz w:val="21"/>
    </w:rPr>
  </w:style>
  <w:style w:type="paragraph" w:customStyle="1" w:styleId="59">
    <w:name w:val="样式4"/>
    <w:basedOn w:val="46"/>
    <w:semiHidden/>
    <w:uiPriority w:val="0"/>
    <w:pPr>
      <w:spacing w:line="300" w:lineRule="exact"/>
    </w:pPr>
    <w:rPr>
      <w:sz w:val="21"/>
    </w:rPr>
  </w:style>
  <w:style w:type="character" w:customStyle="1" w:styleId="60">
    <w:name w:val="表格 Char"/>
    <w:link w:val="42"/>
    <w:qFormat/>
    <w:uiPriority w:val="0"/>
    <w:rPr>
      <w:kern w:val="2"/>
      <w:sz w:val="21"/>
      <w:szCs w:val="24"/>
    </w:rPr>
  </w:style>
  <w:style w:type="character" w:customStyle="1" w:styleId="61">
    <w:name w:val="批注文字 Char"/>
    <w:basedOn w:val="36"/>
    <w:link w:val="13"/>
    <w:semiHidden/>
    <w:qFormat/>
    <w:uiPriority w:val="0"/>
    <w:rPr>
      <w:sz w:val="24"/>
    </w:rPr>
  </w:style>
  <w:style w:type="character" w:customStyle="1" w:styleId="62">
    <w:name w:val="表头 Char"/>
    <w:link w:val="41"/>
    <w:qFormat/>
    <w:uiPriority w:val="0"/>
    <w:rPr>
      <w:kern w:val="2"/>
      <w:sz w:val="21"/>
      <w:szCs w:val="24"/>
    </w:rPr>
  </w:style>
  <w:style w:type="character" w:customStyle="1" w:styleId="63">
    <w:name w:val="表格 Char Char"/>
    <w:qFormat/>
    <w:uiPriority w:val="0"/>
    <w:rPr>
      <w:rFonts w:eastAsia="宋体"/>
      <w:kern w:val="2"/>
      <w:sz w:val="21"/>
      <w:szCs w:val="24"/>
      <w:lang w:val="en-US" w:eastAsia="zh-CN" w:bidi="ar-SA"/>
    </w:rPr>
  </w:style>
  <w:style w:type="character" w:customStyle="1" w:styleId="64">
    <w:name w:val="页脚 Char"/>
    <w:basedOn w:val="36"/>
    <w:link w:val="23"/>
    <w:uiPriority w:val="99"/>
    <w:rPr>
      <w:kern w:val="2"/>
      <w:sz w:val="18"/>
      <w:szCs w:val="18"/>
    </w:rPr>
  </w:style>
  <w:style w:type="paragraph" w:customStyle="1" w:styleId="65">
    <w:name w:val="表格1"/>
    <w:basedOn w:val="1"/>
    <w:qFormat/>
    <w:uiPriority w:val="0"/>
    <w:pPr>
      <w:tabs>
        <w:tab w:val="left" w:pos="993"/>
      </w:tabs>
      <w:autoSpaceDE w:val="0"/>
      <w:autoSpaceDN w:val="0"/>
      <w:adjustRightInd w:val="0"/>
      <w:spacing w:line="280" w:lineRule="exact"/>
      <w:ind w:firstLine="0" w:firstLineChars="0"/>
      <w:jc w:val="center"/>
    </w:pPr>
    <w:rPr>
      <w:sz w:val="21"/>
      <w:szCs w:val="21"/>
    </w:rPr>
  </w:style>
  <w:style w:type="character" w:customStyle="1" w:styleId="66">
    <w:name w:val="标题 5 Char"/>
    <w:basedOn w:val="36"/>
    <w:link w:val="6"/>
    <w:qFormat/>
    <w:uiPriority w:val="9"/>
    <w:rPr>
      <w:kern w:val="2"/>
      <w:sz w:val="24"/>
      <w:szCs w:val="24"/>
    </w:rPr>
  </w:style>
  <w:style w:type="character" w:customStyle="1" w:styleId="67">
    <w:name w:val="标题 6 Char"/>
    <w:basedOn w:val="36"/>
    <w:link w:val="7"/>
    <w:semiHidden/>
    <w:qFormat/>
    <w:uiPriority w:val="9"/>
    <w:rPr>
      <w:rFonts w:ascii="Cambria" w:hAnsi="Cambria"/>
      <w:b/>
      <w:bCs/>
      <w:color w:val="000000"/>
      <w:kern w:val="2"/>
      <w:sz w:val="24"/>
      <w:szCs w:val="24"/>
    </w:rPr>
  </w:style>
  <w:style w:type="character" w:customStyle="1" w:styleId="68">
    <w:name w:val="标题 7 Char"/>
    <w:basedOn w:val="36"/>
    <w:link w:val="8"/>
    <w:semiHidden/>
    <w:uiPriority w:val="9"/>
    <w:rPr>
      <w:b/>
      <w:bCs/>
      <w:color w:val="000000"/>
      <w:kern w:val="2"/>
      <w:sz w:val="24"/>
      <w:szCs w:val="24"/>
    </w:rPr>
  </w:style>
  <w:style w:type="character" w:customStyle="1" w:styleId="69">
    <w:name w:val="标题 8 Char"/>
    <w:basedOn w:val="36"/>
    <w:link w:val="9"/>
    <w:semiHidden/>
    <w:uiPriority w:val="9"/>
    <w:rPr>
      <w:rFonts w:ascii="Cambria" w:hAnsi="Cambria"/>
      <w:color w:val="000000"/>
      <w:kern w:val="2"/>
      <w:sz w:val="24"/>
      <w:szCs w:val="24"/>
    </w:rPr>
  </w:style>
  <w:style w:type="character" w:customStyle="1" w:styleId="70">
    <w:name w:val="标题 9 Char"/>
    <w:basedOn w:val="36"/>
    <w:link w:val="10"/>
    <w:semiHidden/>
    <w:qFormat/>
    <w:uiPriority w:val="9"/>
    <w:rPr>
      <w:rFonts w:ascii="Cambria" w:hAnsi="Cambria"/>
      <w:color w:val="000000"/>
      <w:kern w:val="2"/>
      <w:sz w:val="21"/>
      <w:szCs w:val="21"/>
    </w:rPr>
  </w:style>
  <w:style w:type="character" w:customStyle="1" w:styleId="71">
    <w:name w:val="标题 3 Char"/>
    <w:link w:val="4"/>
    <w:uiPriority w:val="0"/>
    <w:rPr>
      <w:b/>
      <w:bCs/>
      <w:kern w:val="2"/>
      <w:sz w:val="24"/>
      <w:szCs w:val="32"/>
    </w:rPr>
  </w:style>
  <w:style w:type="character" w:customStyle="1" w:styleId="72">
    <w:name w:val="标题 1 Char"/>
    <w:link w:val="2"/>
    <w:qFormat/>
    <w:uiPriority w:val="0"/>
    <w:rPr>
      <w:rFonts w:ascii="Arial" w:hAnsi="Arial" w:cs="Arial"/>
      <w:b/>
      <w:bCs/>
      <w:kern w:val="44"/>
      <w:sz w:val="28"/>
      <w:szCs w:val="44"/>
    </w:rPr>
  </w:style>
  <w:style w:type="character" w:customStyle="1" w:styleId="73">
    <w:name w:val="标题 2 Char"/>
    <w:link w:val="3"/>
    <w:uiPriority w:val="0"/>
    <w:rPr>
      <w:rFonts w:ascii="Arial" w:hAnsi="Arial"/>
      <w:b/>
      <w:bCs/>
      <w:kern w:val="2"/>
      <w:sz w:val="24"/>
      <w:szCs w:val="30"/>
    </w:rPr>
  </w:style>
  <w:style w:type="character" w:customStyle="1" w:styleId="74">
    <w:name w:val="标题 4 Char"/>
    <w:link w:val="5"/>
    <w:uiPriority w:val="0"/>
    <w:rPr>
      <w:rFonts w:ascii="Arial" w:hAnsi="Arial"/>
      <w:b/>
      <w:bCs/>
      <w:kern w:val="2"/>
      <w:sz w:val="24"/>
      <w:szCs w:val="28"/>
    </w:rPr>
  </w:style>
  <w:style w:type="character" w:customStyle="1" w:styleId="75">
    <w:name w:val="HTML 预设格式 Char"/>
    <w:link w:val="31"/>
    <w:semiHidden/>
    <w:uiPriority w:val="0"/>
    <w:rPr>
      <w:rFonts w:ascii="宋体" w:hAnsi="宋体" w:cs="宋体"/>
      <w:sz w:val="24"/>
      <w:szCs w:val="24"/>
    </w:rPr>
  </w:style>
  <w:style w:type="character" w:customStyle="1" w:styleId="76">
    <w:name w:val="批注框文本 Char"/>
    <w:link w:val="22"/>
    <w:semiHidden/>
    <w:uiPriority w:val="0"/>
    <w:rPr>
      <w:kern w:val="2"/>
      <w:sz w:val="18"/>
      <w:szCs w:val="18"/>
    </w:rPr>
  </w:style>
  <w:style w:type="character" w:customStyle="1" w:styleId="77">
    <w:name w:val="尾注文本 Char"/>
    <w:link w:val="21"/>
    <w:semiHidden/>
    <w:uiPriority w:val="0"/>
    <w:rPr>
      <w:kern w:val="2"/>
      <w:sz w:val="24"/>
      <w:szCs w:val="24"/>
    </w:rPr>
  </w:style>
  <w:style w:type="character" w:customStyle="1" w:styleId="78">
    <w:name w:val="文档结构图 Char"/>
    <w:link w:val="12"/>
    <w:semiHidden/>
    <w:qFormat/>
    <w:uiPriority w:val="0"/>
    <w:rPr>
      <w:kern w:val="2"/>
      <w:sz w:val="24"/>
      <w:szCs w:val="24"/>
      <w:shd w:val="clear" w:color="auto" w:fill="000080"/>
    </w:rPr>
  </w:style>
  <w:style w:type="character" w:customStyle="1" w:styleId="79">
    <w:name w:val="正文文本 Char"/>
    <w:link w:val="15"/>
    <w:semiHidden/>
    <w:qFormat/>
    <w:uiPriority w:val="0"/>
    <w:rPr>
      <w:kern w:val="2"/>
      <w:sz w:val="24"/>
      <w:szCs w:val="24"/>
    </w:rPr>
  </w:style>
  <w:style w:type="character" w:customStyle="1" w:styleId="80">
    <w:name w:val="正文文本 2 Char"/>
    <w:link w:val="30"/>
    <w:semiHidden/>
    <w:uiPriority w:val="0"/>
    <w:rPr>
      <w:kern w:val="2"/>
      <w:sz w:val="24"/>
      <w:szCs w:val="24"/>
    </w:rPr>
  </w:style>
  <w:style w:type="character" w:customStyle="1" w:styleId="81">
    <w:name w:val="正文文本 3 Char"/>
    <w:link w:val="14"/>
    <w:semiHidden/>
    <w:uiPriority w:val="0"/>
    <w:rPr>
      <w:kern w:val="2"/>
      <w:sz w:val="16"/>
      <w:szCs w:val="16"/>
    </w:rPr>
  </w:style>
  <w:style w:type="character" w:customStyle="1" w:styleId="82">
    <w:name w:val="正文文本缩进 Char"/>
    <w:link w:val="16"/>
    <w:semiHidden/>
    <w:uiPriority w:val="0"/>
    <w:rPr>
      <w:kern w:val="2"/>
      <w:sz w:val="30"/>
      <w:szCs w:val="24"/>
    </w:rPr>
  </w:style>
  <w:style w:type="character" w:customStyle="1" w:styleId="83">
    <w:name w:val="未处理的提及1"/>
    <w:semiHidden/>
    <w:unhideWhenUsed/>
    <w:qFormat/>
    <w:uiPriority w:val="99"/>
    <w:rPr>
      <w:color w:val="605E5C"/>
      <w:shd w:val="clear" w:color="auto" w:fill="E1DFDD"/>
    </w:rPr>
  </w:style>
  <w:style w:type="character" w:customStyle="1" w:styleId="84">
    <w:name w:val="批注文字 Char1"/>
    <w:basedOn w:val="36"/>
    <w:semiHidden/>
    <w:uiPriority w:val="0"/>
    <w:rPr>
      <w:sz w:val="24"/>
    </w:rPr>
  </w:style>
  <w:style w:type="table" w:customStyle="1" w:styleId="85">
    <w:name w:val="网格型2"/>
    <w:basedOn w:val="3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
    <w:name w:val="网格型3"/>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
    <w:name w:val="网格型4"/>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网格型5"/>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9">
    <w:name w:val="标题 3 字符1"/>
    <w:semiHidden/>
    <w:uiPriority w:val="0"/>
    <w:rPr>
      <w:b/>
      <w:bCs/>
      <w:kern w:val="2"/>
      <w:sz w:val="32"/>
      <w:szCs w:val="32"/>
    </w:rPr>
  </w:style>
  <w:style w:type="character" w:customStyle="1" w:styleId="90">
    <w:name w:val="标题 3 Char3"/>
    <w:semiHidden/>
    <w:qFormat/>
    <w:uiPriority w:val="0"/>
    <w:rPr>
      <w:b/>
      <w:bCs/>
      <w:kern w:val="2"/>
      <w:sz w:val="32"/>
      <w:szCs w:val="32"/>
    </w:rPr>
  </w:style>
  <w:style w:type="table" w:customStyle="1" w:styleId="91">
    <w:name w:val="网格型浅色1"/>
    <w:basedOn w:val="33"/>
    <w:qFormat/>
    <w:uiPriority w:val="40"/>
    <w:rPr>
      <w:rFonts w:ascii="Calibri" w:hAnsi="Calibri"/>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92">
    <w:name w:val="表格样式-ls"/>
    <w:basedOn w:val="33"/>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shd w:val="clear" w:color="auto" w:fill="auto"/>
      <w:tcMar>
        <w:left w:w="0" w:type="dxa"/>
        <w:right w:w="0" w:type="dxa"/>
      </w:tcMar>
      <w:vAlign w:val="center"/>
    </w:tcPr>
    <w:tblStylePr w:type="firstRow">
      <w:pPr>
        <w:jc w:val="center"/>
      </w:pPr>
      <w:rPr>
        <w:rFonts w:eastAsia="宋体"/>
        <w:b w:val="0"/>
        <w:bCs/>
        <w:color w:val="auto"/>
        <w:sz w:val="21"/>
      </w:rPr>
      <w:tcPr>
        <w:tcBorders>
          <w:tl2br w:val="nil"/>
          <w:tr2bl w:val="nil"/>
        </w:tcBorders>
        <w:shd w:val="pct20" w:color="000000" w:fill="FFFFFF"/>
      </w:tcPr>
    </w:tblStylePr>
  </w:style>
  <w:style w:type="character" w:styleId="93">
    <w:name w:val="Placeholder Text"/>
    <w:semiHidden/>
    <w:uiPriority w:val="99"/>
    <w:rPr>
      <w:color w:val="808080"/>
    </w:rPr>
  </w:style>
  <w:style w:type="character" w:customStyle="1" w:styleId="94">
    <w:name w:val="批注文字 字符"/>
    <w:semiHidden/>
    <w:qFormat/>
    <w:uiPriority w:val="0"/>
    <w:rPr>
      <w:sz w:val="24"/>
    </w:rPr>
  </w:style>
  <w:style w:type="character" w:customStyle="1" w:styleId="95">
    <w:name w:val="HTML 预设格式 字符"/>
    <w:semiHidden/>
    <w:qFormat/>
    <w:uiPriority w:val="0"/>
    <w:rPr>
      <w:rFonts w:ascii="宋体" w:hAnsi="宋体" w:cs="宋体"/>
      <w:sz w:val="24"/>
      <w:szCs w:val="24"/>
    </w:rPr>
  </w:style>
  <w:style w:type="character" w:customStyle="1" w:styleId="96">
    <w:name w:val="批注框文本 字符"/>
    <w:semiHidden/>
    <w:uiPriority w:val="0"/>
    <w:rPr>
      <w:kern w:val="2"/>
      <w:sz w:val="18"/>
      <w:szCs w:val="18"/>
    </w:rPr>
  </w:style>
  <w:style w:type="character" w:customStyle="1" w:styleId="97">
    <w:name w:val="日期 字符"/>
    <w:semiHidden/>
    <w:uiPriority w:val="0"/>
    <w:rPr>
      <w:kern w:val="2"/>
      <w:sz w:val="30"/>
      <w:szCs w:val="24"/>
    </w:rPr>
  </w:style>
  <w:style w:type="character" w:customStyle="1" w:styleId="98">
    <w:name w:val="尾注文本 字符"/>
    <w:semiHidden/>
    <w:qFormat/>
    <w:uiPriority w:val="0"/>
    <w:rPr>
      <w:kern w:val="2"/>
      <w:sz w:val="24"/>
      <w:szCs w:val="24"/>
    </w:rPr>
  </w:style>
  <w:style w:type="character" w:customStyle="1" w:styleId="99">
    <w:name w:val="文档结构图 字符"/>
    <w:semiHidden/>
    <w:uiPriority w:val="0"/>
    <w:rPr>
      <w:kern w:val="2"/>
      <w:sz w:val="24"/>
      <w:szCs w:val="24"/>
      <w:shd w:val="clear" w:color="auto" w:fill="000080"/>
    </w:rPr>
  </w:style>
  <w:style w:type="character" w:customStyle="1" w:styleId="100">
    <w:name w:val="正文文本 字符"/>
    <w:semiHidden/>
    <w:qFormat/>
    <w:uiPriority w:val="0"/>
    <w:rPr>
      <w:kern w:val="2"/>
      <w:sz w:val="24"/>
      <w:szCs w:val="24"/>
    </w:rPr>
  </w:style>
  <w:style w:type="character" w:customStyle="1" w:styleId="101">
    <w:name w:val="正文文本 2 字符"/>
    <w:semiHidden/>
    <w:uiPriority w:val="0"/>
    <w:rPr>
      <w:kern w:val="2"/>
      <w:sz w:val="24"/>
      <w:szCs w:val="24"/>
    </w:rPr>
  </w:style>
  <w:style w:type="character" w:customStyle="1" w:styleId="102">
    <w:name w:val="正文文本 3 字符"/>
    <w:semiHidden/>
    <w:uiPriority w:val="0"/>
    <w:rPr>
      <w:kern w:val="2"/>
      <w:sz w:val="16"/>
      <w:szCs w:val="16"/>
    </w:rPr>
  </w:style>
  <w:style w:type="character" w:customStyle="1" w:styleId="103">
    <w:name w:val="正文文本缩进 字符"/>
    <w:semiHidden/>
    <w:qFormat/>
    <w:uiPriority w:val="0"/>
    <w:rPr>
      <w:kern w:val="2"/>
      <w:sz w:val="30"/>
      <w:szCs w:val="24"/>
    </w:rPr>
  </w:style>
  <w:style w:type="character" w:customStyle="1" w:styleId="104">
    <w:name w:val="表格 字符"/>
    <w:qFormat/>
    <w:uiPriority w:val="0"/>
    <w:rPr>
      <w:kern w:val="2"/>
      <w:sz w:val="21"/>
      <w:szCs w:val="24"/>
    </w:rPr>
  </w:style>
  <w:style w:type="paragraph" w:styleId="105">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31.emf"/><Relationship Id="rId98" Type="http://schemas.openxmlformats.org/officeDocument/2006/relationships/oleObject" Target="embeddings/oleObject17.bin"/><Relationship Id="rId97" Type="http://schemas.openxmlformats.org/officeDocument/2006/relationships/image" Target="media/image30.emf"/><Relationship Id="rId96" Type="http://schemas.openxmlformats.org/officeDocument/2006/relationships/oleObject" Target="embeddings/oleObject16.bin"/><Relationship Id="rId95" Type="http://schemas.openxmlformats.org/officeDocument/2006/relationships/image" Target="media/image29.png"/><Relationship Id="rId94" Type="http://schemas.openxmlformats.org/officeDocument/2006/relationships/image" Target="media/image28.png"/><Relationship Id="rId93" Type="http://schemas.openxmlformats.org/officeDocument/2006/relationships/image" Target="media/image27.png"/><Relationship Id="rId92" Type="http://schemas.openxmlformats.org/officeDocument/2006/relationships/image" Target="media/image26.png"/><Relationship Id="rId91" Type="http://schemas.openxmlformats.org/officeDocument/2006/relationships/image" Target="media/image25.png"/><Relationship Id="rId90" Type="http://schemas.openxmlformats.org/officeDocument/2006/relationships/image" Target="media/image24.png"/><Relationship Id="rId9" Type="http://schemas.openxmlformats.org/officeDocument/2006/relationships/header" Target="header4.xml"/><Relationship Id="rId89" Type="http://schemas.openxmlformats.org/officeDocument/2006/relationships/image" Target="media/image23.png"/><Relationship Id="rId88" Type="http://schemas.openxmlformats.org/officeDocument/2006/relationships/image" Target="media/image22.png"/><Relationship Id="rId87" Type="http://schemas.openxmlformats.org/officeDocument/2006/relationships/image" Target="media/image21.png"/><Relationship Id="rId86" Type="http://schemas.openxmlformats.org/officeDocument/2006/relationships/image" Target="media/image20.png"/><Relationship Id="rId85" Type="http://schemas.openxmlformats.org/officeDocument/2006/relationships/image" Target="media/image19.png"/><Relationship Id="rId84" Type="http://schemas.openxmlformats.org/officeDocument/2006/relationships/image" Target="media/image18.png"/><Relationship Id="rId83" Type="http://schemas.openxmlformats.org/officeDocument/2006/relationships/image" Target="media/image17.png"/><Relationship Id="rId82" Type="http://schemas.openxmlformats.org/officeDocument/2006/relationships/image" Target="media/image16.png"/><Relationship Id="rId81" Type="http://schemas.openxmlformats.org/officeDocument/2006/relationships/image" Target="media/image15.png"/><Relationship Id="rId80" Type="http://schemas.openxmlformats.org/officeDocument/2006/relationships/image" Target="media/image14.emf"/><Relationship Id="rId8" Type="http://schemas.openxmlformats.org/officeDocument/2006/relationships/footer" Target="footer3.xml"/><Relationship Id="rId79" Type="http://schemas.openxmlformats.org/officeDocument/2006/relationships/image" Target="media/image13.wmf"/><Relationship Id="rId78" Type="http://schemas.openxmlformats.org/officeDocument/2006/relationships/oleObject" Target="embeddings/oleObject15.bin"/><Relationship Id="rId77" Type="http://schemas.openxmlformats.org/officeDocument/2006/relationships/image" Target="media/image12.wmf"/><Relationship Id="rId76" Type="http://schemas.openxmlformats.org/officeDocument/2006/relationships/oleObject" Target="embeddings/oleObject14.bin"/><Relationship Id="rId75" Type="http://schemas.openxmlformats.org/officeDocument/2006/relationships/image" Target="media/image11.wmf"/><Relationship Id="rId74" Type="http://schemas.openxmlformats.org/officeDocument/2006/relationships/oleObject" Target="embeddings/oleObject13.bin"/><Relationship Id="rId73" Type="http://schemas.openxmlformats.org/officeDocument/2006/relationships/image" Target="media/image10.wmf"/><Relationship Id="rId72" Type="http://schemas.openxmlformats.org/officeDocument/2006/relationships/oleObject" Target="embeddings/oleObject12.bin"/><Relationship Id="rId71" Type="http://schemas.openxmlformats.org/officeDocument/2006/relationships/image" Target="media/image9.wmf"/><Relationship Id="rId70" Type="http://schemas.openxmlformats.org/officeDocument/2006/relationships/oleObject" Target="embeddings/oleObject11.bin"/><Relationship Id="rId7" Type="http://schemas.openxmlformats.org/officeDocument/2006/relationships/footer" Target="footer2.xml"/><Relationship Id="rId69" Type="http://schemas.openxmlformats.org/officeDocument/2006/relationships/image" Target="media/image8.wmf"/><Relationship Id="rId68" Type="http://schemas.openxmlformats.org/officeDocument/2006/relationships/oleObject" Target="embeddings/oleObject10.bin"/><Relationship Id="rId67" Type="http://schemas.openxmlformats.org/officeDocument/2006/relationships/oleObject" Target="embeddings/oleObject9.bin"/><Relationship Id="rId66" Type="http://schemas.openxmlformats.org/officeDocument/2006/relationships/oleObject" Target="embeddings/oleObject8.bin"/><Relationship Id="rId65" Type="http://schemas.openxmlformats.org/officeDocument/2006/relationships/image" Target="media/image7.wmf"/><Relationship Id="rId64" Type="http://schemas.openxmlformats.org/officeDocument/2006/relationships/oleObject" Target="embeddings/oleObject7.bin"/><Relationship Id="rId63" Type="http://schemas.openxmlformats.org/officeDocument/2006/relationships/image" Target="media/image6.wmf"/><Relationship Id="rId62" Type="http://schemas.openxmlformats.org/officeDocument/2006/relationships/oleObject" Target="embeddings/oleObject6.bin"/><Relationship Id="rId61" Type="http://schemas.openxmlformats.org/officeDocument/2006/relationships/image" Target="media/image5.wmf"/><Relationship Id="rId60" Type="http://schemas.openxmlformats.org/officeDocument/2006/relationships/oleObject" Target="embeddings/oleObject5.bin"/><Relationship Id="rId6" Type="http://schemas.openxmlformats.org/officeDocument/2006/relationships/footer" Target="footer1.xml"/><Relationship Id="rId59" Type="http://schemas.openxmlformats.org/officeDocument/2006/relationships/image" Target="media/image4.wmf"/><Relationship Id="rId58" Type="http://schemas.openxmlformats.org/officeDocument/2006/relationships/oleObject" Target="embeddings/oleObject4.bin"/><Relationship Id="rId57" Type="http://schemas.openxmlformats.org/officeDocument/2006/relationships/image" Target="media/image3.wmf"/><Relationship Id="rId56" Type="http://schemas.openxmlformats.org/officeDocument/2006/relationships/oleObject" Target="embeddings/oleObject3.bin"/><Relationship Id="rId55" Type="http://schemas.openxmlformats.org/officeDocument/2006/relationships/image" Target="media/image2.wmf"/><Relationship Id="rId54" Type="http://schemas.openxmlformats.org/officeDocument/2006/relationships/oleObject" Target="embeddings/oleObject2.bin"/><Relationship Id="rId53" Type="http://schemas.openxmlformats.org/officeDocument/2006/relationships/image" Target="media/image1.emf"/><Relationship Id="rId52" Type="http://schemas.openxmlformats.org/officeDocument/2006/relationships/oleObject" Target="embeddings/oleObject1.bin"/><Relationship Id="rId51" Type="http://schemas.openxmlformats.org/officeDocument/2006/relationships/theme" Target="theme/theme1.xml"/><Relationship Id="rId50" Type="http://schemas.openxmlformats.org/officeDocument/2006/relationships/footer" Target="footer24.xml"/><Relationship Id="rId5" Type="http://schemas.openxmlformats.org/officeDocument/2006/relationships/header" Target="header3.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4.xml"/><Relationship Id="rId46" Type="http://schemas.openxmlformats.org/officeDocument/2006/relationships/header" Target="header23.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header" Target="header1.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8" Type="http://schemas.openxmlformats.org/officeDocument/2006/relationships/fontTable" Target="fontTable.xml"/><Relationship Id="rId107" Type="http://schemas.openxmlformats.org/officeDocument/2006/relationships/customXml" Target="../customXml/item2.xml"/><Relationship Id="rId106" Type="http://schemas.openxmlformats.org/officeDocument/2006/relationships/customXml" Target="../customXml/item1.xml"/><Relationship Id="rId105" Type="http://schemas.openxmlformats.org/officeDocument/2006/relationships/image" Target="media/image35.png"/><Relationship Id="rId104" Type="http://schemas.openxmlformats.org/officeDocument/2006/relationships/image" Target="media/image34.png"/><Relationship Id="rId103" Type="http://schemas.openxmlformats.org/officeDocument/2006/relationships/image" Target="media/image33.emf"/><Relationship Id="rId102" Type="http://schemas.openxmlformats.org/officeDocument/2006/relationships/oleObject" Target="embeddings/oleObject19.bin"/><Relationship Id="rId101" Type="http://schemas.openxmlformats.org/officeDocument/2006/relationships/image" Target="media/image32.emf"/><Relationship Id="rId100" Type="http://schemas.openxmlformats.org/officeDocument/2006/relationships/oleObject" Target="embeddings/oleObject18.bin"/><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F1924C-1A26-4B44-80A6-23B257C65341}">
  <ds:schemaRefs/>
</ds:datastoreItem>
</file>

<file path=docProps/app.xml><?xml version="1.0" encoding="utf-8"?>
<Properties xmlns="http://schemas.openxmlformats.org/officeDocument/2006/extended-properties" xmlns:vt="http://schemas.openxmlformats.org/officeDocument/2006/docPropsVTypes">
  <Template>论文模板.dot</Template>
  <Company>s</Company>
  <Pages>317</Pages>
  <Words>38633</Words>
  <Characters>220210</Characters>
  <Lines>1835</Lines>
  <Paragraphs>516</Paragraphs>
  <TotalTime>1527</TotalTime>
  <ScaleCrop>false</ScaleCrop>
  <LinksUpToDate>false</LinksUpToDate>
  <CharactersWithSpaces>258327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2020-12-05T04:22:00Z</dcterms:created>
  <dc:creator>111</dc:creator>
  <cp:lastModifiedBy>文勇</cp:lastModifiedBy>
  <cp:lastPrinted>2022-02-28T06:55:00Z</cp:lastPrinted>
  <dcterms:modified xsi:type="dcterms:W3CDTF">2022-03-24T09:08:01Z</dcterms:modified>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