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DF8" w:rsidRDefault="00D61DF8">
      <w:pPr>
        <w:ind w:right="-20"/>
        <w:jc w:val="center"/>
        <w:rPr>
          <w:rFonts w:eastAsia="黑体" w:hint="eastAsia"/>
          <w:sz w:val="40"/>
          <w:szCs w:val="40"/>
        </w:rPr>
      </w:pPr>
      <w:r>
        <w:rPr>
          <w:rFonts w:eastAsia="黑体" w:hint="eastAsia"/>
          <w:sz w:val="40"/>
          <w:szCs w:val="40"/>
        </w:rPr>
        <w:t>重庆新氟科技有限公司</w:t>
      </w:r>
    </w:p>
    <w:p w:rsidR="004A6364" w:rsidRDefault="002601B4">
      <w:pPr>
        <w:ind w:right="-20"/>
        <w:jc w:val="center"/>
        <w:rPr>
          <w:rFonts w:eastAsia="黑体"/>
          <w:sz w:val="40"/>
          <w:szCs w:val="40"/>
        </w:rPr>
      </w:pPr>
      <w:r>
        <w:rPr>
          <w:rFonts w:eastAsia="黑体"/>
          <w:sz w:val="40"/>
          <w:szCs w:val="40"/>
        </w:rPr>
        <w:t>防治污染设施的建设和运行情况</w:t>
      </w:r>
    </w:p>
    <w:p w:rsidR="004A6364" w:rsidRDefault="004A6364">
      <w:pPr>
        <w:ind w:firstLineChars="200" w:firstLine="562"/>
        <w:rPr>
          <w:rFonts w:asciiTheme="minorEastAsia" w:eastAsiaTheme="minorEastAsia" w:hAnsiTheme="minorEastAsia" w:cstheme="minorEastAsia"/>
          <w:b/>
          <w:kern w:val="0"/>
          <w:sz w:val="28"/>
          <w:szCs w:val="28"/>
        </w:rPr>
      </w:pPr>
    </w:p>
    <w:p w:rsidR="004A6364" w:rsidRDefault="004A6364">
      <w:pPr>
        <w:rPr>
          <w:b/>
          <w:kern w:val="0"/>
          <w:sz w:val="28"/>
          <w:szCs w:val="28"/>
        </w:rPr>
      </w:pPr>
    </w:p>
    <w:tbl>
      <w:tblPr>
        <w:tblStyle w:val="a8"/>
        <w:tblW w:w="0" w:type="auto"/>
        <w:tblLook w:val="04A0"/>
      </w:tblPr>
      <w:tblGrid>
        <w:gridCol w:w="908"/>
        <w:gridCol w:w="3346"/>
        <w:gridCol w:w="2128"/>
        <w:gridCol w:w="8121"/>
      </w:tblGrid>
      <w:tr w:rsidR="004A6364">
        <w:tc>
          <w:tcPr>
            <w:tcW w:w="908" w:type="dxa"/>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3346" w:type="dxa"/>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主要风险措施与应急措施</w:t>
            </w:r>
          </w:p>
        </w:tc>
        <w:tc>
          <w:tcPr>
            <w:tcW w:w="10249" w:type="dxa"/>
            <w:gridSpan w:val="2"/>
            <w:vAlign w:val="center"/>
          </w:tcPr>
          <w:p w:rsidR="004A6364" w:rsidRDefault="002601B4">
            <w:pPr>
              <w:pStyle w:val="a4"/>
              <w:jc w:val="center"/>
              <w:rPr>
                <w:rFonts w:eastAsia="宋体"/>
                <w:sz w:val="21"/>
                <w:szCs w:val="21"/>
              </w:rPr>
            </w:pPr>
            <w:r>
              <w:rPr>
                <w:rFonts w:ascii="宋体" w:eastAsia="宋体" w:hAnsi="宋体" w:cs="宋体" w:hint="eastAsia"/>
                <w:b/>
                <w:bCs/>
                <w:sz w:val="24"/>
                <w:szCs w:val="24"/>
              </w:rPr>
              <w:t>风险与应急措施</w:t>
            </w:r>
          </w:p>
        </w:tc>
      </w:tr>
      <w:tr w:rsidR="004A6364">
        <w:tc>
          <w:tcPr>
            <w:tcW w:w="908"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1</w:t>
            </w:r>
          </w:p>
        </w:tc>
        <w:tc>
          <w:tcPr>
            <w:tcW w:w="3346"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废水环境风险防控及应急措施</w:t>
            </w:r>
          </w:p>
        </w:tc>
        <w:tc>
          <w:tcPr>
            <w:tcW w:w="2128" w:type="dxa"/>
          </w:tcPr>
          <w:p w:rsidR="004A6364" w:rsidRDefault="002601B4">
            <w:pPr>
              <w:pStyle w:val="a4"/>
              <w:rPr>
                <w:rFonts w:eastAsia="宋体"/>
                <w:sz w:val="21"/>
                <w:szCs w:val="21"/>
              </w:rPr>
            </w:pPr>
            <w:r>
              <w:rPr>
                <w:rFonts w:eastAsia="宋体" w:hint="eastAsia"/>
                <w:sz w:val="21"/>
                <w:szCs w:val="21"/>
              </w:rPr>
              <w:t>生活污水系统</w:t>
            </w:r>
          </w:p>
        </w:tc>
        <w:tc>
          <w:tcPr>
            <w:tcW w:w="8121" w:type="dxa"/>
          </w:tcPr>
          <w:p w:rsidR="004A6364" w:rsidRDefault="002601B4" w:rsidP="00D61DF8">
            <w:pPr>
              <w:pStyle w:val="Style1"/>
              <w:spacing w:line="240" w:lineRule="auto"/>
              <w:ind w:rightChars="95" w:right="304"/>
              <w:rPr>
                <w:rFonts w:ascii="Cambria" w:eastAsia="宋体" w:hAnsi="Cambria"/>
                <w:sz w:val="21"/>
                <w:szCs w:val="21"/>
              </w:rPr>
            </w:pPr>
            <w:r>
              <w:rPr>
                <w:rFonts w:ascii="Cambria" w:eastAsia="宋体" w:hAnsi="Cambria" w:hint="eastAsia"/>
                <w:sz w:val="21"/>
                <w:szCs w:val="21"/>
              </w:rPr>
              <w:t>厂区内生活污水由生化池预处理后排入厂区生活污水管网，经厂区污水生化处理系统处理达标后，由</w:t>
            </w:r>
            <w:proofErr w:type="gramStart"/>
            <w:r>
              <w:rPr>
                <w:rFonts w:ascii="Cambria" w:eastAsia="宋体" w:hAnsi="Cambria" w:hint="eastAsia"/>
                <w:sz w:val="21"/>
                <w:szCs w:val="21"/>
              </w:rPr>
              <w:t>厂区总</w:t>
            </w:r>
            <w:proofErr w:type="gramEnd"/>
            <w:r>
              <w:rPr>
                <w:rFonts w:ascii="Cambria" w:eastAsia="宋体" w:hAnsi="Cambria" w:hint="eastAsia"/>
                <w:sz w:val="21"/>
                <w:szCs w:val="21"/>
              </w:rPr>
              <w:t>排放口接入园区污水干管排入乌江。</w:t>
            </w:r>
          </w:p>
          <w:p w:rsidR="004A6364" w:rsidRDefault="004A6364">
            <w:pPr>
              <w:pStyle w:val="a4"/>
              <w:rPr>
                <w:rFonts w:eastAsia="宋体"/>
                <w:sz w:val="21"/>
                <w:szCs w:val="21"/>
              </w:rPr>
            </w:pPr>
          </w:p>
        </w:tc>
      </w:tr>
      <w:tr w:rsidR="004A6364">
        <w:tc>
          <w:tcPr>
            <w:tcW w:w="908" w:type="dxa"/>
            <w:vMerge/>
            <w:vAlign w:val="center"/>
          </w:tcPr>
          <w:p w:rsidR="004A6364" w:rsidRDefault="004A6364">
            <w:pPr>
              <w:pStyle w:val="a4"/>
              <w:jc w:val="center"/>
              <w:rPr>
                <w:rFonts w:ascii="宋体" w:eastAsia="宋体" w:hAnsi="宋体" w:cs="宋体"/>
                <w:b/>
                <w:bCs/>
                <w:sz w:val="24"/>
                <w:szCs w:val="24"/>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tcPr>
          <w:p w:rsidR="004A6364" w:rsidRDefault="002601B4">
            <w:pPr>
              <w:ind w:rightChars="95" w:right="304"/>
              <w:rPr>
                <w:rFonts w:ascii="Cambria" w:eastAsia="宋体" w:hAnsi="Cambria"/>
                <w:sz w:val="21"/>
                <w:szCs w:val="21"/>
              </w:rPr>
            </w:pPr>
            <w:r>
              <w:rPr>
                <w:rFonts w:ascii="Cambria" w:eastAsia="宋体" w:hAnsi="Cambria" w:hint="eastAsia"/>
                <w:sz w:val="21"/>
                <w:szCs w:val="21"/>
              </w:rPr>
              <w:t>生产废水系统</w:t>
            </w:r>
          </w:p>
        </w:tc>
        <w:tc>
          <w:tcPr>
            <w:tcW w:w="8121" w:type="dxa"/>
          </w:tcPr>
          <w:p w:rsidR="004A6364" w:rsidRDefault="002601B4" w:rsidP="00D61DF8">
            <w:pPr>
              <w:pStyle w:val="Style1"/>
              <w:spacing w:line="240" w:lineRule="auto"/>
              <w:ind w:rightChars="95" w:right="304"/>
              <w:rPr>
                <w:rFonts w:ascii="Cambria" w:eastAsia="宋体" w:hAnsi="Cambria"/>
                <w:sz w:val="21"/>
                <w:szCs w:val="21"/>
              </w:rPr>
            </w:pPr>
            <w:r>
              <w:rPr>
                <w:rFonts w:ascii="Cambria" w:eastAsia="宋体" w:hAnsi="Cambria" w:hint="eastAsia"/>
                <w:sz w:val="21"/>
                <w:szCs w:val="21"/>
              </w:rPr>
              <w:t>厂区生产废水采取分类处置，将生产废水分为高浓度含氟废水、低浓度含氟废水，高浓度含氟废水经高浓度废水系统预处理后排入生化系统进一步处理，低浓度含氟废水经低浓度含氟废水系统预处理后排入生化系统进一步处理。厂区生产废水和生活污水经生化处理系统处理达标后，由</w:t>
            </w:r>
            <w:proofErr w:type="gramStart"/>
            <w:r>
              <w:rPr>
                <w:rFonts w:ascii="Cambria" w:eastAsia="宋体" w:hAnsi="Cambria" w:hint="eastAsia"/>
                <w:sz w:val="21"/>
                <w:szCs w:val="21"/>
              </w:rPr>
              <w:t>厂区总</w:t>
            </w:r>
            <w:proofErr w:type="gramEnd"/>
            <w:r>
              <w:rPr>
                <w:rFonts w:ascii="Cambria" w:eastAsia="宋体" w:hAnsi="Cambria" w:hint="eastAsia"/>
                <w:sz w:val="21"/>
                <w:szCs w:val="21"/>
              </w:rPr>
              <w:t>排放口接入园区污水干管排入乌江。</w:t>
            </w:r>
          </w:p>
        </w:tc>
      </w:tr>
      <w:tr w:rsidR="004A6364">
        <w:tc>
          <w:tcPr>
            <w:tcW w:w="908" w:type="dxa"/>
            <w:vMerge/>
            <w:vAlign w:val="center"/>
          </w:tcPr>
          <w:p w:rsidR="004A6364" w:rsidRDefault="004A6364">
            <w:pPr>
              <w:pStyle w:val="a4"/>
              <w:jc w:val="center"/>
              <w:rPr>
                <w:rFonts w:ascii="宋体" w:eastAsia="宋体" w:hAnsi="宋体" w:cs="宋体"/>
                <w:b/>
                <w:bCs/>
                <w:sz w:val="24"/>
                <w:szCs w:val="24"/>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tcPr>
          <w:p w:rsidR="004A6364" w:rsidRDefault="002601B4">
            <w:pPr>
              <w:ind w:left="235" w:rightChars="95" w:right="304"/>
              <w:rPr>
                <w:rFonts w:ascii="Cambria" w:eastAsia="宋体" w:hAnsi="Cambria"/>
                <w:sz w:val="21"/>
                <w:szCs w:val="21"/>
              </w:rPr>
            </w:pPr>
            <w:r>
              <w:rPr>
                <w:rFonts w:ascii="Cambria" w:eastAsia="宋体" w:hAnsi="Cambria" w:hint="eastAsia"/>
                <w:sz w:val="21"/>
                <w:szCs w:val="21"/>
              </w:rPr>
              <w:t>雨水系统</w:t>
            </w:r>
          </w:p>
        </w:tc>
        <w:tc>
          <w:tcPr>
            <w:tcW w:w="8121" w:type="dxa"/>
          </w:tcPr>
          <w:p w:rsidR="004A6364" w:rsidRDefault="002601B4" w:rsidP="00D61DF8">
            <w:pPr>
              <w:pStyle w:val="Style1"/>
              <w:spacing w:line="240" w:lineRule="auto"/>
              <w:ind w:rightChars="95" w:right="304"/>
              <w:rPr>
                <w:rFonts w:ascii="Cambria" w:eastAsia="宋体" w:hAnsi="Cambria"/>
                <w:sz w:val="21"/>
                <w:szCs w:val="21"/>
              </w:rPr>
            </w:pPr>
            <w:r>
              <w:rPr>
                <w:rFonts w:ascii="Cambria" w:eastAsia="宋体" w:hAnsi="Cambria" w:hint="eastAsia"/>
                <w:sz w:val="21"/>
                <w:szCs w:val="21"/>
              </w:rPr>
              <w:t>目前厂区初期雨水主要来自罐区以及装置的地面雨水。在西南平台已建成</w:t>
            </w:r>
            <w:r>
              <w:rPr>
                <w:rFonts w:ascii="Cambria" w:eastAsia="宋体" w:hAnsi="Cambria" w:hint="eastAsia"/>
                <w:sz w:val="21"/>
                <w:szCs w:val="21"/>
              </w:rPr>
              <w:t>1</w:t>
            </w:r>
            <w:r>
              <w:rPr>
                <w:rFonts w:ascii="Cambria" w:eastAsia="宋体" w:hAnsi="Cambria" w:hint="eastAsia"/>
                <w:sz w:val="21"/>
                <w:szCs w:val="21"/>
              </w:rPr>
              <w:t>个初期雨水池，收集并输送西南平台初期雨水至废水收集池，和生产废水一并处理，未被污染的雨水经西南平台的雨水管网排出厂区。</w:t>
            </w:r>
          </w:p>
          <w:p w:rsidR="004A6364" w:rsidRDefault="002601B4" w:rsidP="00D61DF8">
            <w:pPr>
              <w:pStyle w:val="Style1"/>
              <w:spacing w:line="240" w:lineRule="auto"/>
              <w:ind w:rightChars="95" w:right="304"/>
              <w:rPr>
                <w:rFonts w:ascii="Cambria" w:eastAsia="宋体" w:hAnsi="Cambria"/>
                <w:sz w:val="21"/>
                <w:szCs w:val="21"/>
              </w:rPr>
            </w:pPr>
            <w:r>
              <w:rPr>
                <w:rFonts w:ascii="Cambria" w:eastAsia="宋体" w:hAnsi="Cambria" w:hint="eastAsia"/>
                <w:sz w:val="21"/>
                <w:szCs w:val="21"/>
              </w:rPr>
              <w:t>在厂区东北平台已建成雨污切换系统，收集初期雨水输送至厂区废水收集池，</w:t>
            </w:r>
            <w:r>
              <w:rPr>
                <w:rFonts w:ascii="Cambria" w:eastAsia="宋体" w:hAnsi="Cambria" w:hint="eastAsia"/>
                <w:sz w:val="21"/>
                <w:szCs w:val="21"/>
              </w:rPr>
              <w:t xml:space="preserve"> </w:t>
            </w:r>
            <w:r>
              <w:rPr>
                <w:rFonts w:ascii="Cambria" w:eastAsia="宋体" w:hAnsi="Cambria" w:hint="eastAsia"/>
                <w:sz w:val="21"/>
                <w:szCs w:val="21"/>
              </w:rPr>
              <w:t>未被污染的雨水通过东北平台雨水管网排出厂区。罐区及装置区后期的清净雨水及</w:t>
            </w:r>
            <w:r>
              <w:rPr>
                <w:rFonts w:ascii="Cambria" w:eastAsia="宋体" w:hAnsi="Cambria" w:hint="eastAsia"/>
                <w:sz w:val="21"/>
                <w:szCs w:val="21"/>
              </w:rPr>
              <w:lastRenderedPageBreak/>
              <w:t>其他未被污染雨水排入厂区雨水管网，最终汇入厂区附近园区雨水管网，就近排入陈家坝沟。</w:t>
            </w:r>
          </w:p>
        </w:tc>
      </w:tr>
      <w:tr w:rsidR="004A6364">
        <w:tc>
          <w:tcPr>
            <w:tcW w:w="908" w:type="dxa"/>
            <w:vMerge/>
            <w:vAlign w:val="center"/>
          </w:tcPr>
          <w:p w:rsidR="004A6364" w:rsidRDefault="004A6364">
            <w:pPr>
              <w:pStyle w:val="a4"/>
              <w:jc w:val="center"/>
              <w:rPr>
                <w:rFonts w:ascii="宋体" w:eastAsia="宋体" w:hAnsi="宋体" w:cs="宋体"/>
                <w:b/>
                <w:bCs/>
                <w:sz w:val="24"/>
                <w:szCs w:val="24"/>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tcPr>
          <w:p w:rsidR="004A6364" w:rsidRDefault="002601B4">
            <w:pPr>
              <w:ind w:rightChars="95" w:right="304"/>
              <w:rPr>
                <w:rFonts w:ascii="Cambria" w:eastAsia="宋体" w:hAnsi="Cambria"/>
                <w:sz w:val="21"/>
                <w:szCs w:val="21"/>
              </w:rPr>
            </w:pPr>
            <w:r>
              <w:rPr>
                <w:rFonts w:ascii="Cambria" w:eastAsia="宋体" w:hAnsi="Cambria" w:hint="eastAsia"/>
                <w:sz w:val="21"/>
                <w:szCs w:val="21"/>
              </w:rPr>
              <w:t>清净下水系统</w:t>
            </w:r>
          </w:p>
          <w:p w:rsidR="004A6364" w:rsidRDefault="004A6364">
            <w:pPr>
              <w:pStyle w:val="a4"/>
              <w:rPr>
                <w:rFonts w:eastAsia="宋体"/>
                <w:sz w:val="21"/>
                <w:szCs w:val="21"/>
              </w:rPr>
            </w:pPr>
          </w:p>
        </w:tc>
        <w:tc>
          <w:tcPr>
            <w:tcW w:w="8121" w:type="dxa"/>
          </w:tcPr>
          <w:p w:rsidR="004A6364" w:rsidRDefault="002601B4" w:rsidP="00D61DF8">
            <w:pPr>
              <w:pStyle w:val="Style1"/>
              <w:spacing w:line="240" w:lineRule="auto"/>
              <w:ind w:rightChars="95" w:right="304"/>
              <w:rPr>
                <w:rFonts w:ascii="Cambria" w:eastAsia="宋体" w:hAnsi="Cambria"/>
                <w:sz w:val="21"/>
                <w:szCs w:val="21"/>
              </w:rPr>
            </w:pPr>
            <w:r>
              <w:rPr>
                <w:rFonts w:ascii="Cambria" w:eastAsia="宋体" w:hAnsi="Cambria" w:hint="eastAsia"/>
                <w:sz w:val="21"/>
                <w:szCs w:val="21"/>
              </w:rPr>
              <w:t>清净下水通过厂区清净下水系统就近排入陈家坝沟，汇入后溪河。清净下水包括循环水站排水、去离子水站排水，通过现有清净下水系统排放。</w:t>
            </w:r>
          </w:p>
        </w:tc>
      </w:tr>
      <w:tr w:rsidR="004A6364">
        <w:trPr>
          <w:trHeight w:val="667"/>
        </w:trPr>
        <w:tc>
          <w:tcPr>
            <w:tcW w:w="908" w:type="dxa"/>
            <w:vMerge/>
            <w:vAlign w:val="center"/>
          </w:tcPr>
          <w:p w:rsidR="004A6364" w:rsidRDefault="004A6364">
            <w:pPr>
              <w:pStyle w:val="a4"/>
              <w:jc w:val="center"/>
              <w:rPr>
                <w:rFonts w:ascii="宋体" w:eastAsia="宋体" w:hAnsi="宋体" w:cs="宋体"/>
                <w:b/>
                <w:bCs/>
                <w:sz w:val="24"/>
                <w:szCs w:val="24"/>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tcPr>
          <w:p w:rsidR="004A6364" w:rsidRDefault="002601B4">
            <w:pPr>
              <w:ind w:rightChars="95" w:right="304"/>
              <w:rPr>
                <w:rFonts w:ascii="Cambria" w:eastAsia="宋体" w:hAnsi="Cambria"/>
                <w:sz w:val="21"/>
                <w:szCs w:val="21"/>
              </w:rPr>
            </w:pPr>
            <w:r>
              <w:rPr>
                <w:rFonts w:ascii="Cambria" w:eastAsia="宋体" w:hAnsi="Cambria" w:hint="eastAsia"/>
                <w:sz w:val="21"/>
                <w:szCs w:val="21"/>
              </w:rPr>
              <w:t>稀盐酸处理系统</w:t>
            </w:r>
          </w:p>
        </w:tc>
        <w:tc>
          <w:tcPr>
            <w:tcW w:w="8121" w:type="dxa"/>
          </w:tcPr>
          <w:p w:rsidR="004A6364" w:rsidRDefault="002601B4" w:rsidP="00D61DF8">
            <w:pPr>
              <w:pStyle w:val="Style1"/>
              <w:spacing w:line="240" w:lineRule="auto"/>
              <w:ind w:rightChars="95" w:right="304"/>
              <w:rPr>
                <w:rFonts w:ascii="Cambria" w:eastAsia="宋体" w:hAnsi="Cambria"/>
                <w:sz w:val="21"/>
                <w:szCs w:val="21"/>
              </w:rPr>
            </w:pPr>
            <w:r>
              <w:rPr>
                <w:rFonts w:ascii="Cambria" w:eastAsia="宋体" w:hAnsi="Cambria" w:hint="eastAsia"/>
                <w:sz w:val="21"/>
                <w:szCs w:val="21"/>
              </w:rPr>
              <w:t xml:space="preserve">TFE </w:t>
            </w:r>
            <w:r>
              <w:rPr>
                <w:rFonts w:ascii="Cambria" w:eastAsia="宋体" w:hAnsi="Cambria" w:hint="eastAsia"/>
                <w:sz w:val="21"/>
                <w:szCs w:val="21"/>
              </w:rPr>
              <w:t>装置产生稀盐酸作为副产品外售，取消稀盐酸废水排水系统。</w:t>
            </w:r>
          </w:p>
          <w:p w:rsidR="004A6364" w:rsidRDefault="004A6364">
            <w:pPr>
              <w:pStyle w:val="a4"/>
              <w:rPr>
                <w:rFonts w:eastAsia="宋体"/>
                <w:sz w:val="21"/>
                <w:szCs w:val="21"/>
              </w:rPr>
            </w:pPr>
          </w:p>
        </w:tc>
      </w:tr>
      <w:tr w:rsidR="004A6364">
        <w:tc>
          <w:tcPr>
            <w:tcW w:w="908"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2</w:t>
            </w:r>
          </w:p>
        </w:tc>
        <w:tc>
          <w:tcPr>
            <w:tcW w:w="3346"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截流措施</w:t>
            </w:r>
          </w:p>
        </w:tc>
        <w:tc>
          <w:tcPr>
            <w:tcW w:w="2128" w:type="dxa"/>
          </w:tcPr>
          <w:p w:rsidR="004A6364" w:rsidRDefault="002601B4">
            <w:pPr>
              <w:pStyle w:val="a4"/>
              <w:rPr>
                <w:rFonts w:eastAsia="宋体"/>
                <w:sz w:val="21"/>
                <w:szCs w:val="21"/>
              </w:rPr>
            </w:pPr>
            <w:r>
              <w:rPr>
                <w:rFonts w:eastAsia="宋体" w:hint="eastAsia"/>
                <w:sz w:val="21"/>
                <w:szCs w:val="21"/>
              </w:rPr>
              <w:t>生产装置区设围堤</w:t>
            </w:r>
          </w:p>
        </w:tc>
        <w:tc>
          <w:tcPr>
            <w:tcW w:w="8121" w:type="dxa"/>
          </w:tcPr>
          <w:p w:rsidR="004A6364" w:rsidRDefault="002601B4" w:rsidP="00D61DF8">
            <w:pPr>
              <w:ind w:leftChars="-67" w:left="-214" w:rightChars="95" w:right="304" w:firstLineChars="177" w:firstLine="372"/>
              <w:rPr>
                <w:rFonts w:ascii="Cambria" w:eastAsia="宋体" w:hAnsi="Cambria"/>
                <w:sz w:val="21"/>
                <w:szCs w:val="21"/>
              </w:rPr>
            </w:pPr>
            <w:r>
              <w:rPr>
                <w:rFonts w:ascii="Cambria" w:eastAsia="宋体" w:hAnsi="Cambria" w:hint="eastAsia"/>
                <w:sz w:val="21"/>
                <w:szCs w:val="21"/>
              </w:rPr>
              <w:t>生产装置区设置</w:t>
            </w:r>
            <w:r>
              <w:rPr>
                <w:rFonts w:ascii="Cambria" w:eastAsia="宋体" w:hAnsi="Cambria" w:hint="eastAsia"/>
                <w:sz w:val="21"/>
                <w:szCs w:val="21"/>
              </w:rPr>
              <w:t>0.15m</w:t>
            </w:r>
            <w:r>
              <w:rPr>
                <w:rFonts w:ascii="Cambria" w:eastAsia="宋体" w:hAnsi="Cambria" w:hint="eastAsia"/>
                <w:sz w:val="21"/>
                <w:szCs w:val="21"/>
              </w:rPr>
              <w:t>围堤和导流设施，且进行防渗处理。围堰外设置阀门切换井，正常情况下雨排水系统阀门关闭，事故</w:t>
            </w:r>
            <w:proofErr w:type="gramStart"/>
            <w:r>
              <w:rPr>
                <w:rFonts w:ascii="Cambria" w:eastAsia="宋体" w:hAnsi="Cambria" w:hint="eastAsia"/>
                <w:sz w:val="21"/>
                <w:szCs w:val="21"/>
              </w:rPr>
              <w:t>下污染</w:t>
            </w:r>
            <w:proofErr w:type="gramEnd"/>
            <w:r>
              <w:rPr>
                <w:rFonts w:ascii="Cambria" w:eastAsia="宋体" w:hAnsi="Cambria" w:hint="eastAsia"/>
                <w:sz w:val="21"/>
                <w:szCs w:val="21"/>
              </w:rPr>
              <w:t>排水切换到事故池系统。（详见附件</w:t>
            </w:r>
            <w:r>
              <w:rPr>
                <w:rFonts w:ascii="Cambria" w:eastAsia="宋体" w:hAnsi="Cambria" w:hint="eastAsia"/>
                <w:sz w:val="21"/>
                <w:szCs w:val="21"/>
              </w:rPr>
              <w:t>11</w:t>
            </w:r>
            <w:r>
              <w:rPr>
                <w:rFonts w:ascii="Cambria" w:eastAsia="宋体" w:hAnsi="Cambria" w:hint="eastAsia"/>
                <w:sz w:val="21"/>
                <w:szCs w:val="21"/>
              </w:rPr>
              <w:t>）</w:t>
            </w:r>
          </w:p>
        </w:tc>
      </w:tr>
      <w:tr w:rsidR="004A6364">
        <w:tc>
          <w:tcPr>
            <w:tcW w:w="908" w:type="dxa"/>
            <w:vMerge/>
            <w:vAlign w:val="center"/>
          </w:tcPr>
          <w:p w:rsidR="004A6364" w:rsidRDefault="004A6364">
            <w:pPr>
              <w:pStyle w:val="a4"/>
              <w:jc w:val="center"/>
              <w:rPr>
                <w:rFonts w:ascii="宋体" w:eastAsia="宋体" w:hAnsi="宋体" w:cs="宋体"/>
                <w:b/>
                <w:bCs/>
                <w:sz w:val="24"/>
                <w:szCs w:val="24"/>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tcPr>
          <w:p w:rsidR="004A6364" w:rsidRDefault="002601B4">
            <w:pPr>
              <w:pStyle w:val="a4"/>
              <w:rPr>
                <w:rFonts w:eastAsia="宋体"/>
                <w:sz w:val="21"/>
                <w:szCs w:val="21"/>
              </w:rPr>
            </w:pPr>
            <w:r>
              <w:rPr>
                <w:rFonts w:eastAsia="宋体" w:hint="eastAsia"/>
                <w:sz w:val="21"/>
                <w:szCs w:val="21"/>
              </w:rPr>
              <w:t>装卸区截留沟</w:t>
            </w:r>
          </w:p>
        </w:tc>
        <w:tc>
          <w:tcPr>
            <w:tcW w:w="8121" w:type="dxa"/>
          </w:tcPr>
          <w:p w:rsidR="004A6364" w:rsidRDefault="002601B4" w:rsidP="00D61DF8">
            <w:pPr>
              <w:ind w:leftChars="-67" w:left="-214" w:rightChars="95" w:right="304" w:firstLineChars="177" w:firstLine="372"/>
              <w:rPr>
                <w:rFonts w:ascii="Cambria" w:eastAsia="宋体" w:hAnsi="Cambria"/>
                <w:sz w:val="21"/>
                <w:szCs w:val="21"/>
              </w:rPr>
            </w:pPr>
            <w:r>
              <w:rPr>
                <w:rFonts w:ascii="Cambria" w:eastAsia="宋体" w:hAnsi="Cambria" w:hint="eastAsia"/>
                <w:sz w:val="21"/>
                <w:szCs w:val="21"/>
              </w:rPr>
              <w:t>项目储罐区设置围堰和防火堤。在装卸区设置截流沟。装卸区内地面应防渗，截留</w:t>
            </w:r>
            <w:proofErr w:type="gramStart"/>
            <w:r>
              <w:rPr>
                <w:rFonts w:ascii="Cambria" w:eastAsia="宋体" w:hAnsi="Cambria" w:hint="eastAsia"/>
                <w:sz w:val="21"/>
                <w:szCs w:val="21"/>
              </w:rPr>
              <w:t>沟设置</w:t>
            </w:r>
            <w:proofErr w:type="gramEnd"/>
            <w:r>
              <w:rPr>
                <w:rFonts w:ascii="Cambria" w:eastAsia="宋体" w:hAnsi="Cambria" w:hint="eastAsia"/>
                <w:sz w:val="21"/>
                <w:szCs w:val="21"/>
              </w:rPr>
              <w:t>阀门切换井，正常情况下阀门关闭，事故</w:t>
            </w:r>
            <w:proofErr w:type="gramStart"/>
            <w:r>
              <w:rPr>
                <w:rFonts w:ascii="Cambria" w:eastAsia="宋体" w:hAnsi="Cambria" w:hint="eastAsia"/>
                <w:sz w:val="21"/>
                <w:szCs w:val="21"/>
              </w:rPr>
              <w:t>下污染</w:t>
            </w:r>
            <w:proofErr w:type="gramEnd"/>
            <w:r>
              <w:rPr>
                <w:rFonts w:ascii="Cambria" w:eastAsia="宋体" w:hAnsi="Cambria" w:hint="eastAsia"/>
                <w:sz w:val="21"/>
                <w:szCs w:val="21"/>
              </w:rPr>
              <w:t>排水切换到事故池系统。</w:t>
            </w:r>
          </w:p>
        </w:tc>
      </w:tr>
      <w:tr w:rsidR="004A6364">
        <w:tc>
          <w:tcPr>
            <w:tcW w:w="908"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3</w:t>
            </w:r>
          </w:p>
        </w:tc>
        <w:tc>
          <w:tcPr>
            <w:tcW w:w="3346"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事故排水收集措施</w:t>
            </w:r>
          </w:p>
        </w:tc>
        <w:tc>
          <w:tcPr>
            <w:tcW w:w="10249" w:type="dxa"/>
            <w:gridSpan w:val="2"/>
          </w:tcPr>
          <w:p w:rsidR="004A6364" w:rsidRDefault="002601B4" w:rsidP="00D61DF8">
            <w:pPr>
              <w:spacing w:line="360" w:lineRule="auto"/>
              <w:ind w:leftChars="-67" w:left="-214" w:rightChars="95" w:right="304" w:firstLineChars="177" w:firstLine="372"/>
              <w:rPr>
                <w:rFonts w:ascii="Cambria" w:eastAsia="宋体" w:hAnsi="Cambria"/>
                <w:sz w:val="21"/>
                <w:szCs w:val="21"/>
              </w:rPr>
            </w:pPr>
            <w:r>
              <w:rPr>
                <w:rFonts w:ascii="Cambria" w:eastAsia="宋体" w:hAnsi="Cambria" w:hint="eastAsia"/>
                <w:sz w:val="21"/>
                <w:szCs w:val="21"/>
              </w:rPr>
              <w:t>企业东北侧设置</w:t>
            </w:r>
            <w:r>
              <w:rPr>
                <w:rFonts w:ascii="Cambria" w:eastAsia="宋体" w:hAnsi="Cambria" w:hint="eastAsia"/>
                <w:sz w:val="21"/>
                <w:szCs w:val="21"/>
              </w:rPr>
              <w:t>1</w:t>
            </w:r>
            <w:r>
              <w:rPr>
                <w:rFonts w:ascii="Cambria" w:eastAsia="宋体" w:hAnsi="Cambria" w:hint="eastAsia"/>
                <w:sz w:val="21"/>
                <w:szCs w:val="21"/>
              </w:rPr>
              <w:t>×</w:t>
            </w:r>
            <w:r>
              <w:rPr>
                <w:rFonts w:ascii="Cambria" w:eastAsia="宋体" w:hAnsi="Cambria" w:hint="eastAsia"/>
                <w:sz w:val="21"/>
                <w:szCs w:val="21"/>
              </w:rPr>
              <w:t>1000m3</w:t>
            </w:r>
            <w:r>
              <w:rPr>
                <w:rFonts w:ascii="Cambria" w:eastAsia="宋体" w:hAnsi="Cambria" w:hint="eastAsia"/>
                <w:sz w:val="21"/>
                <w:szCs w:val="21"/>
              </w:rPr>
              <w:t>污水收集池以及</w:t>
            </w:r>
            <w:r>
              <w:rPr>
                <w:rFonts w:ascii="Cambria" w:eastAsia="宋体" w:hAnsi="Cambria" w:hint="eastAsia"/>
                <w:sz w:val="21"/>
                <w:szCs w:val="21"/>
              </w:rPr>
              <w:t>1</w:t>
            </w:r>
            <w:r>
              <w:rPr>
                <w:rFonts w:ascii="Cambria" w:eastAsia="宋体" w:hAnsi="Cambria" w:hint="eastAsia"/>
                <w:sz w:val="21"/>
                <w:szCs w:val="21"/>
              </w:rPr>
              <w:t>×</w:t>
            </w:r>
            <w:r>
              <w:rPr>
                <w:rFonts w:ascii="Cambria" w:eastAsia="宋体" w:hAnsi="Cambria" w:hint="eastAsia"/>
                <w:sz w:val="21"/>
                <w:szCs w:val="21"/>
              </w:rPr>
              <w:t>2000m3</w:t>
            </w:r>
            <w:r>
              <w:rPr>
                <w:rFonts w:ascii="Cambria" w:eastAsia="宋体" w:hAnsi="Cambria" w:hint="eastAsia"/>
                <w:sz w:val="21"/>
                <w:szCs w:val="21"/>
              </w:rPr>
              <w:t>事故池，在围堰与事故</w:t>
            </w:r>
            <w:proofErr w:type="gramStart"/>
            <w:r>
              <w:rPr>
                <w:rFonts w:ascii="Cambria" w:eastAsia="宋体" w:hAnsi="Cambria" w:hint="eastAsia"/>
                <w:sz w:val="21"/>
                <w:szCs w:val="21"/>
              </w:rPr>
              <w:t>池之间</w:t>
            </w:r>
            <w:proofErr w:type="gramEnd"/>
            <w:r>
              <w:rPr>
                <w:rFonts w:ascii="Cambria" w:eastAsia="宋体" w:hAnsi="Cambria" w:hint="eastAsia"/>
                <w:sz w:val="21"/>
                <w:szCs w:val="21"/>
              </w:rPr>
              <w:t>以及场区排水沟与事故</w:t>
            </w:r>
            <w:proofErr w:type="gramStart"/>
            <w:r>
              <w:rPr>
                <w:rFonts w:ascii="Cambria" w:eastAsia="宋体" w:hAnsi="Cambria" w:hint="eastAsia"/>
                <w:sz w:val="21"/>
                <w:szCs w:val="21"/>
              </w:rPr>
              <w:t>池之间</w:t>
            </w:r>
            <w:proofErr w:type="gramEnd"/>
            <w:r>
              <w:rPr>
                <w:rFonts w:ascii="Cambria" w:eastAsia="宋体" w:hAnsi="Cambria" w:hint="eastAsia"/>
                <w:sz w:val="21"/>
                <w:szCs w:val="21"/>
              </w:rPr>
              <w:t>布置有暗沟，并在排水沟与排</w:t>
            </w:r>
            <w:proofErr w:type="gramStart"/>
            <w:r>
              <w:rPr>
                <w:rFonts w:ascii="Cambria" w:eastAsia="宋体" w:hAnsi="Cambria" w:hint="eastAsia"/>
                <w:sz w:val="21"/>
                <w:szCs w:val="21"/>
              </w:rPr>
              <w:t>往事故池的</w:t>
            </w:r>
            <w:proofErr w:type="gramEnd"/>
            <w:r>
              <w:rPr>
                <w:rFonts w:ascii="Cambria" w:eastAsia="宋体" w:hAnsi="Cambria" w:hint="eastAsia"/>
                <w:sz w:val="21"/>
                <w:szCs w:val="21"/>
              </w:rPr>
              <w:t>暗沟接口处设置切换阀。当火灾事故发生时收集生产车间、开停车、原料库、事故废水等建构筑物的消防喷淋水，防止其排入环境造成环境污染，有效容积</w:t>
            </w:r>
            <w:r>
              <w:rPr>
                <w:rFonts w:ascii="Cambria" w:eastAsia="宋体" w:hAnsi="Cambria" w:hint="eastAsia"/>
                <w:sz w:val="21"/>
                <w:szCs w:val="21"/>
              </w:rPr>
              <w:t>2000m3</w:t>
            </w:r>
            <w:r>
              <w:rPr>
                <w:rFonts w:ascii="Cambria" w:eastAsia="宋体" w:hAnsi="Cambria" w:hint="eastAsia"/>
                <w:sz w:val="21"/>
                <w:szCs w:val="21"/>
              </w:rPr>
              <w:t>。</w:t>
            </w:r>
          </w:p>
        </w:tc>
      </w:tr>
      <w:tr w:rsidR="004A6364">
        <w:tc>
          <w:tcPr>
            <w:tcW w:w="908" w:type="dxa"/>
            <w:vMerge/>
            <w:vAlign w:val="center"/>
          </w:tcPr>
          <w:p w:rsidR="004A6364" w:rsidRDefault="004A6364">
            <w:pPr>
              <w:pStyle w:val="a4"/>
              <w:jc w:val="center"/>
              <w:rPr>
                <w:rFonts w:ascii="宋体" w:eastAsia="宋体" w:hAnsi="宋体" w:cs="宋体"/>
                <w:b/>
                <w:bCs/>
                <w:sz w:val="24"/>
                <w:szCs w:val="24"/>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10249" w:type="dxa"/>
            <w:gridSpan w:val="2"/>
          </w:tcPr>
          <w:p w:rsidR="004A6364" w:rsidRDefault="002601B4" w:rsidP="00D61DF8">
            <w:pPr>
              <w:spacing w:line="360" w:lineRule="auto"/>
              <w:ind w:leftChars="-67" w:left="-214" w:rightChars="95" w:right="304" w:firstLineChars="177" w:firstLine="372"/>
              <w:rPr>
                <w:rFonts w:ascii="Cambria" w:eastAsia="宋体" w:hAnsi="Cambria"/>
                <w:sz w:val="21"/>
                <w:szCs w:val="21"/>
              </w:rPr>
            </w:pPr>
            <w:r>
              <w:rPr>
                <w:rFonts w:ascii="Cambria" w:eastAsia="宋体" w:hAnsi="Cambria" w:hint="eastAsia"/>
                <w:sz w:val="21"/>
                <w:szCs w:val="21"/>
              </w:rPr>
              <w:t>当生产车间、原料库、成品库等建构筑物发生火灾时，在开始消防前，由公司环保部人员负责堵塞事故切换井中雨水管出口，同时打开事故应急阀门井内的应急阀，当开始消防时，将消防水导入事故池暂时存储。事故</w:t>
            </w:r>
            <w:proofErr w:type="gramStart"/>
            <w:r>
              <w:rPr>
                <w:rFonts w:ascii="Cambria" w:eastAsia="宋体" w:hAnsi="Cambria" w:hint="eastAsia"/>
                <w:sz w:val="21"/>
                <w:szCs w:val="21"/>
              </w:rPr>
              <w:t>池长期处于空池</w:t>
            </w:r>
            <w:proofErr w:type="gramEnd"/>
            <w:r>
              <w:rPr>
                <w:rFonts w:ascii="Cambria" w:eastAsia="宋体" w:hAnsi="Cambria" w:hint="eastAsia"/>
                <w:sz w:val="21"/>
                <w:szCs w:val="21"/>
              </w:rPr>
              <w:t>状态，当消防扑灭结束后，消防废水进污水处理站处理达标后排放，事故池内的事故废</w:t>
            </w:r>
            <w:r>
              <w:rPr>
                <w:rFonts w:ascii="Cambria" w:eastAsia="宋体" w:hAnsi="Cambria" w:hint="eastAsia"/>
                <w:sz w:val="21"/>
                <w:szCs w:val="21"/>
              </w:rPr>
              <w:lastRenderedPageBreak/>
              <w:t>水禁止直接排入雨水管网或者污水管网。</w:t>
            </w:r>
          </w:p>
        </w:tc>
      </w:tr>
      <w:tr w:rsidR="004A6364">
        <w:tc>
          <w:tcPr>
            <w:tcW w:w="908" w:type="dxa"/>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lastRenderedPageBreak/>
              <w:t>4</w:t>
            </w:r>
          </w:p>
        </w:tc>
        <w:tc>
          <w:tcPr>
            <w:tcW w:w="3346" w:type="dxa"/>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清净下水系统防控措施</w:t>
            </w:r>
          </w:p>
        </w:tc>
        <w:tc>
          <w:tcPr>
            <w:tcW w:w="10249" w:type="dxa"/>
            <w:gridSpan w:val="2"/>
          </w:tcPr>
          <w:p w:rsidR="004A6364" w:rsidRDefault="002601B4" w:rsidP="00D61DF8">
            <w:pPr>
              <w:spacing w:line="360" w:lineRule="auto"/>
              <w:ind w:leftChars="-67" w:left="-214" w:rightChars="95" w:right="304" w:firstLineChars="177" w:firstLine="372"/>
              <w:rPr>
                <w:rFonts w:ascii="Cambria" w:eastAsia="宋体" w:hAnsi="Cambria"/>
                <w:sz w:val="21"/>
                <w:szCs w:val="21"/>
              </w:rPr>
            </w:pPr>
            <w:r>
              <w:rPr>
                <w:rFonts w:ascii="Cambria" w:eastAsia="宋体" w:hAnsi="Cambria" w:hint="eastAsia"/>
                <w:sz w:val="21"/>
                <w:szCs w:val="21"/>
              </w:rPr>
              <w:t>厂区内执行清污分流制度，</w:t>
            </w:r>
            <w:proofErr w:type="gramStart"/>
            <w:r>
              <w:rPr>
                <w:rFonts w:ascii="Cambria" w:eastAsia="宋体" w:hAnsi="Cambria" w:hint="eastAsia"/>
                <w:sz w:val="21"/>
                <w:szCs w:val="21"/>
              </w:rPr>
              <w:t>新氟科技</w:t>
            </w:r>
            <w:proofErr w:type="gramEnd"/>
            <w:r>
              <w:rPr>
                <w:rFonts w:ascii="Cambria" w:eastAsia="宋体" w:hAnsi="Cambria" w:hint="eastAsia"/>
                <w:sz w:val="21"/>
                <w:szCs w:val="21"/>
              </w:rPr>
              <w:t>产生的清净下水，主要污染物浓度</w:t>
            </w:r>
            <w:r>
              <w:rPr>
                <w:rFonts w:ascii="Cambria" w:eastAsia="宋体" w:hAnsi="Cambria" w:hint="eastAsia"/>
                <w:sz w:val="21"/>
                <w:szCs w:val="21"/>
              </w:rPr>
              <w:t>COD50mg/L</w:t>
            </w:r>
            <w:r>
              <w:rPr>
                <w:rFonts w:ascii="Cambria" w:eastAsia="宋体" w:hAnsi="Cambria" w:hint="eastAsia"/>
                <w:sz w:val="21"/>
                <w:szCs w:val="21"/>
              </w:rPr>
              <w:t>、</w:t>
            </w:r>
            <w:r>
              <w:rPr>
                <w:rFonts w:ascii="Cambria" w:eastAsia="宋体" w:hAnsi="Cambria" w:hint="eastAsia"/>
                <w:sz w:val="21"/>
                <w:szCs w:val="21"/>
              </w:rPr>
              <w:t>BOD510mg/L</w:t>
            </w:r>
            <w:r>
              <w:rPr>
                <w:rFonts w:ascii="Cambria" w:eastAsia="宋体" w:hAnsi="Cambria" w:hint="eastAsia"/>
                <w:sz w:val="21"/>
                <w:szCs w:val="21"/>
              </w:rPr>
              <w:t>、</w:t>
            </w:r>
            <w:r>
              <w:rPr>
                <w:rFonts w:ascii="Cambria" w:eastAsia="宋体" w:hAnsi="Cambria" w:hint="eastAsia"/>
                <w:sz w:val="21"/>
                <w:szCs w:val="21"/>
              </w:rPr>
              <w:t>SS50mg/L</w:t>
            </w:r>
            <w:r>
              <w:rPr>
                <w:rFonts w:ascii="Cambria" w:eastAsia="宋体" w:hAnsi="Cambria" w:hint="eastAsia"/>
                <w:sz w:val="21"/>
                <w:szCs w:val="21"/>
              </w:rPr>
              <w:t>，其浓度均低于（</w:t>
            </w:r>
            <w:r>
              <w:rPr>
                <w:rFonts w:ascii="Cambria" w:eastAsia="宋体" w:hAnsi="Cambria" w:hint="eastAsia"/>
                <w:sz w:val="21"/>
                <w:szCs w:val="21"/>
              </w:rPr>
              <w:t>GB8978-1996</w:t>
            </w:r>
            <w:r>
              <w:rPr>
                <w:rFonts w:ascii="Cambria" w:eastAsia="宋体" w:hAnsi="Cambria" w:hint="eastAsia"/>
                <w:sz w:val="21"/>
                <w:szCs w:val="21"/>
              </w:rPr>
              <w:t>）一级排</w:t>
            </w:r>
            <w:r>
              <w:rPr>
                <w:rFonts w:ascii="Cambria" w:eastAsia="宋体" w:hAnsi="Cambria" w:hint="eastAsia"/>
                <w:sz w:val="21"/>
                <w:szCs w:val="21"/>
              </w:rPr>
              <w:t>放标准，通过厂区清净下水系统就近排入陈家坝沟汇入后溪河，最终进入乌江排入雨水管道。设置具有</w:t>
            </w:r>
            <w:proofErr w:type="gramStart"/>
            <w:r>
              <w:rPr>
                <w:rFonts w:ascii="Cambria" w:eastAsia="宋体" w:hAnsi="Cambria" w:hint="eastAsia"/>
                <w:sz w:val="21"/>
                <w:szCs w:val="21"/>
              </w:rPr>
              <w:t>收集受</w:t>
            </w:r>
            <w:proofErr w:type="gramEnd"/>
            <w:r>
              <w:rPr>
                <w:rFonts w:ascii="Cambria" w:eastAsia="宋体" w:hAnsi="Cambria" w:hint="eastAsia"/>
                <w:sz w:val="21"/>
                <w:szCs w:val="21"/>
              </w:rPr>
              <w:t>污染的清净下水、初期雨水和消防水功能的清净下水排放缓冲池，企业受污染的雨水、清净下水、及消防水进入事故池。</w:t>
            </w:r>
          </w:p>
        </w:tc>
      </w:tr>
      <w:tr w:rsidR="004A6364">
        <w:tc>
          <w:tcPr>
            <w:tcW w:w="908"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5</w:t>
            </w:r>
          </w:p>
        </w:tc>
        <w:tc>
          <w:tcPr>
            <w:tcW w:w="3346"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雨排水系统防控措施</w:t>
            </w:r>
          </w:p>
        </w:tc>
        <w:tc>
          <w:tcPr>
            <w:tcW w:w="10249" w:type="dxa"/>
            <w:gridSpan w:val="2"/>
          </w:tcPr>
          <w:p w:rsidR="004A6364" w:rsidRDefault="002601B4" w:rsidP="00D61DF8">
            <w:pPr>
              <w:spacing w:line="360" w:lineRule="auto"/>
              <w:ind w:leftChars="-67" w:left="-214" w:rightChars="95" w:right="304" w:firstLineChars="177" w:firstLine="372"/>
              <w:rPr>
                <w:rFonts w:ascii="Cambria" w:eastAsia="宋体" w:hAnsi="Cambria"/>
                <w:sz w:val="21"/>
                <w:szCs w:val="21"/>
              </w:rPr>
            </w:pPr>
            <w:r>
              <w:rPr>
                <w:rFonts w:ascii="Cambria" w:eastAsia="宋体" w:hAnsi="Cambria" w:hint="eastAsia"/>
                <w:sz w:val="21"/>
                <w:szCs w:val="21"/>
              </w:rPr>
              <w:t>厂区内执行雨污分流制度，雨水排入厂区雨水管网，厂区设</w:t>
            </w:r>
            <w:r>
              <w:rPr>
                <w:rFonts w:ascii="Cambria" w:eastAsia="宋体" w:hAnsi="Cambria" w:hint="eastAsia"/>
                <w:sz w:val="21"/>
                <w:szCs w:val="21"/>
              </w:rPr>
              <w:t>2</w:t>
            </w:r>
            <w:r>
              <w:rPr>
                <w:rFonts w:ascii="Cambria" w:eastAsia="宋体" w:hAnsi="Cambria" w:hint="eastAsia"/>
                <w:sz w:val="21"/>
                <w:szCs w:val="21"/>
              </w:rPr>
              <w:t>×</w:t>
            </w:r>
            <w:r>
              <w:rPr>
                <w:rFonts w:ascii="Cambria" w:eastAsia="宋体" w:hAnsi="Cambria" w:hint="eastAsia"/>
                <w:sz w:val="21"/>
                <w:szCs w:val="21"/>
              </w:rPr>
              <w:t>3m3</w:t>
            </w:r>
            <w:r>
              <w:rPr>
                <w:rFonts w:ascii="Cambria" w:eastAsia="宋体" w:hAnsi="Cambria" w:hint="eastAsia"/>
                <w:sz w:val="21"/>
                <w:szCs w:val="21"/>
              </w:rPr>
              <w:t>初期雨水池，污染区内的初期雨水经切换井进入厂区内废水处理站进行处理</w:t>
            </w:r>
            <w:r>
              <w:rPr>
                <w:rFonts w:ascii="Cambria" w:eastAsia="宋体" w:hAnsi="Cambria" w:hint="eastAsia"/>
                <w:sz w:val="21"/>
                <w:szCs w:val="21"/>
              </w:rPr>
              <w:t>,</w:t>
            </w:r>
            <w:r>
              <w:rPr>
                <w:rFonts w:ascii="Cambria" w:eastAsia="宋体" w:hAnsi="Cambria" w:hint="eastAsia"/>
                <w:sz w:val="21"/>
                <w:szCs w:val="21"/>
              </w:rPr>
              <w:t>设有</w:t>
            </w:r>
            <w:r>
              <w:rPr>
                <w:rFonts w:ascii="Cambria" w:eastAsia="宋体" w:hAnsi="Cambria" w:hint="eastAsia"/>
                <w:sz w:val="21"/>
                <w:szCs w:val="21"/>
              </w:rPr>
              <w:t>1000m3</w:t>
            </w:r>
            <w:r>
              <w:rPr>
                <w:rFonts w:ascii="Cambria" w:eastAsia="宋体" w:hAnsi="Cambria" w:hint="eastAsia"/>
                <w:sz w:val="21"/>
                <w:szCs w:val="21"/>
              </w:rPr>
              <w:t>的污水收集池。</w:t>
            </w:r>
          </w:p>
        </w:tc>
      </w:tr>
      <w:tr w:rsidR="004A6364">
        <w:tc>
          <w:tcPr>
            <w:tcW w:w="908" w:type="dxa"/>
            <w:vMerge/>
            <w:vAlign w:val="center"/>
          </w:tcPr>
          <w:p w:rsidR="004A6364" w:rsidRDefault="004A6364">
            <w:pPr>
              <w:pStyle w:val="a4"/>
              <w:jc w:val="center"/>
              <w:rPr>
                <w:rFonts w:ascii="宋体" w:eastAsia="宋体" w:hAnsi="宋体" w:cs="宋体"/>
                <w:b/>
                <w:bCs/>
                <w:sz w:val="24"/>
                <w:szCs w:val="24"/>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10249" w:type="dxa"/>
            <w:gridSpan w:val="2"/>
          </w:tcPr>
          <w:p w:rsidR="004A6364" w:rsidRDefault="002601B4" w:rsidP="00D61DF8">
            <w:pPr>
              <w:spacing w:line="360" w:lineRule="auto"/>
              <w:ind w:leftChars="-67" w:left="-214" w:rightChars="95" w:right="304" w:firstLineChars="177" w:firstLine="372"/>
              <w:rPr>
                <w:rFonts w:ascii="Cambria" w:eastAsia="宋体" w:hAnsi="Cambria"/>
                <w:sz w:val="21"/>
                <w:szCs w:val="21"/>
              </w:rPr>
            </w:pPr>
            <w:r>
              <w:rPr>
                <w:rFonts w:ascii="Cambria" w:eastAsia="宋体" w:hAnsi="Cambria" w:hint="eastAsia"/>
                <w:sz w:val="21"/>
                <w:szCs w:val="21"/>
              </w:rPr>
              <w:t>按照《企业突发环境事件风险评估指南》规定，企业雨水排口应具有收集初期雨水的收集池或雨水监控池；池出水管上设置切断阀，正常情况下阀门关闭，防止受污染的水外排；池内设有提升设施，能将所集物送至厂区内污水处理设施处理。</w:t>
            </w:r>
            <w:proofErr w:type="gramStart"/>
            <w:r>
              <w:rPr>
                <w:rFonts w:ascii="Cambria" w:eastAsia="宋体" w:hAnsi="Cambria" w:hint="eastAsia"/>
                <w:sz w:val="21"/>
                <w:szCs w:val="21"/>
              </w:rPr>
              <w:t>新氟科技</w:t>
            </w:r>
            <w:proofErr w:type="gramEnd"/>
            <w:r>
              <w:rPr>
                <w:rFonts w:ascii="Cambria" w:eastAsia="宋体" w:hAnsi="Cambria" w:hint="eastAsia"/>
                <w:sz w:val="21"/>
                <w:szCs w:val="21"/>
              </w:rPr>
              <w:t>设有雨水观测井，定期对雨水进行检测。</w:t>
            </w:r>
          </w:p>
        </w:tc>
      </w:tr>
      <w:tr w:rsidR="004A6364">
        <w:tc>
          <w:tcPr>
            <w:tcW w:w="908" w:type="dxa"/>
            <w:vMerge/>
            <w:vAlign w:val="center"/>
          </w:tcPr>
          <w:p w:rsidR="004A6364" w:rsidRDefault="004A6364">
            <w:pPr>
              <w:pStyle w:val="a4"/>
              <w:jc w:val="center"/>
              <w:rPr>
                <w:rFonts w:ascii="宋体" w:eastAsia="宋体" w:hAnsi="宋体" w:cs="宋体"/>
                <w:b/>
                <w:bCs/>
                <w:sz w:val="24"/>
                <w:szCs w:val="24"/>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10249" w:type="dxa"/>
            <w:gridSpan w:val="2"/>
          </w:tcPr>
          <w:p w:rsidR="004A6364" w:rsidRDefault="002601B4" w:rsidP="00D61DF8">
            <w:pPr>
              <w:spacing w:line="360" w:lineRule="auto"/>
              <w:ind w:leftChars="-67" w:left="-214" w:rightChars="95" w:right="304" w:firstLineChars="177" w:firstLine="372"/>
              <w:rPr>
                <w:rFonts w:ascii="Cambria" w:eastAsia="宋体" w:hAnsi="Cambria"/>
                <w:sz w:val="21"/>
                <w:szCs w:val="21"/>
              </w:rPr>
            </w:pPr>
            <w:r>
              <w:rPr>
                <w:rFonts w:ascii="Cambria" w:eastAsia="宋体" w:hAnsi="Cambria" w:hint="eastAsia"/>
                <w:sz w:val="21"/>
                <w:szCs w:val="21"/>
              </w:rPr>
              <w:t>实行严格的清污分流。生产废水和厂区生活污水经厂内污水处理站处理达到园区接管标准后，排入开发区污水管网，进入开发区污水处理厂进一步处理。清净下水经厂区净下水管线排放至园区雨水管网。</w:t>
            </w:r>
          </w:p>
        </w:tc>
      </w:tr>
      <w:tr w:rsidR="004A6364">
        <w:tc>
          <w:tcPr>
            <w:tcW w:w="908" w:type="dxa"/>
            <w:vMerge/>
            <w:vAlign w:val="center"/>
          </w:tcPr>
          <w:p w:rsidR="004A6364" w:rsidRDefault="004A6364">
            <w:pPr>
              <w:pStyle w:val="a4"/>
              <w:jc w:val="center"/>
              <w:rPr>
                <w:rFonts w:ascii="宋体" w:eastAsia="宋体" w:hAnsi="宋体" w:cs="宋体"/>
                <w:b/>
                <w:bCs/>
                <w:sz w:val="24"/>
                <w:szCs w:val="24"/>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10249" w:type="dxa"/>
            <w:gridSpan w:val="2"/>
          </w:tcPr>
          <w:p w:rsidR="004A6364" w:rsidRDefault="002601B4" w:rsidP="00D61DF8">
            <w:pPr>
              <w:spacing w:line="360" w:lineRule="auto"/>
              <w:ind w:leftChars="-67" w:left="-214" w:rightChars="95" w:right="304" w:firstLineChars="177" w:firstLine="372"/>
              <w:rPr>
                <w:rFonts w:ascii="Cambria" w:eastAsia="宋体" w:hAnsi="Cambria"/>
                <w:sz w:val="21"/>
                <w:szCs w:val="21"/>
              </w:rPr>
            </w:pPr>
            <w:r>
              <w:rPr>
                <w:rFonts w:ascii="Cambria" w:eastAsia="宋体" w:hAnsi="Cambria" w:hint="eastAsia"/>
                <w:sz w:val="21"/>
                <w:szCs w:val="21"/>
              </w:rPr>
              <w:t>污水收集依托重庆新氟科技有限公司</w:t>
            </w:r>
            <w:proofErr w:type="gramStart"/>
            <w:r>
              <w:rPr>
                <w:rFonts w:ascii="Cambria" w:eastAsia="宋体" w:hAnsi="Cambria" w:hint="eastAsia"/>
                <w:sz w:val="21"/>
                <w:szCs w:val="21"/>
              </w:rPr>
              <w:t>聚全氟</w:t>
            </w:r>
            <w:proofErr w:type="gramEnd"/>
            <w:r>
              <w:rPr>
                <w:rFonts w:ascii="Cambria" w:eastAsia="宋体" w:hAnsi="Cambria" w:hint="eastAsia"/>
                <w:sz w:val="21"/>
                <w:szCs w:val="21"/>
              </w:rPr>
              <w:t>乙丙烯项目建成的污水收集设施，生产污水集中收集排入最大</w:t>
            </w:r>
            <w:r>
              <w:rPr>
                <w:rFonts w:ascii="Cambria" w:eastAsia="宋体" w:hAnsi="Cambria" w:hint="eastAsia"/>
                <w:sz w:val="21"/>
                <w:szCs w:val="21"/>
              </w:rPr>
              <w:lastRenderedPageBreak/>
              <w:t>容积为</w:t>
            </w:r>
            <w:r>
              <w:rPr>
                <w:rFonts w:ascii="Cambria" w:eastAsia="宋体" w:hAnsi="Cambria" w:hint="eastAsia"/>
                <w:sz w:val="21"/>
                <w:szCs w:val="21"/>
              </w:rPr>
              <w:t>1000m3</w:t>
            </w:r>
            <w:r>
              <w:rPr>
                <w:rFonts w:ascii="Cambria" w:eastAsia="宋体" w:hAnsi="Cambria" w:hint="eastAsia"/>
                <w:sz w:val="21"/>
                <w:szCs w:val="21"/>
              </w:rPr>
              <w:t>的污水收集池，泵入污水处理站处理达到园区污水管网接纳要求后排入园区污水管网。初期雨水和事故污水通过雨污分流管网切换排入污水收集池和最大容积为</w:t>
            </w:r>
            <w:r>
              <w:rPr>
                <w:rFonts w:ascii="Cambria" w:eastAsia="宋体" w:hAnsi="Cambria" w:hint="eastAsia"/>
                <w:sz w:val="21"/>
                <w:szCs w:val="21"/>
              </w:rPr>
              <w:t>2000m3</w:t>
            </w:r>
            <w:r>
              <w:rPr>
                <w:rFonts w:ascii="Cambria" w:eastAsia="宋体" w:hAnsi="Cambria" w:hint="eastAsia"/>
                <w:sz w:val="21"/>
                <w:szCs w:val="21"/>
              </w:rPr>
              <w:t>的应急水池。</w:t>
            </w:r>
          </w:p>
        </w:tc>
      </w:tr>
      <w:tr w:rsidR="004A6364">
        <w:tc>
          <w:tcPr>
            <w:tcW w:w="908" w:type="dxa"/>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lastRenderedPageBreak/>
              <w:t>6</w:t>
            </w:r>
          </w:p>
        </w:tc>
        <w:tc>
          <w:tcPr>
            <w:tcW w:w="3346" w:type="dxa"/>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生产废水处理系统防控措施</w:t>
            </w:r>
          </w:p>
        </w:tc>
        <w:tc>
          <w:tcPr>
            <w:tcW w:w="10249" w:type="dxa"/>
            <w:gridSpan w:val="2"/>
          </w:tcPr>
          <w:p w:rsidR="004A6364" w:rsidRDefault="002601B4" w:rsidP="00D61DF8">
            <w:pPr>
              <w:spacing w:line="360" w:lineRule="auto"/>
              <w:ind w:leftChars="-67" w:left="-214" w:rightChars="95" w:right="304" w:firstLineChars="177" w:firstLine="372"/>
              <w:rPr>
                <w:rFonts w:ascii="Cambria" w:eastAsia="宋体" w:hAnsi="Cambria"/>
                <w:sz w:val="21"/>
                <w:szCs w:val="21"/>
              </w:rPr>
            </w:pPr>
            <w:r>
              <w:rPr>
                <w:rFonts w:ascii="Cambria" w:eastAsia="宋体" w:hAnsi="Cambria" w:hint="eastAsia"/>
                <w:sz w:val="21"/>
                <w:szCs w:val="21"/>
              </w:rPr>
              <w:t>厂区所有</w:t>
            </w:r>
            <w:proofErr w:type="gramStart"/>
            <w:r>
              <w:rPr>
                <w:rFonts w:ascii="Cambria" w:eastAsia="宋体" w:hAnsi="Cambria" w:hint="eastAsia"/>
                <w:sz w:val="21"/>
                <w:szCs w:val="21"/>
              </w:rPr>
              <w:t>污</w:t>
            </w:r>
            <w:proofErr w:type="gramEnd"/>
            <w:r>
              <w:rPr>
                <w:rFonts w:ascii="Cambria" w:eastAsia="宋体" w:hAnsi="Cambria" w:hint="eastAsia"/>
                <w:sz w:val="21"/>
                <w:szCs w:val="21"/>
              </w:rPr>
              <w:t>废水通过</w:t>
            </w:r>
            <w:proofErr w:type="gramStart"/>
            <w:r>
              <w:rPr>
                <w:rFonts w:ascii="Cambria" w:eastAsia="宋体" w:hAnsi="Cambria" w:hint="eastAsia"/>
                <w:sz w:val="21"/>
                <w:szCs w:val="21"/>
              </w:rPr>
              <w:t>厂区总</w:t>
            </w:r>
            <w:proofErr w:type="gramEnd"/>
            <w:r>
              <w:rPr>
                <w:rFonts w:ascii="Cambria" w:eastAsia="宋体" w:hAnsi="Cambria" w:hint="eastAsia"/>
                <w:sz w:val="21"/>
                <w:szCs w:val="21"/>
              </w:rPr>
              <w:t>污水处理站处理达标后通过园区污水干管排入乌江，综合废水处理系统采用“调节池</w:t>
            </w:r>
            <w:r>
              <w:rPr>
                <w:rFonts w:ascii="Cambria" w:eastAsia="宋体" w:hAnsi="Cambria" w:hint="eastAsia"/>
                <w:sz w:val="21"/>
                <w:szCs w:val="21"/>
              </w:rPr>
              <w:t>+</w:t>
            </w:r>
            <w:r>
              <w:rPr>
                <w:rFonts w:ascii="Cambria" w:eastAsia="宋体" w:hAnsi="Cambria" w:hint="eastAsia"/>
                <w:sz w:val="21"/>
                <w:szCs w:val="21"/>
              </w:rPr>
              <w:t>一级混凝絮凝反应池</w:t>
            </w:r>
            <w:r>
              <w:rPr>
                <w:rFonts w:ascii="Cambria" w:eastAsia="宋体" w:hAnsi="Cambria" w:hint="eastAsia"/>
                <w:sz w:val="21"/>
                <w:szCs w:val="21"/>
              </w:rPr>
              <w:t>+</w:t>
            </w:r>
            <w:r>
              <w:rPr>
                <w:rFonts w:ascii="Cambria" w:eastAsia="宋体" w:hAnsi="Cambria" w:hint="eastAsia"/>
                <w:sz w:val="21"/>
                <w:szCs w:val="21"/>
              </w:rPr>
              <w:t>一级竖流沉淀池</w:t>
            </w:r>
            <w:r>
              <w:rPr>
                <w:rFonts w:ascii="Cambria" w:eastAsia="宋体" w:hAnsi="Cambria" w:hint="eastAsia"/>
                <w:sz w:val="21"/>
                <w:szCs w:val="21"/>
              </w:rPr>
              <w:t>+</w:t>
            </w:r>
            <w:r>
              <w:rPr>
                <w:rFonts w:ascii="Cambria" w:eastAsia="宋体" w:hAnsi="Cambria" w:hint="eastAsia"/>
                <w:sz w:val="21"/>
                <w:szCs w:val="21"/>
              </w:rPr>
              <w:t>二级混凝絮凝反应池</w:t>
            </w:r>
            <w:r>
              <w:rPr>
                <w:rFonts w:ascii="Cambria" w:eastAsia="宋体" w:hAnsi="Cambria" w:hint="eastAsia"/>
                <w:sz w:val="21"/>
                <w:szCs w:val="21"/>
              </w:rPr>
              <w:t>+</w:t>
            </w:r>
            <w:r>
              <w:rPr>
                <w:rFonts w:ascii="Cambria" w:eastAsia="宋体" w:hAnsi="Cambria" w:hint="eastAsia"/>
                <w:sz w:val="21"/>
                <w:szCs w:val="21"/>
              </w:rPr>
              <w:t>二级斜管沉淀池</w:t>
            </w:r>
            <w:r>
              <w:rPr>
                <w:rFonts w:ascii="Cambria" w:eastAsia="宋体" w:hAnsi="Cambria" w:hint="eastAsia"/>
                <w:sz w:val="21"/>
                <w:szCs w:val="21"/>
              </w:rPr>
              <w:t>+</w:t>
            </w:r>
            <w:r>
              <w:rPr>
                <w:rFonts w:ascii="Cambria" w:eastAsia="宋体" w:hAnsi="Cambria" w:hint="eastAsia"/>
                <w:sz w:val="21"/>
                <w:szCs w:val="21"/>
              </w:rPr>
              <w:t>缺氧池</w:t>
            </w:r>
            <w:r>
              <w:rPr>
                <w:rFonts w:ascii="Cambria" w:eastAsia="宋体" w:hAnsi="Cambria" w:hint="eastAsia"/>
                <w:sz w:val="21"/>
                <w:szCs w:val="21"/>
              </w:rPr>
              <w:t>+</w:t>
            </w:r>
            <w:r>
              <w:rPr>
                <w:rFonts w:ascii="Cambria" w:eastAsia="宋体" w:hAnsi="Cambria" w:hint="eastAsia"/>
                <w:sz w:val="21"/>
                <w:szCs w:val="21"/>
              </w:rPr>
              <w:t>接触氧化池</w:t>
            </w:r>
            <w:r>
              <w:rPr>
                <w:rFonts w:ascii="Cambria" w:eastAsia="宋体" w:hAnsi="Cambria" w:hint="eastAsia"/>
                <w:sz w:val="21"/>
                <w:szCs w:val="21"/>
              </w:rPr>
              <w:t>+</w:t>
            </w:r>
            <w:r>
              <w:rPr>
                <w:rFonts w:ascii="Cambria" w:eastAsia="宋体" w:hAnsi="Cambria" w:hint="eastAsia"/>
                <w:sz w:val="21"/>
                <w:szCs w:val="21"/>
              </w:rPr>
              <w:t>沉淀池</w:t>
            </w:r>
            <w:r>
              <w:rPr>
                <w:rFonts w:ascii="Cambria" w:eastAsia="宋体" w:hAnsi="Cambria" w:hint="eastAsia"/>
                <w:sz w:val="21"/>
                <w:szCs w:val="21"/>
              </w:rPr>
              <w:t>+</w:t>
            </w:r>
            <w:r>
              <w:rPr>
                <w:rFonts w:ascii="Cambria" w:eastAsia="宋体" w:hAnsi="Cambria" w:hint="eastAsia"/>
                <w:sz w:val="21"/>
                <w:szCs w:val="21"/>
              </w:rPr>
              <w:t>砂滤</w:t>
            </w:r>
            <w:r>
              <w:rPr>
                <w:rFonts w:ascii="Cambria" w:eastAsia="宋体" w:hAnsi="Cambria" w:hint="eastAsia"/>
                <w:sz w:val="21"/>
                <w:szCs w:val="21"/>
              </w:rPr>
              <w:t>池</w:t>
            </w:r>
            <w:r>
              <w:rPr>
                <w:rFonts w:ascii="Cambria" w:eastAsia="宋体" w:hAnsi="Cambria" w:hint="eastAsia"/>
                <w:sz w:val="21"/>
                <w:szCs w:val="21"/>
              </w:rPr>
              <w:t>+</w:t>
            </w:r>
            <w:r>
              <w:rPr>
                <w:rFonts w:ascii="Cambria" w:eastAsia="宋体" w:hAnsi="Cambria" w:hint="eastAsia"/>
                <w:sz w:val="21"/>
                <w:szCs w:val="21"/>
              </w:rPr>
              <w:t>清水池”工艺处理，综合废水处理系统设计处理能力</w:t>
            </w:r>
            <w:r>
              <w:rPr>
                <w:rFonts w:ascii="Cambria" w:eastAsia="宋体" w:hAnsi="Cambria" w:hint="eastAsia"/>
                <w:sz w:val="21"/>
                <w:szCs w:val="21"/>
              </w:rPr>
              <w:t>720m3/d</w:t>
            </w:r>
            <w:r>
              <w:rPr>
                <w:rFonts w:ascii="Cambria" w:eastAsia="宋体" w:hAnsi="Cambria" w:hint="eastAsia"/>
                <w:sz w:val="21"/>
                <w:szCs w:val="21"/>
              </w:rPr>
              <w:t>。</w:t>
            </w:r>
          </w:p>
        </w:tc>
      </w:tr>
      <w:tr w:rsidR="004A6364">
        <w:tc>
          <w:tcPr>
            <w:tcW w:w="908"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7</w:t>
            </w:r>
          </w:p>
        </w:tc>
        <w:tc>
          <w:tcPr>
            <w:tcW w:w="3346"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污水处理设施事故防控</w:t>
            </w:r>
          </w:p>
        </w:tc>
        <w:tc>
          <w:tcPr>
            <w:tcW w:w="10249" w:type="dxa"/>
            <w:gridSpan w:val="2"/>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项目设废水收集池</w:t>
            </w:r>
            <w:r>
              <w:rPr>
                <w:rFonts w:ascii="Cambria" w:eastAsia="宋体" w:hAnsi="Cambria" w:hint="eastAsia"/>
                <w:sz w:val="21"/>
                <w:szCs w:val="21"/>
              </w:rPr>
              <w:t>1</w:t>
            </w:r>
            <w:r>
              <w:rPr>
                <w:rFonts w:ascii="Cambria" w:eastAsia="宋体" w:hAnsi="Cambria" w:hint="eastAsia"/>
                <w:sz w:val="21"/>
                <w:szCs w:val="21"/>
              </w:rPr>
              <w:t>座，有效容积为</w:t>
            </w:r>
            <w:r>
              <w:rPr>
                <w:rFonts w:ascii="Cambria" w:eastAsia="宋体" w:hAnsi="Cambria" w:hint="eastAsia"/>
                <w:sz w:val="21"/>
                <w:szCs w:val="21"/>
              </w:rPr>
              <w:t>1000m3</w:t>
            </w:r>
            <w:r>
              <w:rPr>
                <w:rFonts w:ascii="Cambria" w:eastAsia="宋体" w:hAnsi="Cambria" w:hint="eastAsia"/>
                <w:sz w:val="21"/>
                <w:szCs w:val="21"/>
              </w:rPr>
              <w:t>，用于收集厂区生产废水。并且设有事故应急池</w:t>
            </w:r>
            <w:r>
              <w:rPr>
                <w:rFonts w:ascii="Cambria" w:eastAsia="宋体" w:hAnsi="Cambria" w:hint="eastAsia"/>
                <w:sz w:val="21"/>
                <w:szCs w:val="21"/>
              </w:rPr>
              <w:t>1</w:t>
            </w:r>
            <w:r>
              <w:rPr>
                <w:rFonts w:ascii="Cambria" w:eastAsia="宋体" w:hAnsi="Cambria" w:hint="eastAsia"/>
                <w:sz w:val="21"/>
                <w:szCs w:val="21"/>
              </w:rPr>
              <w:t>座，有效容积</w:t>
            </w:r>
            <w:r>
              <w:rPr>
                <w:rFonts w:ascii="Cambria" w:eastAsia="宋体" w:hAnsi="Cambria" w:hint="eastAsia"/>
                <w:sz w:val="21"/>
                <w:szCs w:val="21"/>
              </w:rPr>
              <w:t>2000m3</w:t>
            </w:r>
            <w:r>
              <w:rPr>
                <w:rFonts w:ascii="Cambria" w:eastAsia="宋体" w:hAnsi="Cambria" w:hint="eastAsia"/>
                <w:sz w:val="21"/>
                <w:szCs w:val="21"/>
              </w:rPr>
              <w:t>，用以接纳初期雨水、事故状态排水和检修废水，对水量和水质调节，</w:t>
            </w:r>
            <w:proofErr w:type="gramStart"/>
            <w:r>
              <w:rPr>
                <w:rFonts w:ascii="Cambria" w:eastAsia="宋体" w:hAnsi="Cambria" w:hint="eastAsia"/>
                <w:sz w:val="21"/>
                <w:szCs w:val="21"/>
              </w:rPr>
              <w:t>分批进</w:t>
            </w:r>
            <w:proofErr w:type="gramEnd"/>
            <w:r>
              <w:rPr>
                <w:rFonts w:ascii="Cambria" w:eastAsia="宋体" w:hAnsi="Cambria" w:hint="eastAsia"/>
                <w:sz w:val="21"/>
                <w:szCs w:val="21"/>
              </w:rPr>
              <w:t>污水处理站处理。</w:t>
            </w:r>
          </w:p>
        </w:tc>
      </w:tr>
      <w:tr w:rsidR="004A6364">
        <w:tc>
          <w:tcPr>
            <w:tcW w:w="908" w:type="dxa"/>
            <w:vMerge/>
            <w:vAlign w:val="center"/>
          </w:tcPr>
          <w:p w:rsidR="004A6364" w:rsidRDefault="004A6364">
            <w:pPr>
              <w:pStyle w:val="a4"/>
              <w:jc w:val="center"/>
              <w:rPr>
                <w:rFonts w:eastAsia="宋体"/>
                <w:sz w:val="21"/>
                <w:szCs w:val="21"/>
              </w:rPr>
            </w:pPr>
          </w:p>
        </w:tc>
        <w:tc>
          <w:tcPr>
            <w:tcW w:w="3346" w:type="dxa"/>
            <w:vMerge/>
            <w:vAlign w:val="center"/>
          </w:tcPr>
          <w:p w:rsidR="004A6364" w:rsidRDefault="004A6364">
            <w:pPr>
              <w:pStyle w:val="a4"/>
              <w:jc w:val="center"/>
              <w:rPr>
                <w:rFonts w:eastAsia="宋体"/>
                <w:sz w:val="21"/>
                <w:szCs w:val="21"/>
              </w:rPr>
            </w:pPr>
          </w:p>
        </w:tc>
        <w:tc>
          <w:tcPr>
            <w:tcW w:w="10249" w:type="dxa"/>
            <w:gridSpan w:val="2"/>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当污水处理设施出现故障时，可将废水排入污水收集池中，待污水处理设施恢复运行后再送入厂区污水处理站处理。</w:t>
            </w:r>
          </w:p>
        </w:tc>
      </w:tr>
      <w:tr w:rsidR="004A6364">
        <w:tc>
          <w:tcPr>
            <w:tcW w:w="908" w:type="dxa"/>
            <w:vMerge w:val="restart"/>
            <w:vAlign w:val="center"/>
          </w:tcPr>
          <w:p w:rsidR="004A6364" w:rsidRDefault="002601B4">
            <w:pPr>
              <w:pStyle w:val="a4"/>
              <w:jc w:val="center"/>
              <w:rPr>
                <w:rFonts w:eastAsia="宋体"/>
                <w:sz w:val="21"/>
                <w:szCs w:val="21"/>
              </w:rPr>
            </w:pPr>
            <w:r>
              <w:rPr>
                <w:rFonts w:eastAsia="宋体" w:hint="eastAsia"/>
                <w:sz w:val="21"/>
                <w:szCs w:val="21"/>
              </w:rPr>
              <w:t>8</w:t>
            </w:r>
          </w:p>
        </w:tc>
        <w:tc>
          <w:tcPr>
            <w:tcW w:w="3346"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固体废物治理措施</w:t>
            </w:r>
          </w:p>
        </w:tc>
        <w:tc>
          <w:tcPr>
            <w:tcW w:w="2128" w:type="dxa"/>
            <w:vMerge w:val="restart"/>
            <w:vAlign w:val="center"/>
          </w:tcPr>
          <w:p w:rsidR="004A6364" w:rsidRDefault="002601B4">
            <w:pPr>
              <w:pStyle w:val="a9"/>
              <w:tabs>
                <w:tab w:val="left" w:pos="1097"/>
              </w:tabs>
              <w:spacing w:before="132"/>
              <w:ind w:leftChars="200" w:left="640" w:rightChars="95" w:right="304" w:firstLineChars="0" w:firstLine="0"/>
              <w:rPr>
                <w:rFonts w:ascii="Cambria" w:eastAsia="宋体" w:hAnsi="Cambria"/>
                <w:sz w:val="21"/>
                <w:szCs w:val="21"/>
              </w:rPr>
            </w:pPr>
            <w:r>
              <w:rPr>
                <w:rFonts w:ascii="Cambria" w:eastAsia="宋体" w:hAnsi="Cambria" w:hint="eastAsia"/>
                <w:sz w:val="21"/>
                <w:szCs w:val="21"/>
              </w:rPr>
              <w:t>一般工业固体废物</w:t>
            </w:r>
          </w:p>
          <w:p w:rsidR="004A6364" w:rsidRDefault="004A6364">
            <w:pPr>
              <w:pStyle w:val="a4"/>
              <w:jc w:val="center"/>
              <w:rPr>
                <w:rFonts w:eastAsia="宋体"/>
                <w:sz w:val="21"/>
                <w:szCs w:val="21"/>
              </w:rPr>
            </w:pPr>
          </w:p>
        </w:tc>
        <w:tc>
          <w:tcPr>
            <w:tcW w:w="8121" w:type="dxa"/>
            <w:vAlign w:val="center"/>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一般工业固</w:t>
            </w:r>
            <w:proofErr w:type="gramStart"/>
            <w:r>
              <w:rPr>
                <w:rFonts w:ascii="Cambria" w:eastAsia="宋体" w:hAnsi="Cambria" w:hint="eastAsia"/>
                <w:sz w:val="21"/>
                <w:szCs w:val="21"/>
              </w:rPr>
              <w:t>废产生</w:t>
            </w:r>
            <w:proofErr w:type="gramEnd"/>
            <w:r>
              <w:rPr>
                <w:rFonts w:ascii="Cambria" w:eastAsia="宋体" w:hAnsi="Cambria" w:hint="eastAsia"/>
                <w:sz w:val="21"/>
                <w:szCs w:val="21"/>
              </w:rPr>
              <w:t>量，技改后</w:t>
            </w:r>
            <w:r>
              <w:rPr>
                <w:rFonts w:ascii="Cambria" w:eastAsia="宋体" w:hAnsi="Cambria" w:hint="eastAsia"/>
                <w:sz w:val="21"/>
                <w:szCs w:val="21"/>
              </w:rPr>
              <w:t xml:space="preserve"> TFE </w:t>
            </w:r>
            <w:r>
              <w:rPr>
                <w:rFonts w:ascii="Cambria" w:eastAsia="宋体" w:hAnsi="Cambria" w:hint="eastAsia"/>
                <w:sz w:val="21"/>
                <w:szCs w:val="21"/>
              </w:rPr>
              <w:t>装置产生的废分子筛、污水处理系统污泥仍送一般工业固体废物处置场处置；技改后不增加生活垃圾产生量，技改后生活垃圾</w:t>
            </w:r>
            <w:proofErr w:type="gramStart"/>
            <w:r>
              <w:rPr>
                <w:rFonts w:ascii="Cambria" w:eastAsia="宋体" w:hAnsi="Cambria" w:hint="eastAsia"/>
                <w:sz w:val="21"/>
                <w:szCs w:val="21"/>
              </w:rPr>
              <w:t>仍委托</w:t>
            </w:r>
            <w:proofErr w:type="gramEnd"/>
            <w:r>
              <w:rPr>
                <w:rFonts w:ascii="Cambria" w:eastAsia="宋体" w:hAnsi="Cambria" w:hint="eastAsia"/>
                <w:sz w:val="21"/>
                <w:szCs w:val="21"/>
              </w:rPr>
              <w:t>当地环卫部门处理。</w:t>
            </w:r>
          </w:p>
          <w:p w:rsidR="004A6364" w:rsidRDefault="004A6364" w:rsidP="00D61DF8">
            <w:pPr>
              <w:ind w:leftChars="-67" w:left="-214" w:rightChars="95" w:right="304" w:firstLineChars="177" w:firstLine="372"/>
              <w:jc w:val="center"/>
              <w:rPr>
                <w:rFonts w:ascii="Cambria" w:eastAsia="宋体" w:hAnsi="Cambria"/>
                <w:sz w:val="21"/>
                <w:szCs w:val="21"/>
              </w:rPr>
            </w:pPr>
          </w:p>
        </w:tc>
      </w:tr>
      <w:tr w:rsidR="004A6364">
        <w:tc>
          <w:tcPr>
            <w:tcW w:w="908" w:type="dxa"/>
            <w:vMerge/>
            <w:vAlign w:val="center"/>
          </w:tcPr>
          <w:p w:rsidR="004A6364" w:rsidRDefault="004A6364">
            <w:pPr>
              <w:pStyle w:val="a4"/>
              <w:jc w:val="center"/>
              <w:rPr>
                <w:rFonts w:eastAsia="宋体"/>
                <w:sz w:val="21"/>
                <w:szCs w:val="21"/>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vMerge/>
            <w:vAlign w:val="center"/>
          </w:tcPr>
          <w:p w:rsidR="004A6364" w:rsidRDefault="004A6364">
            <w:pPr>
              <w:pStyle w:val="a4"/>
              <w:jc w:val="center"/>
              <w:rPr>
                <w:rFonts w:eastAsia="宋体"/>
                <w:sz w:val="21"/>
                <w:szCs w:val="21"/>
              </w:rPr>
            </w:pPr>
          </w:p>
        </w:tc>
        <w:tc>
          <w:tcPr>
            <w:tcW w:w="8121" w:type="dxa"/>
            <w:vAlign w:val="center"/>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 xml:space="preserve"> FEP </w:t>
            </w:r>
            <w:r>
              <w:rPr>
                <w:rFonts w:ascii="Cambria" w:eastAsia="宋体" w:hAnsi="Cambria" w:hint="eastAsia"/>
                <w:sz w:val="21"/>
                <w:szCs w:val="21"/>
              </w:rPr>
              <w:t>装置聚合</w:t>
            </w:r>
            <w:proofErr w:type="gramStart"/>
            <w:r>
              <w:rPr>
                <w:rFonts w:ascii="Cambria" w:eastAsia="宋体" w:hAnsi="Cambria" w:hint="eastAsia"/>
                <w:sz w:val="21"/>
                <w:szCs w:val="21"/>
              </w:rPr>
              <w:t>釜</w:t>
            </w:r>
            <w:proofErr w:type="gramEnd"/>
            <w:r>
              <w:rPr>
                <w:rFonts w:ascii="Cambria" w:eastAsia="宋体" w:hAnsi="Cambria" w:hint="eastAsia"/>
                <w:sz w:val="21"/>
                <w:szCs w:val="21"/>
              </w:rPr>
              <w:t>壁结块（</w:t>
            </w:r>
            <w:r>
              <w:rPr>
                <w:rFonts w:ascii="Cambria" w:eastAsia="宋体" w:hAnsi="Cambria" w:hint="eastAsia"/>
                <w:sz w:val="21"/>
                <w:szCs w:val="21"/>
              </w:rPr>
              <w:t>18.6t/a</w:t>
            </w:r>
            <w:r>
              <w:rPr>
                <w:rFonts w:ascii="Cambria" w:eastAsia="宋体" w:hAnsi="Cambria" w:hint="eastAsia"/>
                <w:sz w:val="21"/>
                <w:szCs w:val="21"/>
              </w:rPr>
              <w:t>）、烧结炉内结块（</w:t>
            </w:r>
            <w:r>
              <w:rPr>
                <w:rFonts w:ascii="Cambria" w:eastAsia="宋体" w:hAnsi="Cambria" w:hint="eastAsia"/>
                <w:sz w:val="21"/>
                <w:szCs w:val="21"/>
              </w:rPr>
              <w:t>1.3t/a</w:t>
            </w:r>
            <w:r>
              <w:rPr>
                <w:rFonts w:ascii="Cambria" w:eastAsia="宋体" w:hAnsi="Cambria" w:hint="eastAsia"/>
                <w:sz w:val="21"/>
                <w:szCs w:val="21"/>
              </w:rPr>
              <w:t>）、散落物料（</w:t>
            </w:r>
            <w:r>
              <w:rPr>
                <w:rFonts w:ascii="Cambria" w:eastAsia="宋体" w:hAnsi="Cambria" w:hint="eastAsia"/>
                <w:sz w:val="21"/>
                <w:szCs w:val="21"/>
              </w:rPr>
              <w:t>17.1t/a</w:t>
            </w:r>
            <w:r>
              <w:rPr>
                <w:rFonts w:ascii="Cambria" w:eastAsia="宋体" w:hAnsi="Cambria" w:hint="eastAsia"/>
                <w:sz w:val="21"/>
                <w:szCs w:val="21"/>
              </w:rPr>
              <w:t>）处置措施与技改前一致，均作为次品外售。技改后烧结炉炉内结块产生减少，综合利用总量为</w:t>
            </w:r>
            <w:r>
              <w:rPr>
                <w:rFonts w:ascii="Cambria" w:eastAsia="宋体" w:hAnsi="Cambria" w:hint="eastAsia"/>
                <w:sz w:val="21"/>
                <w:szCs w:val="21"/>
              </w:rPr>
              <w:t xml:space="preserve"> 37t/a</w:t>
            </w:r>
            <w:r>
              <w:rPr>
                <w:rFonts w:ascii="Cambria" w:eastAsia="宋体" w:hAnsi="Cambria" w:hint="eastAsia"/>
                <w:sz w:val="21"/>
                <w:szCs w:val="21"/>
              </w:rPr>
              <w:t>。</w:t>
            </w:r>
          </w:p>
          <w:p w:rsidR="004A6364" w:rsidRDefault="004A6364" w:rsidP="00D61DF8">
            <w:pPr>
              <w:ind w:leftChars="-67" w:left="-214" w:rightChars="95" w:right="304" w:firstLineChars="177" w:firstLine="372"/>
              <w:jc w:val="center"/>
              <w:rPr>
                <w:rFonts w:ascii="Cambria" w:eastAsia="宋体" w:hAnsi="Cambria"/>
                <w:sz w:val="21"/>
                <w:szCs w:val="21"/>
              </w:rPr>
            </w:pPr>
          </w:p>
        </w:tc>
      </w:tr>
      <w:tr w:rsidR="004A6364">
        <w:tc>
          <w:tcPr>
            <w:tcW w:w="908" w:type="dxa"/>
            <w:vMerge/>
            <w:vAlign w:val="center"/>
          </w:tcPr>
          <w:p w:rsidR="004A6364" w:rsidRDefault="004A6364">
            <w:pPr>
              <w:pStyle w:val="a4"/>
              <w:jc w:val="center"/>
              <w:rPr>
                <w:rFonts w:eastAsia="宋体"/>
                <w:sz w:val="21"/>
                <w:szCs w:val="21"/>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vMerge w:val="restart"/>
            <w:vAlign w:val="center"/>
          </w:tcPr>
          <w:p w:rsidR="004A6364" w:rsidRDefault="002601B4">
            <w:pPr>
              <w:pStyle w:val="a9"/>
              <w:tabs>
                <w:tab w:val="left" w:pos="1097"/>
              </w:tabs>
              <w:spacing w:before="132"/>
              <w:ind w:leftChars="200" w:left="640" w:rightChars="95" w:right="304" w:firstLineChars="0" w:firstLine="0"/>
              <w:rPr>
                <w:rFonts w:ascii="Cambria" w:eastAsia="宋体" w:hAnsi="Cambria"/>
                <w:sz w:val="21"/>
                <w:szCs w:val="21"/>
              </w:rPr>
            </w:pPr>
            <w:r>
              <w:rPr>
                <w:rFonts w:ascii="Cambria" w:eastAsia="宋体" w:hAnsi="Cambria" w:hint="eastAsia"/>
                <w:sz w:val="21"/>
                <w:szCs w:val="21"/>
              </w:rPr>
              <w:t>危险废物</w:t>
            </w:r>
          </w:p>
          <w:p w:rsidR="004A6364" w:rsidRDefault="004A6364">
            <w:pPr>
              <w:pStyle w:val="a4"/>
              <w:jc w:val="center"/>
              <w:rPr>
                <w:rFonts w:eastAsia="宋体"/>
                <w:sz w:val="21"/>
                <w:szCs w:val="21"/>
              </w:rPr>
            </w:pPr>
          </w:p>
        </w:tc>
        <w:tc>
          <w:tcPr>
            <w:tcW w:w="8121" w:type="dxa"/>
            <w:vAlign w:val="center"/>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依据《国家危险废物名录》（</w:t>
            </w:r>
            <w:r>
              <w:rPr>
                <w:rFonts w:ascii="Cambria" w:eastAsia="宋体" w:hAnsi="Cambria" w:hint="eastAsia"/>
                <w:sz w:val="21"/>
                <w:szCs w:val="21"/>
              </w:rPr>
              <w:t>2016</w:t>
            </w:r>
            <w:r>
              <w:rPr>
                <w:rFonts w:ascii="Cambria" w:eastAsia="宋体" w:hAnsi="Cambria" w:hint="eastAsia"/>
                <w:sz w:val="21"/>
                <w:szCs w:val="21"/>
              </w:rPr>
              <w:t>年）对其界定，属于危险废物名录中规定的危险废物，均</w:t>
            </w:r>
            <w:proofErr w:type="gramStart"/>
            <w:r>
              <w:rPr>
                <w:rFonts w:ascii="Cambria" w:eastAsia="宋体" w:hAnsi="Cambria" w:hint="eastAsia"/>
                <w:sz w:val="21"/>
                <w:szCs w:val="21"/>
              </w:rPr>
              <w:t>按危险</w:t>
            </w:r>
            <w:proofErr w:type="gramEnd"/>
            <w:r>
              <w:rPr>
                <w:rFonts w:ascii="Cambria" w:eastAsia="宋体" w:hAnsi="Cambria" w:hint="eastAsia"/>
                <w:sz w:val="21"/>
                <w:szCs w:val="21"/>
              </w:rPr>
              <w:t>废物要求进行处置。</w:t>
            </w:r>
          </w:p>
        </w:tc>
      </w:tr>
      <w:tr w:rsidR="004A6364">
        <w:tc>
          <w:tcPr>
            <w:tcW w:w="908" w:type="dxa"/>
            <w:vMerge/>
            <w:vAlign w:val="center"/>
          </w:tcPr>
          <w:p w:rsidR="004A6364" w:rsidRDefault="004A6364">
            <w:pPr>
              <w:pStyle w:val="a4"/>
              <w:jc w:val="center"/>
              <w:rPr>
                <w:rFonts w:eastAsia="宋体"/>
                <w:sz w:val="21"/>
                <w:szCs w:val="21"/>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vMerge/>
            <w:vAlign w:val="center"/>
          </w:tcPr>
          <w:p w:rsidR="004A6364" w:rsidRDefault="004A6364">
            <w:pPr>
              <w:pStyle w:val="a4"/>
              <w:jc w:val="center"/>
              <w:rPr>
                <w:rFonts w:eastAsia="宋体"/>
                <w:sz w:val="21"/>
                <w:szCs w:val="21"/>
              </w:rPr>
            </w:pPr>
          </w:p>
        </w:tc>
        <w:tc>
          <w:tcPr>
            <w:tcW w:w="8121" w:type="dxa"/>
            <w:vAlign w:val="center"/>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98%</w:t>
            </w:r>
            <w:r>
              <w:rPr>
                <w:rFonts w:ascii="Cambria" w:eastAsia="宋体" w:hAnsi="Cambria" w:hint="eastAsia"/>
                <w:sz w:val="21"/>
                <w:szCs w:val="21"/>
              </w:rPr>
              <w:t>硫酸产品质量满足《工业硫酸》（</w:t>
            </w:r>
            <w:r>
              <w:rPr>
                <w:rFonts w:ascii="Cambria" w:eastAsia="宋体" w:hAnsi="Cambria" w:hint="eastAsia"/>
                <w:sz w:val="21"/>
                <w:szCs w:val="21"/>
              </w:rPr>
              <w:t>GB/T534-2014</w:t>
            </w:r>
            <w:r>
              <w:rPr>
                <w:rFonts w:ascii="Cambria" w:eastAsia="宋体" w:hAnsi="Cambria" w:hint="eastAsia"/>
                <w:sz w:val="21"/>
                <w:szCs w:val="21"/>
              </w:rPr>
              <w:t>）中合格品指标，作为副产品外售综合利用，其余危险废物产生量与技改前未发生变化，处置措施与技改前一致。各装置产生</w:t>
            </w:r>
            <w:proofErr w:type="gramStart"/>
            <w:r>
              <w:rPr>
                <w:rFonts w:ascii="Cambria" w:eastAsia="宋体" w:hAnsi="Cambria" w:hint="eastAsia"/>
                <w:sz w:val="21"/>
                <w:szCs w:val="21"/>
              </w:rPr>
              <w:t>废液送现有</w:t>
            </w:r>
            <w:proofErr w:type="gramEnd"/>
            <w:r>
              <w:rPr>
                <w:rFonts w:ascii="Cambria" w:eastAsia="宋体" w:hAnsi="Cambria" w:hint="eastAsia"/>
                <w:sz w:val="21"/>
                <w:szCs w:val="21"/>
              </w:rPr>
              <w:t>焚烧装置处理。</w:t>
            </w:r>
          </w:p>
        </w:tc>
      </w:tr>
      <w:tr w:rsidR="004A6364">
        <w:tc>
          <w:tcPr>
            <w:tcW w:w="908" w:type="dxa"/>
            <w:vMerge w:val="restart"/>
            <w:vAlign w:val="center"/>
          </w:tcPr>
          <w:p w:rsidR="004A6364" w:rsidRDefault="002601B4">
            <w:pPr>
              <w:pStyle w:val="a4"/>
              <w:jc w:val="center"/>
              <w:rPr>
                <w:rFonts w:eastAsia="宋体"/>
                <w:sz w:val="21"/>
                <w:szCs w:val="21"/>
              </w:rPr>
            </w:pPr>
            <w:r>
              <w:rPr>
                <w:rFonts w:eastAsia="宋体" w:hint="eastAsia"/>
                <w:sz w:val="21"/>
                <w:szCs w:val="21"/>
              </w:rPr>
              <w:t>9</w:t>
            </w:r>
          </w:p>
        </w:tc>
        <w:tc>
          <w:tcPr>
            <w:tcW w:w="3346"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噪声污染防治措施</w:t>
            </w:r>
          </w:p>
        </w:tc>
        <w:tc>
          <w:tcPr>
            <w:tcW w:w="10249" w:type="dxa"/>
            <w:gridSpan w:val="2"/>
            <w:vAlign w:val="center"/>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选用低噪声设备，泵可加装隔声罩、减振，可降噪约</w:t>
            </w:r>
            <w:r>
              <w:rPr>
                <w:rFonts w:ascii="Cambria" w:eastAsia="宋体" w:hAnsi="Cambria" w:hint="eastAsia"/>
                <w:sz w:val="21"/>
                <w:szCs w:val="21"/>
              </w:rPr>
              <w:t xml:space="preserve"> 15dB</w:t>
            </w:r>
            <w:r>
              <w:rPr>
                <w:rFonts w:ascii="Cambria" w:eastAsia="宋体" w:hAnsi="Cambria" w:hint="eastAsia"/>
                <w:sz w:val="21"/>
                <w:szCs w:val="21"/>
              </w:rPr>
              <w:t>；风管包扎阻尼材料，可取得一定的降噪效果。布局合理，防止噪声叠加和干扰。</w:t>
            </w:r>
          </w:p>
          <w:p w:rsidR="004A6364" w:rsidRDefault="004A6364" w:rsidP="00D61DF8">
            <w:pPr>
              <w:pStyle w:val="Style1"/>
              <w:ind w:rightChars="95" w:right="304"/>
              <w:rPr>
                <w:rFonts w:ascii="Cambria" w:eastAsia="宋体" w:hAnsi="Cambria"/>
                <w:sz w:val="21"/>
                <w:szCs w:val="21"/>
              </w:rPr>
            </w:pPr>
          </w:p>
        </w:tc>
      </w:tr>
      <w:tr w:rsidR="004A6364">
        <w:tc>
          <w:tcPr>
            <w:tcW w:w="908" w:type="dxa"/>
            <w:vMerge/>
            <w:vAlign w:val="center"/>
          </w:tcPr>
          <w:p w:rsidR="004A6364" w:rsidRDefault="004A6364">
            <w:pPr>
              <w:pStyle w:val="a4"/>
              <w:jc w:val="center"/>
              <w:rPr>
                <w:rFonts w:eastAsia="宋体"/>
                <w:sz w:val="21"/>
                <w:szCs w:val="21"/>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10249" w:type="dxa"/>
            <w:gridSpan w:val="2"/>
            <w:vAlign w:val="center"/>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加强厂区空地绿化建设，尽量提高绿地率，以降低噪声的影响。预计采取这些消声降噪措施后，技改后厂界噪声能达到《工业企业厂界环境噪声排放标准》（</w:t>
            </w:r>
            <w:r>
              <w:rPr>
                <w:rFonts w:ascii="Cambria" w:eastAsia="宋体" w:hAnsi="Cambria" w:hint="eastAsia"/>
                <w:sz w:val="21"/>
                <w:szCs w:val="21"/>
              </w:rPr>
              <w:t>GB12348-2008</w:t>
            </w:r>
            <w:r>
              <w:rPr>
                <w:rFonts w:ascii="Cambria" w:eastAsia="宋体" w:hAnsi="Cambria" w:hint="eastAsia"/>
                <w:sz w:val="21"/>
                <w:szCs w:val="21"/>
              </w:rPr>
              <w:t>）</w:t>
            </w:r>
            <w:r>
              <w:rPr>
                <w:rFonts w:ascii="Cambria" w:eastAsia="宋体" w:hAnsi="Cambria" w:hint="eastAsia"/>
                <w:sz w:val="21"/>
                <w:szCs w:val="21"/>
              </w:rPr>
              <w:t xml:space="preserve">3 </w:t>
            </w:r>
            <w:r>
              <w:rPr>
                <w:rFonts w:ascii="Cambria" w:eastAsia="宋体" w:hAnsi="Cambria" w:hint="eastAsia"/>
                <w:sz w:val="21"/>
                <w:szCs w:val="21"/>
              </w:rPr>
              <w:t>类标准要求。</w:t>
            </w:r>
          </w:p>
          <w:p w:rsidR="004A6364" w:rsidRDefault="004A6364" w:rsidP="00D61DF8">
            <w:pPr>
              <w:pStyle w:val="Style1"/>
              <w:ind w:rightChars="95" w:right="304"/>
              <w:rPr>
                <w:rFonts w:ascii="Cambria" w:eastAsia="宋体" w:hAnsi="Cambria"/>
                <w:sz w:val="21"/>
                <w:szCs w:val="21"/>
              </w:rPr>
            </w:pPr>
          </w:p>
        </w:tc>
      </w:tr>
      <w:tr w:rsidR="004A6364">
        <w:tc>
          <w:tcPr>
            <w:tcW w:w="908" w:type="dxa"/>
            <w:vMerge w:val="restart"/>
            <w:vAlign w:val="center"/>
          </w:tcPr>
          <w:p w:rsidR="004A6364" w:rsidRDefault="002601B4">
            <w:pPr>
              <w:pStyle w:val="a4"/>
              <w:jc w:val="center"/>
              <w:rPr>
                <w:rFonts w:eastAsia="宋体"/>
                <w:sz w:val="21"/>
                <w:szCs w:val="21"/>
              </w:rPr>
            </w:pPr>
            <w:r>
              <w:rPr>
                <w:rFonts w:eastAsia="宋体" w:hint="eastAsia"/>
                <w:sz w:val="21"/>
                <w:szCs w:val="21"/>
              </w:rPr>
              <w:lastRenderedPageBreak/>
              <w:t>10</w:t>
            </w:r>
          </w:p>
        </w:tc>
        <w:tc>
          <w:tcPr>
            <w:tcW w:w="3346" w:type="dxa"/>
            <w:vMerge w:val="restart"/>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分区防渗措施</w:t>
            </w:r>
          </w:p>
        </w:tc>
        <w:tc>
          <w:tcPr>
            <w:tcW w:w="2128" w:type="dxa"/>
            <w:vMerge w:val="restart"/>
            <w:vAlign w:val="center"/>
          </w:tcPr>
          <w:p w:rsidR="004A6364" w:rsidRDefault="002601B4">
            <w:pPr>
              <w:ind w:rightChars="95" w:right="304"/>
              <w:rPr>
                <w:rFonts w:ascii="Cambria" w:eastAsia="宋体" w:hAnsi="Cambria"/>
                <w:sz w:val="21"/>
                <w:szCs w:val="21"/>
              </w:rPr>
            </w:pPr>
            <w:r>
              <w:rPr>
                <w:rFonts w:ascii="Cambria" w:eastAsia="宋体" w:hAnsi="Cambria" w:hint="eastAsia"/>
                <w:sz w:val="21"/>
                <w:szCs w:val="21"/>
              </w:rPr>
              <w:t>污染防治区划分</w:t>
            </w:r>
          </w:p>
          <w:p w:rsidR="004A6364" w:rsidRDefault="004A6364">
            <w:pPr>
              <w:pStyle w:val="a4"/>
              <w:jc w:val="center"/>
              <w:rPr>
                <w:rFonts w:eastAsia="宋体"/>
                <w:sz w:val="21"/>
                <w:szCs w:val="21"/>
              </w:rPr>
            </w:pPr>
          </w:p>
        </w:tc>
        <w:tc>
          <w:tcPr>
            <w:tcW w:w="8121" w:type="dxa"/>
            <w:vAlign w:val="center"/>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根据各生产功能单元可能泄漏至地面区域的污染物性质和生产单元的构筑方式，</w:t>
            </w:r>
            <w:r>
              <w:rPr>
                <w:rFonts w:ascii="Cambria" w:eastAsia="宋体" w:hAnsi="Cambria" w:hint="eastAsia"/>
                <w:sz w:val="21"/>
                <w:szCs w:val="21"/>
              </w:rPr>
              <w:t xml:space="preserve"> </w:t>
            </w:r>
            <w:r>
              <w:rPr>
                <w:rFonts w:ascii="Cambria" w:eastAsia="宋体" w:hAnsi="Cambria" w:hint="eastAsia"/>
                <w:sz w:val="21"/>
                <w:szCs w:val="21"/>
              </w:rPr>
              <w:t>将厂区划分为重点</w:t>
            </w:r>
            <w:proofErr w:type="gramStart"/>
            <w:r>
              <w:rPr>
                <w:rFonts w:ascii="Cambria" w:eastAsia="宋体" w:hAnsi="Cambria" w:hint="eastAsia"/>
                <w:sz w:val="21"/>
                <w:szCs w:val="21"/>
              </w:rPr>
              <w:t>污</w:t>
            </w:r>
            <w:proofErr w:type="gramEnd"/>
            <w:r>
              <w:rPr>
                <w:rFonts w:ascii="Cambria" w:eastAsia="宋体" w:hAnsi="Cambria" w:hint="eastAsia"/>
                <w:sz w:val="21"/>
                <w:szCs w:val="21"/>
              </w:rPr>
              <w:t>防渗区、一般防渗区和简单防渗区。</w:t>
            </w:r>
          </w:p>
        </w:tc>
      </w:tr>
      <w:tr w:rsidR="004A6364">
        <w:tc>
          <w:tcPr>
            <w:tcW w:w="908" w:type="dxa"/>
            <w:vMerge/>
            <w:vAlign w:val="center"/>
          </w:tcPr>
          <w:p w:rsidR="004A6364" w:rsidRDefault="004A6364">
            <w:pPr>
              <w:pStyle w:val="a4"/>
              <w:jc w:val="center"/>
              <w:rPr>
                <w:rFonts w:eastAsia="宋体"/>
                <w:sz w:val="21"/>
                <w:szCs w:val="21"/>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vMerge/>
            <w:vAlign w:val="center"/>
          </w:tcPr>
          <w:p w:rsidR="004A6364" w:rsidRDefault="004A6364">
            <w:pPr>
              <w:pStyle w:val="a4"/>
              <w:jc w:val="center"/>
              <w:rPr>
                <w:rFonts w:eastAsia="宋体"/>
                <w:sz w:val="21"/>
                <w:szCs w:val="21"/>
              </w:rPr>
            </w:pPr>
          </w:p>
        </w:tc>
        <w:tc>
          <w:tcPr>
            <w:tcW w:w="8121" w:type="dxa"/>
            <w:vAlign w:val="center"/>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涉及重点防渗区有污水处理系统各构筑物（水解酸化池、一级接触氧化池、二级接触氧化池、高浓度含氟废水收集池）。技改涉及的</w:t>
            </w:r>
            <w:r>
              <w:rPr>
                <w:rFonts w:ascii="Cambria" w:eastAsia="宋体" w:hAnsi="Cambria" w:hint="eastAsia"/>
                <w:sz w:val="21"/>
                <w:szCs w:val="21"/>
              </w:rPr>
              <w:t>TFE</w:t>
            </w:r>
            <w:r>
              <w:rPr>
                <w:rFonts w:ascii="Cambria" w:eastAsia="宋体" w:hAnsi="Cambria" w:hint="eastAsia"/>
                <w:sz w:val="21"/>
                <w:szCs w:val="21"/>
              </w:rPr>
              <w:t>装置区、</w:t>
            </w:r>
            <w:r>
              <w:rPr>
                <w:rFonts w:ascii="Cambria" w:eastAsia="宋体" w:hAnsi="Cambria" w:hint="eastAsia"/>
                <w:sz w:val="21"/>
                <w:szCs w:val="21"/>
              </w:rPr>
              <w:t>FEP</w:t>
            </w:r>
            <w:r>
              <w:rPr>
                <w:rFonts w:ascii="Cambria" w:eastAsia="宋体" w:hAnsi="Cambria" w:hint="eastAsia"/>
                <w:sz w:val="21"/>
                <w:szCs w:val="21"/>
              </w:rPr>
              <w:t>装置区均已采用防渗措施。</w:t>
            </w:r>
          </w:p>
        </w:tc>
      </w:tr>
      <w:tr w:rsidR="004A6364">
        <w:tc>
          <w:tcPr>
            <w:tcW w:w="908" w:type="dxa"/>
            <w:vMerge/>
            <w:vAlign w:val="center"/>
          </w:tcPr>
          <w:p w:rsidR="004A6364" w:rsidRDefault="004A6364">
            <w:pPr>
              <w:pStyle w:val="a4"/>
              <w:jc w:val="center"/>
              <w:rPr>
                <w:rFonts w:eastAsia="宋体"/>
                <w:sz w:val="21"/>
                <w:szCs w:val="21"/>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vAlign w:val="center"/>
          </w:tcPr>
          <w:p w:rsidR="004A6364" w:rsidRDefault="002601B4">
            <w:pPr>
              <w:ind w:left="35" w:rightChars="95" w:right="304"/>
              <w:rPr>
                <w:rFonts w:ascii="Cambria" w:eastAsia="宋体" w:hAnsi="Cambria"/>
                <w:sz w:val="21"/>
                <w:szCs w:val="21"/>
              </w:rPr>
            </w:pPr>
            <w:r>
              <w:rPr>
                <w:rFonts w:ascii="Cambria" w:eastAsia="宋体" w:hAnsi="Cambria" w:hint="eastAsia"/>
                <w:sz w:val="21"/>
                <w:szCs w:val="21"/>
              </w:rPr>
              <w:t>分区防渗措施</w:t>
            </w:r>
          </w:p>
          <w:p w:rsidR="004A6364" w:rsidRDefault="004A6364">
            <w:pPr>
              <w:pStyle w:val="a4"/>
              <w:jc w:val="center"/>
              <w:rPr>
                <w:rFonts w:eastAsia="宋体"/>
                <w:sz w:val="21"/>
                <w:szCs w:val="21"/>
              </w:rPr>
            </w:pPr>
          </w:p>
        </w:tc>
        <w:tc>
          <w:tcPr>
            <w:tcW w:w="8121" w:type="dxa"/>
            <w:vAlign w:val="center"/>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按照《环境影响评价技术导则</w:t>
            </w:r>
            <w:r>
              <w:rPr>
                <w:rFonts w:ascii="Cambria" w:eastAsia="宋体" w:hAnsi="Cambria" w:hint="eastAsia"/>
                <w:sz w:val="21"/>
                <w:szCs w:val="21"/>
              </w:rPr>
              <w:t xml:space="preserve"> </w:t>
            </w:r>
            <w:r>
              <w:rPr>
                <w:rFonts w:ascii="Cambria" w:eastAsia="宋体" w:hAnsi="Cambria" w:hint="eastAsia"/>
                <w:sz w:val="21"/>
                <w:szCs w:val="21"/>
              </w:rPr>
              <w:t>地下水环境》（</w:t>
            </w:r>
            <w:r>
              <w:rPr>
                <w:rFonts w:ascii="Cambria" w:eastAsia="宋体" w:hAnsi="Cambria" w:hint="eastAsia"/>
                <w:sz w:val="21"/>
                <w:szCs w:val="21"/>
              </w:rPr>
              <w:t>HJ610-2016</w:t>
            </w:r>
            <w:r>
              <w:rPr>
                <w:rFonts w:ascii="Cambria" w:eastAsia="宋体" w:hAnsi="Cambria" w:hint="eastAsia"/>
                <w:sz w:val="21"/>
                <w:szCs w:val="21"/>
              </w:rPr>
              <w:t>）要求，根据防渗参照的标准和规范。重点防渗区防渗技术要求：等效黏土防渗层</w:t>
            </w:r>
            <w:r>
              <w:rPr>
                <w:rFonts w:ascii="Cambria" w:eastAsia="宋体" w:hAnsi="Cambria" w:hint="eastAsia"/>
                <w:sz w:val="21"/>
                <w:szCs w:val="21"/>
              </w:rPr>
              <w:t xml:space="preserve"> Mb</w:t>
            </w:r>
            <w:r>
              <w:rPr>
                <w:rFonts w:ascii="Cambria" w:eastAsia="宋体" w:hAnsi="Cambria" w:hint="eastAsia"/>
                <w:sz w:val="21"/>
                <w:szCs w:val="21"/>
              </w:rPr>
              <w:t>≥</w:t>
            </w:r>
            <w:r>
              <w:rPr>
                <w:rFonts w:ascii="Cambria" w:eastAsia="宋体" w:hAnsi="Cambria" w:hint="eastAsia"/>
                <w:sz w:val="21"/>
                <w:szCs w:val="21"/>
              </w:rPr>
              <w:t>6.0m</w:t>
            </w:r>
            <w:r>
              <w:rPr>
                <w:rFonts w:ascii="Cambria" w:eastAsia="宋体" w:hAnsi="Cambria" w:hint="eastAsia"/>
                <w:sz w:val="21"/>
                <w:szCs w:val="21"/>
              </w:rPr>
              <w:t>，</w:t>
            </w:r>
            <w:r>
              <w:rPr>
                <w:rFonts w:ascii="Cambria" w:eastAsia="宋体" w:hAnsi="Cambria" w:hint="eastAsia"/>
                <w:sz w:val="21"/>
                <w:szCs w:val="21"/>
              </w:rPr>
              <w:t>K</w:t>
            </w:r>
            <w:r>
              <w:rPr>
                <w:rFonts w:ascii="Cambria" w:eastAsia="宋体" w:hAnsi="Cambria" w:hint="eastAsia"/>
                <w:sz w:val="21"/>
                <w:szCs w:val="21"/>
              </w:rPr>
              <w:t>≤</w:t>
            </w:r>
            <w:r>
              <w:rPr>
                <w:rFonts w:ascii="Cambria" w:eastAsia="宋体" w:hAnsi="Cambria" w:hint="eastAsia"/>
                <w:sz w:val="21"/>
                <w:szCs w:val="21"/>
              </w:rPr>
              <w:t>1</w:t>
            </w:r>
            <w:r>
              <w:rPr>
                <w:rFonts w:ascii="Cambria" w:eastAsia="宋体" w:hAnsi="Cambria" w:hint="eastAsia"/>
                <w:sz w:val="21"/>
                <w:szCs w:val="21"/>
              </w:rPr>
              <w:t>×</w:t>
            </w:r>
            <w:r>
              <w:rPr>
                <w:rFonts w:ascii="Cambria" w:eastAsia="宋体" w:hAnsi="Cambria" w:hint="eastAsia"/>
                <w:sz w:val="21"/>
                <w:szCs w:val="21"/>
              </w:rPr>
              <w:t>10-7cm/s</w:t>
            </w:r>
            <w:r>
              <w:rPr>
                <w:rFonts w:ascii="Cambria" w:eastAsia="宋体" w:hAnsi="Cambria" w:hint="eastAsia"/>
                <w:sz w:val="21"/>
                <w:szCs w:val="21"/>
              </w:rPr>
              <w:t>，或参照</w:t>
            </w:r>
            <w:r>
              <w:rPr>
                <w:rFonts w:ascii="Cambria" w:eastAsia="宋体" w:hAnsi="Cambria" w:hint="eastAsia"/>
                <w:sz w:val="21"/>
                <w:szCs w:val="21"/>
              </w:rPr>
              <w:t xml:space="preserve"> GB18598 </w:t>
            </w:r>
            <w:r>
              <w:rPr>
                <w:rFonts w:ascii="Cambria" w:eastAsia="宋体" w:hAnsi="Cambria" w:hint="eastAsia"/>
                <w:sz w:val="21"/>
                <w:szCs w:val="21"/>
              </w:rPr>
              <w:t>执行。一般防渗区防渗技术要求：等效黏土防渗层</w:t>
            </w:r>
            <w:r>
              <w:rPr>
                <w:rFonts w:ascii="Cambria" w:eastAsia="宋体" w:hAnsi="Cambria" w:hint="eastAsia"/>
                <w:sz w:val="21"/>
                <w:szCs w:val="21"/>
              </w:rPr>
              <w:t>Mb</w:t>
            </w:r>
            <w:r>
              <w:rPr>
                <w:rFonts w:ascii="Cambria" w:eastAsia="宋体" w:hAnsi="Cambria" w:hint="eastAsia"/>
                <w:sz w:val="21"/>
                <w:szCs w:val="21"/>
              </w:rPr>
              <w:t>≥</w:t>
            </w:r>
            <w:r>
              <w:rPr>
                <w:rFonts w:ascii="Cambria" w:eastAsia="宋体" w:hAnsi="Cambria" w:hint="eastAsia"/>
                <w:sz w:val="21"/>
                <w:szCs w:val="21"/>
              </w:rPr>
              <w:t>1.5m</w:t>
            </w:r>
            <w:r>
              <w:rPr>
                <w:rFonts w:ascii="Cambria" w:eastAsia="宋体" w:hAnsi="Cambria" w:hint="eastAsia"/>
                <w:sz w:val="21"/>
                <w:szCs w:val="21"/>
              </w:rPr>
              <w:t>，</w:t>
            </w:r>
            <w:r>
              <w:rPr>
                <w:rFonts w:ascii="Cambria" w:eastAsia="宋体" w:hAnsi="Cambria" w:hint="eastAsia"/>
                <w:sz w:val="21"/>
                <w:szCs w:val="21"/>
              </w:rPr>
              <w:t>K</w:t>
            </w:r>
            <w:r>
              <w:rPr>
                <w:rFonts w:ascii="Cambria" w:eastAsia="宋体" w:hAnsi="Cambria" w:hint="eastAsia"/>
                <w:sz w:val="21"/>
                <w:szCs w:val="21"/>
              </w:rPr>
              <w:t>≤</w:t>
            </w:r>
            <w:r>
              <w:rPr>
                <w:rFonts w:ascii="Cambria" w:eastAsia="宋体" w:hAnsi="Cambria" w:hint="eastAsia"/>
                <w:sz w:val="21"/>
                <w:szCs w:val="21"/>
              </w:rPr>
              <w:t>1</w:t>
            </w:r>
            <w:r>
              <w:rPr>
                <w:rFonts w:ascii="Cambria" w:eastAsia="宋体" w:hAnsi="Cambria" w:hint="eastAsia"/>
                <w:sz w:val="21"/>
                <w:szCs w:val="21"/>
              </w:rPr>
              <w:t>×</w:t>
            </w:r>
            <w:r>
              <w:rPr>
                <w:rFonts w:ascii="Cambria" w:eastAsia="宋体" w:hAnsi="Cambria" w:hint="eastAsia"/>
                <w:sz w:val="21"/>
                <w:szCs w:val="21"/>
              </w:rPr>
              <w:t>10-7cm/s</w:t>
            </w:r>
            <w:r>
              <w:rPr>
                <w:rFonts w:ascii="Cambria" w:eastAsia="宋体" w:hAnsi="Cambria" w:hint="eastAsia"/>
                <w:sz w:val="21"/>
                <w:szCs w:val="21"/>
              </w:rPr>
              <w:t>，或参照</w:t>
            </w:r>
            <w:r>
              <w:rPr>
                <w:rFonts w:ascii="Cambria" w:eastAsia="宋体" w:hAnsi="Cambria" w:hint="eastAsia"/>
                <w:sz w:val="21"/>
                <w:szCs w:val="21"/>
              </w:rPr>
              <w:t>GB16889</w:t>
            </w:r>
            <w:r>
              <w:rPr>
                <w:rFonts w:ascii="Cambria" w:eastAsia="宋体" w:hAnsi="Cambria" w:hint="eastAsia"/>
                <w:sz w:val="21"/>
                <w:szCs w:val="21"/>
              </w:rPr>
              <w:t>执行。</w:t>
            </w:r>
          </w:p>
        </w:tc>
      </w:tr>
      <w:tr w:rsidR="004A6364">
        <w:tc>
          <w:tcPr>
            <w:tcW w:w="908" w:type="dxa"/>
            <w:vAlign w:val="center"/>
          </w:tcPr>
          <w:p w:rsidR="004A6364" w:rsidRDefault="002601B4">
            <w:pPr>
              <w:pStyle w:val="a4"/>
              <w:rPr>
                <w:rFonts w:eastAsia="宋体"/>
                <w:sz w:val="21"/>
                <w:szCs w:val="21"/>
              </w:rPr>
            </w:pPr>
            <w:r>
              <w:rPr>
                <w:rFonts w:eastAsia="宋体" w:hint="eastAsia"/>
                <w:sz w:val="21"/>
                <w:szCs w:val="21"/>
              </w:rPr>
              <w:t>11</w:t>
            </w:r>
          </w:p>
        </w:tc>
        <w:tc>
          <w:tcPr>
            <w:tcW w:w="3346" w:type="dxa"/>
            <w:vMerge w:val="restart"/>
            <w:vAlign w:val="center"/>
          </w:tcPr>
          <w:p w:rsidR="004A6364" w:rsidRDefault="002601B4" w:rsidP="00D61DF8">
            <w:pPr>
              <w:spacing w:beforeLines="50" w:line="360" w:lineRule="auto"/>
              <w:ind w:rightChars="95" w:right="304"/>
              <w:outlineLvl w:val="2"/>
              <w:rPr>
                <w:rFonts w:ascii="宋体" w:eastAsia="宋体" w:hAnsi="宋体" w:cs="宋体"/>
                <w:b/>
                <w:bCs/>
                <w:sz w:val="24"/>
              </w:rPr>
            </w:pPr>
            <w:r>
              <w:rPr>
                <w:rFonts w:ascii="宋体" w:eastAsia="宋体" w:hAnsi="宋体" w:cs="宋体" w:hint="eastAsia"/>
                <w:b/>
                <w:bCs/>
                <w:sz w:val="24"/>
              </w:rPr>
              <w:t>厂区危险废物临时贮存、焚</w:t>
            </w:r>
            <w:r>
              <w:rPr>
                <w:rFonts w:ascii="宋体" w:eastAsia="宋体" w:hAnsi="宋体" w:cs="宋体" w:hint="eastAsia"/>
                <w:b/>
                <w:bCs/>
                <w:sz w:val="24"/>
              </w:rPr>
              <w:lastRenderedPageBreak/>
              <w:t>烧和转移控制措施</w:t>
            </w:r>
          </w:p>
        </w:tc>
        <w:tc>
          <w:tcPr>
            <w:tcW w:w="2128" w:type="dxa"/>
            <w:vAlign w:val="center"/>
          </w:tcPr>
          <w:p w:rsidR="004A6364" w:rsidRDefault="002601B4">
            <w:pPr>
              <w:pStyle w:val="a9"/>
              <w:tabs>
                <w:tab w:val="left" w:pos="1399"/>
              </w:tabs>
              <w:spacing w:before="134"/>
              <w:ind w:rightChars="95" w:right="304" w:firstLineChars="0" w:firstLine="0"/>
              <w:jc w:val="left"/>
              <w:rPr>
                <w:rFonts w:ascii="Cambria" w:eastAsia="宋体" w:hAnsi="Cambria"/>
                <w:sz w:val="21"/>
                <w:szCs w:val="21"/>
              </w:rPr>
            </w:pPr>
            <w:r>
              <w:rPr>
                <w:rFonts w:ascii="Cambria" w:eastAsia="宋体" w:hAnsi="Cambria" w:hint="eastAsia"/>
                <w:sz w:val="21"/>
                <w:szCs w:val="21"/>
              </w:rPr>
              <w:lastRenderedPageBreak/>
              <w:t>危险废物临时贮存措施</w:t>
            </w:r>
          </w:p>
          <w:p w:rsidR="004A6364" w:rsidRDefault="004A6364">
            <w:pPr>
              <w:pStyle w:val="a4"/>
              <w:jc w:val="center"/>
              <w:rPr>
                <w:rFonts w:eastAsia="宋体"/>
                <w:sz w:val="21"/>
                <w:szCs w:val="21"/>
              </w:rPr>
            </w:pPr>
          </w:p>
        </w:tc>
        <w:tc>
          <w:tcPr>
            <w:tcW w:w="8121" w:type="dxa"/>
            <w:vAlign w:val="center"/>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厂区目前已建成</w:t>
            </w:r>
            <w:r>
              <w:rPr>
                <w:rFonts w:ascii="Cambria" w:eastAsia="宋体" w:hAnsi="Cambria" w:hint="eastAsia"/>
                <w:sz w:val="21"/>
                <w:szCs w:val="21"/>
              </w:rPr>
              <w:t>1</w:t>
            </w:r>
            <w:r>
              <w:rPr>
                <w:rFonts w:ascii="Cambria" w:eastAsia="宋体" w:hAnsi="Cambria" w:hint="eastAsia"/>
                <w:sz w:val="21"/>
                <w:szCs w:val="21"/>
              </w:rPr>
              <w:t>座危险废物临时贮存场，暂存场面积约为</w:t>
            </w:r>
            <w:r>
              <w:rPr>
                <w:rFonts w:ascii="Cambria" w:eastAsia="宋体" w:hAnsi="Cambria" w:hint="eastAsia"/>
                <w:sz w:val="21"/>
                <w:szCs w:val="21"/>
              </w:rPr>
              <w:t>2m2</w:t>
            </w:r>
            <w:r>
              <w:rPr>
                <w:rFonts w:ascii="Cambria" w:eastAsia="宋体" w:hAnsi="Cambria" w:hint="eastAsia"/>
                <w:sz w:val="21"/>
                <w:szCs w:val="21"/>
              </w:rPr>
              <w:t>；已建成残液储槽</w:t>
            </w:r>
            <w:r>
              <w:rPr>
                <w:rFonts w:ascii="Cambria" w:eastAsia="宋体" w:hAnsi="Cambria" w:hint="eastAsia"/>
                <w:sz w:val="21"/>
                <w:szCs w:val="21"/>
              </w:rPr>
              <w:t>2</w:t>
            </w:r>
            <w:r>
              <w:rPr>
                <w:rFonts w:ascii="Cambria" w:eastAsia="宋体" w:hAnsi="Cambria" w:hint="eastAsia"/>
                <w:sz w:val="21"/>
                <w:szCs w:val="21"/>
              </w:rPr>
              <w:t>座，有效容积</w:t>
            </w:r>
            <w:r>
              <w:rPr>
                <w:rFonts w:ascii="Cambria" w:eastAsia="宋体" w:hAnsi="Cambria" w:hint="eastAsia"/>
                <w:sz w:val="21"/>
                <w:szCs w:val="21"/>
              </w:rPr>
              <w:t>2.3m3</w:t>
            </w:r>
            <w:r>
              <w:rPr>
                <w:rFonts w:ascii="Cambria" w:eastAsia="宋体" w:hAnsi="Cambria" w:hint="eastAsia"/>
                <w:sz w:val="21"/>
                <w:szCs w:val="21"/>
              </w:rPr>
              <w:t>。本次技改</w:t>
            </w:r>
            <w:proofErr w:type="gramStart"/>
            <w:r>
              <w:rPr>
                <w:rFonts w:ascii="Cambria" w:eastAsia="宋体" w:hAnsi="Cambria" w:hint="eastAsia"/>
                <w:sz w:val="21"/>
                <w:szCs w:val="21"/>
              </w:rPr>
              <w:t>不</w:t>
            </w:r>
            <w:proofErr w:type="gramEnd"/>
            <w:r>
              <w:rPr>
                <w:rFonts w:ascii="Cambria" w:eastAsia="宋体" w:hAnsi="Cambria" w:hint="eastAsia"/>
                <w:sz w:val="21"/>
                <w:szCs w:val="21"/>
              </w:rPr>
              <w:t>新增危险废物临时贮存设施。</w:t>
            </w:r>
          </w:p>
        </w:tc>
      </w:tr>
      <w:tr w:rsidR="004A6364">
        <w:trPr>
          <w:trHeight w:val="2024"/>
        </w:trPr>
        <w:tc>
          <w:tcPr>
            <w:tcW w:w="908" w:type="dxa"/>
            <w:vMerge w:val="restart"/>
            <w:vAlign w:val="center"/>
          </w:tcPr>
          <w:p w:rsidR="004A6364" w:rsidRDefault="004A6364">
            <w:pPr>
              <w:pStyle w:val="a4"/>
              <w:jc w:val="center"/>
              <w:rPr>
                <w:rFonts w:eastAsia="宋体"/>
                <w:sz w:val="21"/>
                <w:szCs w:val="21"/>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vAlign w:val="center"/>
          </w:tcPr>
          <w:p w:rsidR="004A6364" w:rsidRDefault="002601B4">
            <w:pPr>
              <w:pStyle w:val="a9"/>
              <w:tabs>
                <w:tab w:val="left" w:pos="1399"/>
              </w:tabs>
              <w:spacing w:before="134"/>
              <w:ind w:rightChars="95" w:right="304" w:firstLineChars="0" w:firstLine="0"/>
              <w:jc w:val="left"/>
              <w:rPr>
                <w:rFonts w:ascii="Cambria" w:eastAsia="宋体" w:hAnsi="Cambria"/>
                <w:sz w:val="21"/>
                <w:szCs w:val="21"/>
              </w:rPr>
            </w:pPr>
            <w:r>
              <w:rPr>
                <w:rFonts w:ascii="Cambria" w:eastAsia="宋体" w:hAnsi="Cambria" w:hint="eastAsia"/>
                <w:sz w:val="21"/>
                <w:szCs w:val="21"/>
              </w:rPr>
              <w:t>转移控制措施</w:t>
            </w:r>
          </w:p>
          <w:p w:rsidR="004A6364" w:rsidRDefault="004A6364">
            <w:pPr>
              <w:pStyle w:val="a4"/>
              <w:jc w:val="center"/>
              <w:rPr>
                <w:rFonts w:eastAsia="宋体"/>
                <w:sz w:val="21"/>
                <w:szCs w:val="21"/>
              </w:rPr>
            </w:pPr>
          </w:p>
        </w:tc>
        <w:tc>
          <w:tcPr>
            <w:tcW w:w="8121" w:type="dxa"/>
            <w:vAlign w:val="center"/>
          </w:tcPr>
          <w:p w:rsidR="004A6364" w:rsidRDefault="002601B4" w:rsidP="00D61DF8">
            <w:pPr>
              <w:pStyle w:val="Style1"/>
              <w:ind w:rightChars="95" w:right="304"/>
              <w:rPr>
                <w:rFonts w:ascii="Cambria" w:eastAsia="宋体" w:hAnsi="Cambria"/>
                <w:sz w:val="21"/>
                <w:szCs w:val="21"/>
              </w:rPr>
            </w:pPr>
            <w:r>
              <w:rPr>
                <w:rFonts w:ascii="Cambria" w:eastAsia="宋体" w:hAnsi="Cambria" w:hint="eastAsia"/>
                <w:sz w:val="21"/>
                <w:szCs w:val="21"/>
              </w:rPr>
              <w:t>按国家有关规定办理危险废物申报转移的“五联单”手续。在交有资质单位处理时，应严格按照《危险废物转移联单管理办法》填写危险废物转移联单，并由双方单位保留备查。所有废物收集和封装容器应得到接收企业及当地环保部门的认可。</w:t>
            </w:r>
            <w:r>
              <w:rPr>
                <w:rFonts w:ascii="Cambria" w:eastAsia="宋体" w:hAnsi="Cambria" w:hint="eastAsia"/>
                <w:sz w:val="21"/>
                <w:szCs w:val="21"/>
              </w:rPr>
              <w:t xml:space="preserve"> </w:t>
            </w:r>
            <w:r>
              <w:rPr>
                <w:rFonts w:ascii="Cambria" w:eastAsia="宋体" w:hAnsi="Cambria" w:hint="eastAsia"/>
                <w:sz w:val="21"/>
                <w:szCs w:val="21"/>
              </w:rPr>
              <w:t>应指定专人负责固废和残液的收集、贮运管理工作，运输车辆的司机和押运人员应经专业培训。</w:t>
            </w:r>
            <w:r>
              <w:rPr>
                <w:rFonts w:ascii="Cambria" w:eastAsia="宋体" w:hAnsi="Cambria" w:hint="eastAsia"/>
                <w:sz w:val="21"/>
                <w:szCs w:val="21"/>
              </w:rPr>
              <w:t xml:space="preserve"> </w:t>
            </w:r>
            <w:r>
              <w:rPr>
                <w:rFonts w:ascii="Cambria" w:eastAsia="宋体" w:hAnsi="Cambria" w:hint="eastAsia"/>
                <w:sz w:val="21"/>
                <w:szCs w:val="21"/>
              </w:rPr>
              <w:t>收运车应采用密闭运输方式，防止外泄。</w:t>
            </w:r>
          </w:p>
        </w:tc>
      </w:tr>
      <w:tr w:rsidR="004A6364">
        <w:trPr>
          <w:trHeight w:val="2234"/>
        </w:trPr>
        <w:tc>
          <w:tcPr>
            <w:tcW w:w="908" w:type="dxa"/>
            <w:vMerge/>
            <w:vAlign w:val="center"/>
          </w:tcPr>
          <w:p w:rsidR="004A6364" w:rsidRDefault="004A6364">
            <w:pPr>
              <w:pStyle w:val="a4"/>
              <w:jc w:val="center"/>
              <w:rPr>
                <w:rFonts w:eastAsia="宋体"/>
                <w:sz w:val="21"/>
                <w:szCs w:val="21"/>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vMerge w:val="restart"/>
            <w:vAlign w:val="center"/>
          </w:tcPr>
          <w:p w:rsidR="004A6364" w:rsidRDefault="002601B4">
            <w:pPr>
              <w:pStyle w:val="a4"/>
              <w:jc w:val="center"/>
              <w:rPr>
                <w:rFonts w:eastAsia="宋体"/>
                <w:sz w:val="21"/>
                <w:szCs w:val="21"/>
              </w:rPr>
            </w:pPr>
            <w:r>
              <w:rPr>
                <w:rFonts w:eastAsia="宋体" w:hint="eastAsia"/>
                <w:sz w:val="21"/>
                <w:szCs w:val="21"/>
              </w:rPr>
              <w:t>非正常排放污染防范措施</w:t>
            </w:r>
          </w:p>
        </w:tc>
        <w:tc>
          <w:tcPr>
            <w:tcW w:w="8121" w:type="dxa"/>
            <w:vAlign w:val="center"/>
          </w:tcPr>
          <w:p w:rsidR="004A6364" w:rsidRDefault="002601B4">
            <w:pPr>
              <w:ind w:left="35" w:rightChars="95" w:right="304"/>
              <w:rPr>
                <w:rFonts w:ascii="Cambria" w:eastAsia="宋体" w:hAnsi="Cambria"/>
                <w:sz w:val="21"/>
                <w:szCs w:val="21"/>
              </w:rPr>
            </w:pPr>
            <w:r>
              <w:rPr>
                <w:rFonts w:ascii="Cambria" w:eastAsia="宋体" w:hAnsi="Cambria" w:hint="eastAsia"/>
                <w:sz w:val="21"/>
                <w:szCs w:val="21"/>
              </w:rPr>
              <w:t>1</w:t>
            </w:r>
            <w:r>
              <w:rPr>
                <w:rFonts w:ascii="Cambria" w:eastAsia="宋体" w:hAnsi="Cambria" w:hint="eastAsia"/>
                <w:sz w:val="21"/>
                <w:szCs w:val="21"/>
              </w:rPr>
              <w:t>、残余废液及检修废水处理；开停车和设备检修期间各工艺装置塔、</w:t>
            </w:r>
            <w:proofErr w:type="gramStart"/>
            <w:r>
              <w:rPr>
                <w:rFonts w:ascii="Cambria" w:eastAsia="宋体" w:hAnsi="Cambria" w:hint="eastAsia"/>
                <w:sz w:val="21"/>
                <w:szCs w:val="21"/>
              </w:rPr>
              <w:t>釜</w:t>
            </w:r>
            <w:proofErr w:type="gramEnd"/>
            <w:r>
              <w:rPr>
                <w:rFonts w:ascii="Cambria" w:eastAsia="宋体" w:hAnsi="Cambria" w:hint="eastAsia"/>
                <w:sz w:val="21"/>
                <w:szCs w:val="21"/>
              </w:rPr>
              <w:t>和管道等处残余废液进行回收利用，</w:t>
            </w:r>
            <w:r>
              <w:rPr>
                <w:rFonts w:ascii="Cambria" w:eastAsia="宋体" w:hAnsi="Cambria" w:hint="eastAsia"/>
                <w:sz w:val="21"/>
                <w:szCs w:val="21"/>
              </w:rPr>
              <w:t xml:space="preserve"> </w:t>
            </w:r>
            <w:r>
              <w:rPr>
                <w:rFonts w:ascii="Cambria" w:eastAsia="宋体" w:hAnsi="Cambria" w:hint="eastAsia"/>
                <w:sz w:val="21"/>
                <w:szCs w:val="21"/>
              </w:rPr>
              <w:t>既可避免环境污染又可以回收物料。生产装置停车检修时，需对系统进行排洗，可将系统中的不合格物料排至各自贮槽收集，待开车时返回系统回收使用，不外排；对低浓度洗水送往事故应急池中储存，再分批送厂区污水处理站处理。</w:t>
            </w:r>
          </w:p>
        </w:tc>
      </w:tr>
      <w:tr w:rsidR="004A6364">
        <w:tc>
          <w:tcPr>
            <w:tcW w:w="908" w:type="dxa"/>
            <w:vMerge/>
            <w:vAlign w:val="center"/>
          </w:tcPr>
          <w:p w:rsidR="004A6364" w:rsidRDefault="004A6364">
            <w:pPr>
              <w:pStyle w:val="a4"/>
              <w:jc w:val="center"/>
              <w:rPr>
                <w:rFonts w:eastAsia="宋体"/>
                <w:sz w:val="21"/>
                <w:szCs w:val="21"/>
              </w:rPr>
            </w:pPr>
          </w:p>
        </w:tc>
        <w:tc>
          <w:tcPr>
            <w:tcW w:w="3346" w:type="dxa"/>
            <w:vMerge/>
            <w:vAlign w:val="center"/>
          </w:tcPr>
          <w:p w:rsidR="004A6364" w:rsidRDefault="004A6364">
            <w:pPr>
              <w:pStyle w:val="a4"/>
              <w:jc w:val="center"/>
              <w:rPr>
                <w:rFonts w:ascii="宋体" w:eastAsia="宋体" w:hAnsi="宋体" w:cs="宋体"/>
                <w:b/>
                <w:bCs/>
                <w:sz w:val="24"/>
                <w:szCs w:val="24"/>
              </w:rPr>
            </w:pPr>
          </w:p>
        </w:tc>
        <w:tc>
          <w:tcPr>
            <w:tcW w:w="2128" w:type="dxa"/>
            <w:vMerge/>
            <w:vAlign w:val="center"/>
          </w:tcPr>
          <w:p w:rsidR="004A6364" w:rsidRDefault="004A6364">
            <w:pPr>
              <w:pStyle w:val="a4"/>
              <w:jc w:val="center"/>
              <w:rPr>
                <w:rFonts w:eastAsia="宋体"/>
                <w:sz w:val="21"/>
                <w:szCs w:val="21"/>
              </w:rPr>
            </w:pPr>
          </w:p>
        </w:tc>
        <w:tc>
          <w:tcPr>
            <w:tcW w:w="8121" w:type="dxa"/>
            <w:vAlign w:val="center"/>
          </w:tcPr>
          <w:p w:rsidR="004A6364" w:rsidRDefault="002601B4">
            <w:pPr>
              <w:ind w:rightChars="95" w:right="304"/>
              <w:rPr>
                <w:rFonts w:ascii="Cambria" w:eastAsia="宋体" w:hAnsi="Cambria"/>
                <w:sz w:val="21"/>
                <w:szCs w:val="21"/>
              </w:rPr>
            </w:pPr>
            <w:r>
              <w:rPr>
                <w:rFonts w:ascii="Cambria" w:eastAsia="宋体" w:hAnsi="Cambria" w:hint="eastAsia"/>
                <w:sz w:val="21"/>
                <w:szCs w:val="21"/>
              </w:rPr>
              <w:t>2</w:t>
            </w:r>
            <w:r>
              <w:rPr>
                <w:rFonts w:ascii="Cambria" w:eastAsia="宋体" w:hAnsi="Cambria" w:hint="eastAsia"/>
                <w:sz w:val="21"/>
                <w:szCs w:val="21"/>
              </w:rPr>
              <w:t>、检修和开停工固废收集；停车大修时产生的固体废物，送焚烧装置处理，不得随意排放。</w:t>
            </w:r>
          </w:p>
        </w:tc>
      </w:tr>
      <w:tr w:rsidR="004A6364">
        <w:tc>
          <w:tcPr>
            <w:tcW w:w="908" w:type="dxa"/>
            <w:vAlign w:val="center"/>
          </w:tcPr>
          <w:p w:rsidR="004A6364" w:rsidRDefault="002601B4">
            <w:pPr>
              <w:pStyle w:val="a4"/>
              <w:jc w:val="center"/>
              <w:rPr>
                <w:rFonts w:eastAsia="宋体"/>
                <w:sz w:val="21"/>
                <w:szCs w:val="21"/>
              </w:rPr>
            </w:pPr>
            <w:r>
              <w:rPr>
                <w:rFonts w:eastAsia="宋体" w:hint="eastAsia"/>
                <w:sz w:val="21"/>
                <w:szCs w:val="21"/>
              </w:rPr>
              <w:t>12</w:t>
            </w:r>
          </w:p>
        </w:tc>
        <w:tc>
          <w:tcPr>
            <w:tcW w:w="3346" w:type="dxa"/>
            <w:vAlign w:val="center"/>
          </w:tcPr>
          <w:p w:rsidR="004A6364" w:rsidRDefault="002601B4">
            <w:pPr>
              <w:pStyle w:val="a4"/>
              <w:jc w:val="center"/>
              <w:rPr>
                <w:rFonts w:ascii="宋体" w:eastAsia="宋体" w:hAnsi="宋体" w:cs="宋体"/>
                <w:b/>
                <w:bCs/>
                <w:sz w:val="24"/>
                <w:szCs w:val="24"/>
              </w:rPr>
            </w:pPr>
            <w:r>
              <w:rPr>
                <w:rFonts w:ascii="宋体" w:eastAsia="宋体" w:hAnsi="宋体" w:cs="宋体" w:hint="eastAsia"/>
                <w:b/>
                <w:bCs/>
                <w:sz w:val="24"/>
                <w:szCs w:val="24"/>
              </w:rPr>
              <w:t>毒性气体泄漏紧急处置装置及监控预警措施</w:t>
            </w:r>
          </w:p>
        </w:tc>
        <w:tc>
          <w:tcPr>
            <w:tcW w:w="10249" w:type="dxa"/>
            <w:gridSpan w:val="2"/>
            <w:vAlign w:val="center"/>
          </w:tcPr>
          <w:p w:rsidR="004A6364" w:rsidRDefault="002601B4" w:rsidP="00D61DF8">
            <w:pPr>
              <w:ind w:leftChars="-67" w:left="-214" w:rightChars="95" w:right="304" w:firstLineChars="177" w:firstLine="425"/>
              <w:jc w:val="center"/>
              <w:rPr>
                <w:rFonts w:ascii="Cambria" w:eastAsia="宋体" w:hAnsi="Cambria"/>
                <w:sz w:val="21"/>
                <w:szCs w:val="21"/>
              </w:rPr>
            </w:pPr>
            <w:r>
              <w:rPr>
                <w:rFonts w:ascii="宋体" w:eastAsia="宋体" w:hAnsi="宋体" w:cs="宋体" w:hint="eastAsia"/>
                <w:sz w:val="24"/>
              </w:rPr>
              <w:t>装置区、罐区共设可燃气体探测报警装置（甲烷、四氟气体）</w:t>
            </w:r>
            <w:r>
              <w:rPr>
                <w:rFonts w:ascii="宋体" w:eastAsia="宋体" w:hAnsi="宋体" w:cs="宋体" w:hint="eastAsia"/>
                <w:sz w:val="24"/>
              </w:rPr>
              <w:t>23</w:t>
            </w:r>
            <w:r>
              <w:rPr>
                <w:rFonts w:ascii="宋体" w:eastAsia="宋体" w:hAnsi="宋体" w:cs="宋体" w:hint="eastAsia"/>
                <w:sz w:val="24"/>
              </w:rPr>
              <w:t>台、有毒有害气体气体探测报警装置（氟化氢</w:t>
            </w:r>
            <w:r>
              <w:rPr>
                <w:rFonts w:ascii="宋体" w:eastAsia="宋体" w:hAnsi="宋体" w:cs="宋体" w:hint="eastAsia"/>
                <w:sz w:val="24"/>
              </w:rPr>
              <w:t>4</w:t>
            </w:r>
            <w:r>
              <w:rPr>
                <w:rFonts w:ascii="宋体" w:eastAsia="宋体" w:hAnsi="宋体" w:cs="宋体" w:hint="eastAsia"/>
                <w:sz w:val="24"/>
              </w:rPr>
              <w:t>台、三氯甲烷、</w:t>
            </w:r>
            <w:proofErr w:type="gramStart"/>
            <w:r>
              <w:rPr>
                <w:rFonts w:ascii="宋体" w:eastAsia="宋体" w:hAnsi="宋体" w:cs="宋体" w:hint="eastAsia"/>
                <w:sz w:val="24"/>
              </w:rPr>
              <w:t>八氟异丁烯</w:t>
            </w:r>
            <w:proofErr w:type="gramEnd"/>
            <w:r>
              <w:rPr>
                <w:rFonts w:ascii="宋体" w:eastAsia="宋体" w:hAnsi="宋体" w:cs="宋体" w:hint="eastAsia"/>
                <w:sz w:val="24"/>
              </w:rPr>
              <w:t>各</w:t>
            </w:r>
            <w:r>
              <w:rPr>
                <w:rFonts w:ascii="宋体" w:eastAsia="宋体" w:hAnsi="宋体" w:cs="宋体" w:hint="eastAsia"/>
                <w:sz w:val="24"/>
              </w:rPr>
              <w:t>1</w:t>
            </w:r>
            <w:r>
              <w:rPr>
                <w:rFonts w:ascii="宋体" w:eastAsia="宋体" w:hAnsi="宋体" w:cs="宋体" w:hint="eastAsia"/>
                <w:sz w:val="24"/>
              </w:rPr>
              <w:t>台）</w:t>
            </w:r>
            <w:r>
              <w:rPr>
                <w:rFonts w:ascii="宋体" w:eastAsia="宋体" w:hAnsi="宋体" w:cs="宋体" w:hint="eastAsia"/>
                <w:sz w:val="24"/>
              </w:rPr>
              <w:t>6</w:t>
            </w:r>
            <w:r>
              <w:rPr>
                <w:rFonts w:ascii="宋体" w:eastAsia="宋体" w:hAnsi="宋体" w:cs="宋体" w:hint="eastAsia"/>
                <w:sz w:val="24"/>
              </w:rPr>
              <w:t>台。（详见附表</w:t>
            </w:r>
            <w:r>
              <w:rPr>
                <w:rFonts w:ascii="宋体" w:eastAsia="宋体" w:hAnsi="宋体" w:cs="宋体" w:hint="eastAsia"/>
                <w:sz w:val="24"/>
              </w:rPr>
              <w:t>2</w:t>
            </w:r>
            <w:r>
              <w:rPr>
                <w:rFonts w:ascii="宋体" w:eastAsia="宋体" w:hAnsi="宋体" w:cs="宋体" w:hint="eastAsia"/>
                <w:sz w:val="24"/>
              </w:rPr>
              <w:t>）</w:t>
            </w:r>
          </w:p>
        </w:tc>
      </w:tr>
    </w:tbl>
    <w:p w:rsidR="004A6364" w:rsidRDefault="004A6364">
      <w:pPr>
        <w:pStyle w:val="a4"/>
        <w:rPr>
          <w:rFonts w:eastAsia="宋体"/>
          <w:sz w:val="21"/>
          <w:szCs w:val="21"/>
        </w:rPr>
      </w:pPr>
    </w:p>
    <w:p w:rsidR="004A6364" w:rsidRDefault="004A6364">
      <w:pPr>
        <w:rPr>
          <w:rFonts w:ascii="Cambria" w:eastAsia="宋体" w:hAnsi="Cambria"/>
          <w:sz w:val="21"/>
          <w:szCs w:val="21"/>
        </w:rPr>
      </w:pPr>
    </w:p>
    <w:p w:rsidR="004A6364" w:rsidRDefault="004A6364">
      <w:pPr>
        <w:pStyle w:val="Default"/>
        <w:rPr>
          <w:rFonts w:ascii="Cambria" w:eastAsia="宋体" w:hAnsi="Cambria" w:cs="Times New Roman"/>
          <w:kern w:val="2"/>
          <w:sz w:val="21"/>
          <w:szCs w:val="21"/>
        </w:rPr>
      </w:pPr>
    </w:p>
    <w:p w:rsidR="004A6364" w:rsidRDefault="004A6364">
      <w:pPr>
        <w:pStyle w:val="Default"/>
        <w:rPr>
          <w:rFonts w:ascii="Cambria" w:eastAsia="宋体" w:hAnsi="Cambria" w:cs="Times New Roman"/>
          <w:kern w:val="2"/>
          <w:sz w:val="21"/>
          <w:szCs w:val="21"/>
        </w:rPr>
        <w:sectPr w:rsidR="004A6364">
          <w:headerReference w:type="default" r:id="rId8"/>
          <w:pgSz w:w="16838" w:h="11906" w:orient="landscape"/>
          <w:pgMar w:top="1440" w:right="1080" w:bottom="1440" w:left="1080" w:header="851" w:footer="992" w:gutter="0"/>
          <w:cols w:space="425"/>
          <w:docGrid w:type="lines" w:linePitch="435"/>
        </w:sectPr>
      </w:pPr>
    </w:p>
    <w:p w:rsidR="004A6364" w:rsidRDefault="004A6364">
      <w:pPr>
        <w:pStyle w:val="Default"/>
        <w:rPr>
          <w:rFonts w:ascii="Cambria" w:eastAsia="宋体" w:hAnsi="Cambria" w:cs="Times New Roman"/>
          <w:kern w:val="2"/>
          <w:sz w:val="21"/>
          <w:szCs w:val="21"/>
        </w:rPr>
      </w:pPr>
    </w:p>
    <w:p w:rsidR="004A6364" w:rsidRDefault="002601B4">
      <w:pPr>
        <w:pStyle w:val="Default"/>
        <w:rPr>
          <w:rFonts w:ascii="方正小标宋_GBK" w:eastAsia="方正小标宋_GBK" w:hAnsi="方正小标宋_GBK" w:cs="方正小标宋_GBK"/>
          <w:kern w:val="2"/>
          <w:sz w:val="30"/>
          <w:szCs w:val="30"/>
        </w:rPr>
      </w:pPr>
      <w:r>
        <w:rPr>
          <w:rFonts w:ascii="方正小标宋_GBK" w:eastAsia="方正小标宋_GBK" w:hAnsi="方正小标宋_GBK" w:cs="方正小标宋_GBK" w:hint="eastAsia"/>
          <w:kern w:val="2"/>
          <w:sz w:val="30"/>
          <w:szCs w:val="30"/>
        </w:rPr>
        <w:t>附件</w:t>
      </w:r>
      <w:r>
        <w:rPr>
          <w:rFonts w:ascii="方正小标宋_GBK" w:eastAsia="方正小标宋_GBK" w:hAnsi="方正小标宋_GBK" w:cs="方正小标宋_GBK" w:hint="eastAsia"/>
          <w:kern w:val="2"/>
          <w:sz w:val="30"/>
          <w:szCs w:val="30"/>
        </w:rPr>
        <w:t>1</w:t>
      </w:r>
    </w:p>
    <w:p w:rsidR="004A6364" w:rsidRDefault="002601B4" w:rsidP="00D61DF8">
      <w:pPr>
        <w:tabs>
          <w:tab w:val="left" w:pos="2625"/>
        </w:tabs>
        <w:kinsoku w:val="0"/>
        <w:overflowPunct w:val="0"/>
        <w:adjustRightInd w:val="0"/>
        <w:snapToGrid w:val="0"/>
        <w:spacing w:beforeLines="50" w:line="240" w:lineRule="atLeast"/>
        <w:ind w:leftChars="-67" w:left="-214" w:rightChars="95" w:right="304" w:firstLineChars="177" w:firstLine="426"/>
        <w:jc w:val="center"/>
        <w:rPr>
          <w:rFonts w:ascii="宋体" w:eastAsia="宋体" w:hAnsi="宋体" w:cs="宋体"/>
          <w:b/>
          <w:bCs/>
          <w:sz w:val="24"/>
        </w:rPr>
      </w:pPr>
      <w:r>
        <w:rPr>
          <w:rFonts w:ascii="宋体" w:eastAsia="宋体" w:hAnsi="宋体" w:cs="宋体" w:hint="eastAsia"/>
          <w:b/>
          <w:bCs/>
          <w:sz w:val="24"/>
        </w:rPr>
        <w:t>储罐区及围堰情况一览表</w:t>
      </w:r>
    </w:p>
    <w:tbl>
      <w:tblPr>
        <w:tblW w:w="9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87"/>
        <w:gridCol w:w="1145"/>
        <w:gridCol w:w="992"/>
        <w:gridCol w:w="814"/>
        <w:gridCol w:w="1508"/>
        <w:gridCol w:w="1530"/>
        <w:gridCol w:w="943"/>
        <w:gridCol w:w="859"/>
        <w:gridCol w:w="785"/>
      </w:tblGrid>
      <w:tr w:rsidR="004A6364">
        <w:trPr>
          <w:trHeight w:val="479"/>
          <w:jc w:val="center"/>
        </w:trPr>
        <w:tc>
          <w:tcPr>
            <w:tcW w:w="487" w:type="dxa"/>
            <w:vAlign w:val="center"/>
          </w:tcPr>
          <w:p w:rsidR="004A6364" w:rsidRDefault="002601B4">
            <w:pPr>
              <w:pStyle w:val="TableParagraph"/>
              <w:spacing w:before="102"/>
              <w:ind w:right="2"/>
              <w:jc w:val="center"/>
              <w:rPr>
                <w:rFonts w:ascii="宋体" w:eastAsia="宋体" w:hAnsi="宋体" w:cs="宋体"/>
                <w:sz w:val="21"/>
                <w:szCs w:val="21"/>
              </w:rPr>
            </w:pPr>
            <w:r>
              <w:rPr>
                <w:rFonts w:ascii="宋体" w:eastAsia="宋体" w:hAnsi="宋体" w:cs="宋体" w:hint="eastAsia"/>
                <w:sz w:val="21"/>
                <w:szCs w:val="21"/>
              </w:rPr>
              <w:t>序号</w:t>
            </w:r>
          </w:p>
        </w:tc>
        <w:tc>
          <w:tcPr>
            <w:tcW w:w="1145" w:type="dxa"/>
            <w:vAlign w:val="center"/>
          </w:tcPr>
          <w:p w:rsidR="004A6364" w:rsidRDefault="002601B4">
            <w:pPr>
              <w:pStyle w:val="TableParagraph"/>
              <w:spacing w:before="102"/>
              <w:ind w:right="17"/>
              <w:jc w:val="center"/>
              <w:rPr>
                <w:rFonts w:ascii="宋体" w:eastAsia="宋体" w:hAnsi="宋体" w:cs="宋体"/>
                <w:sz w:val="21"/>
                <w:szCs w:val="21"/>
              </w:rPr>
            </w:pPr>
            <w:r>
              <w:rPr>
                <w:rFonts w:ascii="宋体" w:eastAsia="宋体" w:hAnsi="宋体" w:cs="宋体" w:hint="eastAsia"/>
                <w:sz w:val="21"/>
                <w:szCs w:val="21"/>
              </w:rPr>
              <w:t>储罐名称</w:t>
            </w:r>
          </w:p>
        </w:tc>
        <w:tc>
          <w:tcPr>
            <w:tcW w:w="992" w:type="dxa"/>
            <w:vAlign w:val="center"/>
          </w:tcPr>
          <w:p w:rsidR="004A6364" w:rsidRDefault="002601B4">
            <w:pPr>
              <w:pStyle w:val="TableParagraph"/>
              <w:spacing w:line="232" w:lineRule="exact"/>
              <w:ind w:right="49"/>
              <w:jc w:val="center"/>
              <w:rPr>
                <w:rFonts w:ascii="宋体" w:eastAsia="宋体" w:hAnsi="宋体" w:cs="宋体"/>
                <w:sz w:val="21"/>
                <w:szCs w:val="21"/>
              </w:rPr>
            </w:pPr>
            <w:r>
              <w:rPr>
                <w:rFonts w:ascii="宋体" w:eastAsia="宋体" w:hAnsi="宋体" w:cs="宋体" w:hint="eastAsia"/>
                <w:sz w:val="21"/>
                <w:szCs w:val="21"/>
              </w:rPr>
              <w:t>储槽体积</w:t>
            </w:r>
          </w:p>
          <w:p w:rsidR="004A6364" w:rsidRDefault="002601B4">
            <w:pPr>
              <w:pStyle w:val="TableParagraph"/>
              <w:spacing w:line="228" w:lineRule="exact"/>
              <w:ind w:left="52" w:right="49"/>
              <w:jc w:val="center"/>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z w:val="21"/>
                <w:szCs w:val="21"/>
              </w:rPr>
              <w:t>m</w:t>
            </w:r>
            <w:r>
              <w:rPr>
                <w:rFonts w:ascii="宋体" w:eastAsia="宋体" w:hAnsi="宋体" w:cs="宋体" w:hint="eastAsia"/>
                <w:position w:val="11"/>
                <w:sz w:val="21"/>
                <w:szCs w:val="21"/>
              </w:rPr>
              <w:t>3</w:t>
            </w:r>
            <w:r>
              <w:rPr>
                <w:rFonts w:ascii="宋体" w:eastAsia="宋体" w:hAnsi="宋体" w:cs="宋体" w:hint="eastAsia"/>
                <w:sz w:val="21"/>
                <w:szCs w:val="21"/>
              </w:rPr>
              <w:t>）</w:t>
            </w:r>
          </w:p>
        </w:tc>
        <w:tc>
          <w:tcPr>
            <w:tcW w:w="814" w:type="dxa"/>
            <w:vAlign w:val="center"/>
          </w:tcPr>
          <w:p w:rsidR="004A6364" w:rsidRDefault="002601B4">
            <w:pPr>
              <w:pStyle w:val="TableParagraph"/>
              <w:spacing w:before="102"/>
              <w:ind w:right="63"/>
              <w:jc w:val="center"/>
              <w:rPr>
                <w:rFonts w:ascii="宋体" w:eastAsia="宋体" w:hAnsi="宋体" w:cs="宋体"/>
                <w:sz w:val="21"/>
                <w:szCs w:val="21"/>
              </w:rPr>
            </w:pPr>
            <w:r>
              <w:rPr>
                <w:rFonts w:ascii="宋体" w:eastAsia="宋体" w:hAnsi="宋体" w:cs="宋体" w:hint="eastAsia"/>
                <w:sz w:val="21"/>
                <w:szCs w:val="21"/>
              </w:rPr>
              <w:t>介质</w:t>
            </w:r>
          </w:p>
        </w:tc>
        <w:tc>
          <w:tcPr>
            <w:tcW w:w="1508" w:type="dxa"/>
            <w:vAlign w:val="center"/>
          </w:tcPr>
          <w:p w:rsidR="004A6364" w:rsidRDefault="002601B4">
            <w:pPr>
              <w:pStyle w:val="TableParagraph"/>
              <w:spacing w:before="102"/>
              <w:ind w:right="98"/>
              <w:jc w:val="center"/>
              <w:rPr>
                <w:rFonts w:ascii="宋体" w:eastAsia="宋体" w:hAnsi="宋体" w:cs="宋体"/>
                <w:sz w:val="21"/>
                <w:szCs w:val="21"/>
              </w:rPr>
            </w:pPr>
            <w:r>
              <w:rPr>
                <w:rFonts w:ascii="宋体" w:eastAsia="宋体" w:hAnsi="宋体" w:cs="宋体" w:hint="eastAsia"/>
                <w:sz w:val="21"/>
                <w:szCs w:val="21"/>
              </w:rPr>
              <w:t>储罐形式</w:t>
            </w:r>
          </w:p>
        </w:tc>
        <w:tc>
          <w:tcPr>
            <w:tcW w:w="1530" w:type="dxa"/>
            <w:vAlign w:val="center"/>
          </w:tcPr>
          <w:p w:rsidR="004A6364" w:rsidRDefault="002601B4">
            <w:pPr>
              <w:pStyle w:val="TableParagraph"/>
              <w:spacing w:before="102"/>
              <w:ind w:right="132"/>
              <w:jc w:val="center"/>
              <w:rPr>
                <w:rFonts w:ascii="宋体" w:eastAsia="宋体" w:hAnsi="宋体" w:cs="宋体"/>
                <w:sz w:val="21"/>
                <w:szCs w:val="21"/>
              </w:rPr>
            </w:pPr>
            <w:r>
              <w:rPr>
                <w:rFonts w:ascii="宋体" w:eastAsia="宋体" w:hAnsi="宋体" w:cs="宋体" w:hint="eastAsia"/>
                <w:sz w:val="21"/>
                <w:szCs w:val="21"/>
              </w:rPr>
              <w:t>围堰尺寸（</w:t>
            </w:r>
            <w:r>
              <w:rPr>
                <w:rFonts w:ascii="宋体" w:eastAsia="宋体" w:hAnsi="宋体" w:cs="宋体" w:hint="eastAsia"/>
                <w:sz w:val="21"/>
                <w:szCs w:val="21"/>
              </w:rPr>
              <w:t>m</w:t>
            </w:r>
            <w:r>
              <w:rPr>
                <w:rFonts w:ascii="宋体" w:eastAsia="宋体" w:hAnsi="宋体" w:cs="宋体" w:hint="eastAsia"/>
                <w:sz w:val="21"/>
                <w:szCs w:val="21"/>
              </w:rPr>
              <w:t>）</w:t>
            </w:r>
          </w:p>
        </w:tc>
        <w:tc>
          <w:tcPr>
            <w:tcW w:w="943" w:type="dxa"/>
            <w:vAlign w:val="center"/>
          </w:tcPr>
          <w:p w:rsidR="004A6364" w:rsidRDefault="002601B4">
            <w:pPr>
              <w:pStyle w:val="TableParagraph"/>
              <w:spacing w:line="232" w:lineRule="exact"/>
              <w:jc w:val="center"/>
              <w:rPr>
                <w:rFonts w:ascii="宋体" w:eastAsia="宋体" w:hAnsi="宋体" w:cs="宋体"/>
                <w:sz w:val="21"/>
                <w:szCs w:val="21"/>
              </w:rPr>
            </w:pPr>
            <w:r>
              <w:rPr>
                <w:rFonts w:ascii="宋体" w:eastAsia="宋体" w:hAnsi="宋体" w:cs="宋体" w:hint="eastAsia"/>
                <w:sz w:val="21"/>
                <w:szCs w:val="21"/>
              </w:rPr>
              <w:t>围堰容</w:t>
            </w:r>
          </w:p>
          <w:p w:rsidR="004A6364" w:rsidRDefault="002601B4">
            <w:pPr>
              <w:pStyle w:val="TableParagraph"/>
              <w:spacing w:line="228" w:lineRule="exact"/>
              <w:ind w:left="-14"/>
              <w:jc w:val="center"/>
              <w:rPr>
                <w:rFonts w:ascii="宋体" w:eastAsia="宋体" w:hAnsi="宋体" w:cs="宋体"/>
                <w:sz w:val="21"/>
                <w:szCs w:val="21"/>
              </w:rPr>
            </w:pPr>
            <w:r>
              <w:rPr>
                <w:rFonts w:ascii="宋体" w:eastAsia="宋体" w:hAnsi="宋体" w:cs="宋体" w:hint="eastAsia"/>
                <w:sz w:val="21"/>
                <w:szCs w:val="21"/>
              </w:rPr>
              <w:t>积（</w:t>
            </w:r>
            <w:r>
              <w:rPr>
                <w:rFonts w:ascii="宋体" w:eastAsia="宋体" w:hAnsi="宋体" w:cs="宋体" w:hint="eastAsia"/>
                <w:sz w:val="21"/>
                <w:szCs w:val="21"/>
              </w:rPr>
              <w:t>m</w:t>
            </w:r>
            <w:r>
              <w:rPr>
                <w:rFonts w:ascii="宋体" w:eastAsia="宋体" w:hAnsi="宋体" w:cs="宋体" w:hint="eastAsia"/>
                <w:position w:val="11"/>
                <w:sz w:val="21"/>
                <w:szCs w:val="21"/>
              </w:rPr>
              <w:t>3</w:t>
            </w:r>
          </w:p>
        </w:tc>
        <w:tc>
          <w:tcPr>
            <w:tcW w:w="859" w:type="dxa"/>
            <w:vAlign w:val="center"/>
          </w:tcPr>
          <w:p w:rsidR="004A6364" w:rsidRDefault="002601B4">
            <w:pPr>
              <w:pStyle w:val="TableParagraph"/>
              <w:spacing w:line="237" w:lineRule="exact"/>
              <w:jc w:val="center"/>
              <w:rPr>
                <w:rFonts w:ascii="宋体" w:eastAsia="宋体" w:hAnsi="宋体" w:cs="宋体"/>
                <w:sz w:val="21"/>
                <w:szCs w:val="21"/>
              </w:rPr>
            </w:pPr>
            <w:r>
              <w:rPr>
                <w:rFonts w:ascii="宋体" w:eastAsia="宋体" w:hAnsi="宋体" w:cs="宋体" w:hint="eastAsia"/>
                <w:sz w:val="21"/>
                <w:szCs w:val="21"/>
              </w:rPr>
              <w:t>所在区域</w:t>
            </w:r>
          </w:p>
        </w:tc>
        <w:tc>
          <w:tcPr>
            <w:tcW w:w="785" w:type="dxa"/>
            <w:vAlign w:val="center"/>
          </w:tcPr>
          <w:p w:rsidR="004A6364" w:rsidRDefault="002601B4">
            <w:pPr>
              <w:pStyle w:val="TableParagraph"/>
              <w:spacing w:before="102"/>
              <w:jc w:val="center"/>
              <w:rPr>
                <w:rFonts w:ascii="宋体" w:eastAsia="宋体" w:hAnsi="宋体" w:cs="宋体"/>
                <w:sz w:val="21"/>
                <w:szCs w:val="21"/>
              </w:rPr>
            </w:pPr>
            <w:r>
              <w:rPr>
                <w:rFonts w:ascii="宋体" w:eastAsia="宋体" w:hAnsi="宋体" w:cs="宋体" w:hint="eastAsia"/>
                <w:sz w:val="21"/>
                <w:szCs w:val="21"/>
              </w:rPr>
              <w:t>备注</w:t>
            </w:r>
          </w:p>
        </w:tc>
      </w:tr>
      <w:tr w:rsidR="004A6364">
        <w:trPr>
          <w:trHeight w:val="239"/>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盐酸储罐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w:t>
            </w:r>
            <w:r>
              <w:rPr>
                <w:rFonts w:ascii="宋体" w:eastAsia="宋体" w:hAnsi="宋体" w:cs="宋体" w:hint="eastAsia"/>
                <w:sz w:val="21"/>
                <w:szCs w:val="21"/>
              </w:rPr>
              <w:t>8</w:t>
            </w:r>
            <w:r>
              <w:rPr>
                <w:rFonts w:ascii="宋体" w:eastAsia="宋体" w:hAnsi="宋体" w:cs="宋体" w:hint="eastAsia"/>
                <w:sz w:val="21"/>
                <w:szCs w:val="21"/>
              </w:rPr>
              <w:t>0</w:t>
            </w:r>
          </w:p>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w:t>
            </w:r>
            <w:r>
              <w:rPr>
                <w:rFonts w:ascii="宋体" w:eastAsia="宋体" w:hAnsi="宋体" w:cs="宋体" w:hint="eastAsia"/>
                <w:sz w:val="21"/>
                <w:szCs w:val="21"/>
              </w:rPr>
              <w:t>5</w:t>
            </w:r>
            <w:r>
              <w:rPr>
                <w:rFonts w:ascii="宋体" w:eastAsia="宋体" w:hAnsi="宋体" w:cs="宋体" w:hint="eastAsia"/>
                <w:sz w:val="21"/>
                <w:szCs w:val="21"/>
              </w:rPr>
              <w:t>0</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盐酸</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立式罐</w:t>
            </w:r>
          </w:p>
        </w:tc>
        <w:tc>
          <w:tcPr>
            <w:tcW w:w="1530"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15.6</w:t>
            </w:r>
            <w:r>
              <w:rPr>
                <w:rFonts w:ascii="宋体" w:eastAsia="宋体" w:hAnsi="宋体" w:cs="宋体" w:hint="eastAsia"/>
                <w:sz w:val="21"/>
                <w:szCs w:val="21"/>
              </w:rPr>
              <w:t>×</w:t>
            </w:r>
            <w:r>
              <w:rPr>
                <w:rFonts w:ascii="宋体" w:eastAsia="宋体" w:hAnsi="宋体" w:cs="宋体" w:hint="eastAsia"/>
                <w:sz w:val="21"/>
                <w:szCs w:val="21"/>
              </w:rPr>
              <w:t>6.5</w:t>
            </w:r>
            <w:r>
              <w:rPr>
                <w:rFonts w:ascii="宋体" w:eastAsia="宋体" w:hAnsi="宋体" w:cs="宋体" w:hint="eastAsia"/>
                <w:sz w:val="21"/>
                <w:szCs w:val="21"/>
              </w:rPr>
              <w:t>×</w:t>
            </w:r>
            <w:r>
              <w:rPr>
                <w:rFonts w:ascii="宋体" w:eastAsia="宋体" w:hAnsi="宋体" w:cs="宋体" w:hint="eastAsia"/>
                <w:sz w:val="21"/>
                <w:szCs w:val="21"/>
              </w:rPr>
              <w:t>1.5</w:t>
            </w:r>
          </w:p>
        </w:tc>
        <w:tc>
          <w:tcPr>
            <w:tcW w:w="943"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152</w:t>
            </w:r>
          </w:p>
        </w:tc>
        <w:tc>
          <w:tcPr>
            <w:tcW w:w="859" w:type="dxa"/>
            <w:vMerge w:val="restart"/>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罐区Ⅰ</w:t>
            </w:r>
          </w:p>
        </w:tc>
        <w:tc>
          <w:tcPr>
            <w:tcW w:w="785" w:type="dxa"/>
            <w:vMerge w:val="restart"/>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采用“水泥砂浆</w:t>
            </w:r>
          </w:p>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 xml:space="preserve">+PVC </w:t>
            </w:r>
            <w:r>
              <w:rPr>
                <w:rFonts w:ascii="宋体" w:eastAsia="宋体" w:hAnsi="宋体" w:cs="宋体" w:hint="eastAsia"/>
                <w:sz w:val="21"/>
                <w:szCs w:val="21"/>
              </w:rPr>
              <w:t>板</w:t>
            </w:r>
          </w:p>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处理</w:t>
            </w:r>
          </w:p>
        </w:tc>
      </w:tr>
      <w:tr w:rsidR="004A6364">
        <w:trPr>
          <w:trHeight w:val="241"/>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2</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硫酸储罐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rPr>
              <w:t>50</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硫酸</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立式罐</w:t>
            </w:r>
          </w:p>
        </w:tc>
        <w:tc>
          <w:tcPr>
            <w:tcW w:w="1530"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5.72</w:t>
            </w:r>
            <w:r>
              <w:rPr>
                <w:rFonts w:ascii="宋体" w:eastAsia="宋体" w:hAnsi="宋体" w:cs="宋体" w:hint="eastAsia"/>
                <w:sz w:val="21"/>
                <w:szCs w:val="21"/>
              </w:rPr>
              <w:t>×</w:t>
            </w:r>
            <w:r>
              <w:rPr>
                <w:rFonts w:ascii="宋体" w:eastAsia="宋体" w:hAnsi="宋体" w:cs="宋体" w:hint="eastAsia"/>
                <w:sz w:val="21"/>
                <w:szCs w:val="21"/>
              </w:rPr>
              <w:t>6.5</w:t>
            </w:r>
            <w:r>
              <w:rPr>
                <w:rFonts w:ascii="宋体" w:eastAsia="宋体" w:hAnsi="宋体" w:cs="宋体" w:hint="eastAsia"/>
                <w:sz w:val="21"/>
                <w:szCs w:val="21"/>
              </w:rPr>
              <w:t>×</w:t>
            </w:r>
            <w:r>
              <w:rPr>
                <w:rFonts w:ascii="宋体" w:eastAsia="宋体" w:hAnsi="宋体" w:cs="宋体" w:hint="eastAsia"/>
                <w:sz w:val="21"/>
                <w:szCs w:val="21"/>
              </w:rPr>
              <w:t>1.5</w:t>
            </w:r>
          </w:p>
        </w:tc>
        <w:tc>
          <w:tcPr>
            <w:tcW w:w="943"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55.8</w:t>
            </w:r>
          </w:p>
        </w:tc>
        <w:tc>
          <w:tcPr>
            <w:tcW w:w="859"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c>
          <w:tcPr>
            <w:tcW w:w="785"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r>
      <w:tr w:rsidR="004A6364">
        <w:trPr>
          <w:trHeight w:val="239"/>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3</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液碱储罐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w:t>
            </w:r>
            <w:r>
              <w:rPr>
                <w:rFonts w:ascii="宋体" w:eastAsia="宋体" w:hAnsi="宋体" w:cs="宋体" w:hint="eastAsia"/>
                <w:sz w:val="21"/>
                <w:szCs w:val="21"/>
              </w:rPr>
              <w:t>28.5</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液碱</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立式罐</w:t>
            </w:r>
          </w:p>
        </w:tc>
        <w:tc>
          <w:tcPr>
            <w:tcW w:w="1530"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5.16</w:t>
            </w:r>
            <w:r>
              <w:rPr>
                <w:rFonts w:ascii="宋体" w:eastAsia="宋体" w:hAnsi="宋体" w:cs="宋体" w:hint="eastAsia"/>
                <w:sz w:val="21"/>
                <w:szCs w:val="21"/>
              </w:rPr>
              <w:t>×</w:t>
            </w:r>
            <w:r>
              <w:rPr>
                <w:rFonts w:ascii="宋体" w:eastAsia="宋体" w:hAnsi="宋体" w:cs="宋体" w:hint="eastAsia"/>
                <w:sz w:val="21"/>
                <w:szCs w:val="21"/>
              </w:rPr>
              <w:t>6.5</w:t>
            </w:r>
            <w:r>
              <w:rPr>
                <w:rFonts w:ascii="宋体" w:eastAsia="宋体" w:hAnsi="宋体" w:cs="宋体" w:hint="eastAsia"/>
                <w:sz w:val="21"/>
                <w:szCs w:val="21"/>
              </w:rPr>
              <w:t>×</w:t>
            </w:r>
            <w:r>
              <w:rPr>
                <w:rFonts w:ascii="宋体" w:eastAsia="宋体" w:hAnsi="宋体" w:cs="宋体" w:hint="eastAsia"/>
                <w:sz w:val="21"/>
                <w:szCs w:val="21"/>
              </w:rPr>
              <w:t>1.5</w:t>
            </w:r>
          </w:p>
        </w:tc>
        <w:tc>
          <w:tcPr>
            <w:tcW w:w="943"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50.3</w:t>
            </w:r>
          </w:p>
        </w:tc>
        <w:tc>
          <w:tcPr>
            <w:tcW w:w="859"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c>
          <w:tcPr>
            <w:tcW w:w="785"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r>
      <w:tr w:rsidR="004A6364">
        <w:trPr>
          <w:trHeight w:val="239"/>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4</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 xml:space="preserve">R22 </w:t>
            </w:r>
            <w:r>
              <w:rPr>
                <w:rFonts w:ascii="宋体" w:eastAsia="宋体" w:hAnsi="宋体" w:cs="宋体" w:hint="eastAsia"/>
                <w:sz w:val="21"/>
                <w:szCs w:val="21"/>
              </w:rPr>
              <w:t>储罐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w:t>
            </w:r>
            <w:r>
              <w:rPr>
                <w:rFonts w:ascii="宋体" w:eastAsia="宋体" w:hAnsi="宋体" w:cs="宋体" w:hint="eastAsia"/>
                <w:sz w:val="21"/>
                <w:szCs w:val="21"/>
              </w:rPr>
              <w:t>100</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R22</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储槽</w:t>
            </w:r>
          </w:p>
        </w:tc>
        <w:tc>
          <w:tcPr>
            <w:tcW w:w="1530"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11.3</w:t>
            </w:r>
            <w:r>
              <w:rPr>
                <w:rFonts w:ascii="宋体" w:eastAsia="宋体" w:hAnsi="宋体" w:cs="宋体" w:hint="eastAsia"/>
                <w:sz w:val="21"/>
                <w:szCs w:val="21"/>
              </w:rPr>
              <w:t>×</w:t>
            </w:r>
            <w:r>
              <w:rPr>
                <w:rFonts w:ascii="宋体" w:eastAsia="宋体" w:hAnsi="宋体" w:cs="宋体" w:hint="eastAsia"/>
                <w:sz w:val="21"/>
                <w:szCs w:val="21"/>
              </w:rPr>
              <w:t>6.5</w:t>
            </w:r>
            <w:r>
              <w:rPr>
                <w:rFonts w:ascii="宋体" w:eastAsia="宋体" w:hAnsi="宋体" w:cs="宋体" w:hint="eastAsia"/>
                <w:sz w:val="21"/>
                <w:szCs w:val="21"/>
              </w:rPr>
              <w:t>×</w:t>
            </w:r>
            <w:r>
              <w:rPr>
                <w:rFonts w:ascii="宋体" w:eastAsia="宋体" w:hAnsi="宋体" w:cs="宋体" w:hint="eastAsia"/>
                <w:sz w:val="21"/>
                <w:szCs w:val="21"/>
              </w:rPr>
              <w:t>1.5</w:t>
            </w:r>
          </w:p>
        </w:tc>
        <w:tc>
          <w:tcPr>
            <w:tcW w:w="943"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110</w:t>
            </w:r>
          </w:p>
        </w:tc>
        <w:tc>
          <w:tcPr>
            <w:tcW w:w="859"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c>
          <w:tcPr>
            <w:tcW w:w="785"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r>
      <w:tr w:rsidR="004A6364">
        <w:trPr>
          <w:trHeight w:val="239"/>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5</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 xml:space="preserve">HF </w:t>
            </w:r>
            <w:r>
              <w:rPr>
                <w:rFonts w:ascii="宋体" w:eastAsia="宋体" w:hAnsi="宋体" w:cs="宋体" w:hint="eastAsia"/>
                <w:sz w:val="21"/>
                <w:szCs w:val="21"/>
              </w:rPr>
              <w:t>储罐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rPr>
              <w:t>8</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HF</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立式罐</w:t>
            </w:r>
          </w:p>
        </w:tc>
        <w:tc>
          <w:tcPr>
            <w:tcW w:w="1530"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5.72</w:t>
            </w:r>
            <w:r>
              <w:rPr>
                <w:rFonts w:ascii="宋体" w:eastAsia="宋体" w:hAnsi="宋体" w:cs="宋体" w:hint="eastAsia"/>
                <w:sz w:val="21"/>
                <w:szCs w:val="21"/>
              </w:rPr>
              <w:t>×</w:t>
            </w:r>
            <w:r>
              <w:rPr>
                <w:rFonts w:ascii="宋体" w:eastAsia="宋体" w:hAnsi="宋体" w:cs="宋体" w:hint="eastAsia"/>
                <w:sz w:val="21"/>
                <w:szCs w:val="21"/>
              </w:rPr>
              <w:t>6.5</w:t>
            </w:r>
            <w:r>
              <w:rPr>
                <w:rFonts w:ascii="宋体" w:eastAsia="宋体" w:hAnsi="宋体" w:cs="宋体" w:hint="eastAsia"/>
                <w:sz w:val="21"/>
                <w:szCs w:val="21"/>
              </w:rPr>
              <w:t>×</w:t>
            </w:r>
            <w:r>
              <w:rPr>
                <w:rFonts w:ascii="宋体" w:eastAsia="宋体" w:hAnsi="宋体" w:cs="宋体" w:hint="eastAsia"/>
                <w:sz w:val="21"/>
                <w:szCs w:val="21"/>
              </w:rPr>
              <w:t>1.5</w:t>
            </w:r>
          </w:p>
        </w:tc>
        <w:tc>
          <w:tcPr>
            <w:tcW w:w="943"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55.8</w:t>
            </w:r>
          </w:p>
        </w:tc>
        <w:tc>
          <w:tcPr>
            <w:tcW w:w="859"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c>
          <w:tcPr>
            <w:tcW w:w="785"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r>
      <w:tr w:rsidR="004A6364">
        <w:trPr>
          <w:trHeight w:val="239"/>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6</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盐酸缓冲罐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w:t>
            </w:r>
            <w:r>
              <w:rPr>
                <w:rFonts w:ascii="宋体" w:eastAsia="宋体" w:hAnsi="宋体" w:cs="宋体" w:hint="eastAsia"/>
                <w:sz w:val="21"/>
                <w:szCs w:val="21"/>
              </w:rPr>
              <w:t>3</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盐酸</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立式罐</w:t>
            </w:r>
          </w:p>
        </w:tc>
        <w:tc>
          <w:tcPr>
            <w:tcW w:w="1530"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2.95</w:t>
            </w:r>
            <w:r>
              <w:rPr>
                <w:rFonts w:ascii="宋体" w:eastAsia="宋体" w:hAnsi="宋体" w:cs="宋体" w:hint="eastAsia"/>
                <w:sz w:val="21"/>
                <w:szCs w:val="21"/>
              </w:rPr>
              <w:t>×</w:t>
            </w:r>
            <w:r>
              <w:rPr>
                <w:rFonts w:ascii="宋体" w:eastAsia="宋体" w:hAnsi="宋体" w:cs="宋体" w:hint="eastAsia"/>
                <w:sz w:val="21"/>
                <w:szCs w:val="21"/>
              </w:rPr>
              <w:t>5.2</w:t>
            </w:r>
            <w:r>
              <w:rPr>
                <w:rFonts w:ascii="宋体" w:eastAsia="宋体" w:hAnsi="宋体" w:cs="宋体" w:hint="eastAsia"/>
                <w:sz w:val="21"/>
                <w:szCs w:val="21"/>
              </w:rPr>
              <w:t>×</w:t>
            </w:r>
            <w:r>
              <w:rPr>
                <w:rFonts w:ascii="宋体" w:eastAsia="宋体" w:hAnsi="宋体" w:cs="宋体" w:hint="eastAsia"/>
                <w:sz w:val="21"/>
                <w:szCs w:val="21"/>
              </w:rPr>
              <w:t>0.6</w:t>
            </w:r>
          </w:p>
        </w:tc>
        <w:tc>
          <w:tcPr>
            <w:tcW w:w="943"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9.2</w:t>
            </w:r>
          </w:p>
        </w:tc>
        <w:tc>
          <w:tcPr>
            <w:tcW w:w="859" w:type="dxa"/>
            <w:vMerge w:val="restart"/>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罐区Ⅱ</w:t>
            </w:r>
          </w:p>
        </w:tc>
        <w:tc>
          <w:tcPr>
            <w:tcW w:w="785" w:type="dxa"/>
            <w:vMerge w:val="restart"/>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采用“水泥砂浆</w:t>
            </w:r>
          </w:p>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 xml:space="preserve">+PVC </w:t>
            </w:r>
            <w:r>
              <w:rPr>
                <w:rFonts w:ascii="宋体" w:eastAsia="宋体" w:hAnsi="宋体" w:cs="宋体" w:hint="eastAsia"/>
                <w:sz w:val="21"/>
                <w:szCs w:val="21"/>
              </w:rPr>
              <w:t>布</w:t>
            </w:r>
          </w:p>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处理</w:t>
            </w:r>
          </w:p>
        </w:tc>
      </w:tr>
      <w:tr w:rsidR="004A6364">
        <w:trPr>
          <w:trHeight w:val="239"/>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7</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硫酸储罐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w:t>
            </w:r>
            <w:r>
              <w:rPr>
                <w:rFonts w:ascii="宋体" w:eastAsia="宋体" w:hAnsi="宋体" w:cs="宋体" w:hint="eastAsia"/>
                <w:sz w:val="21"/>
                <w:szCs w:val="21"/>
              </w:rPr>
              <w:t>28.5</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硫酸</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立式罐</w:t>
            </w:r>
          </w:p>
        </w:tc>
        <w:tc>
          <w:tcPr>
            <w:tcW w:w="1530"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4.2</w:t>
            </w:r>
            <w:r>
              <w:rPr>
                <w:rFonts w:ascii="宋体" w:eastAsia="宋体" w:hAnsi="宋体" w:cs="宋体" w:hint="eastAsia"/>
                <w:sz w:val="21"/>
                <w:szCs w:val="21"/>
              </w:rPr>
              <w:t>×</w:t>
            </w:r>
            <w:r>
              <w:rPr>
                <w:rFonts w:ascii="宋体" w:eastAsia="宋体" w:hAnsi="宋体" w:cs="宋体" w:hint="eastAsia"/>
                <w:sz w:val="21"/>
                <w:szCs w:val="21"/>
              </w:rPr>
              <w:t>5.2</w:t>
            </w:r>
            <w:r>
              <w:rPr>
                <w:rFonts w:ascii="宋体" w:eastAsia="宋体" w:hAnsi="宋体" w:cs="宋体" w:hint="eastAsia"/>
                <w:sz w:val="21"/>
                <w:szCs w:val="21"/>
              </w:rPr>
              <w:t>×</w:t>
            </w:r>
            <w:r>
              <w:rPr>
                <w:rFonts w:ascii="宋体" w:eastAsia="宋体" w:hAnsi="宋体" w:cs="宋体" w:hint="eastAsia"/>
                <w:sz w:val="21"/>
                <w:szCs w:val="21"/>
              </w:rPr>
              <w:t>0.6</w:t>
            </w:r>
          </w:p>
        </w:tc>
        <w:tc>
          <w:tcPr>
            <w:tcW w:w="943"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13</w:t>
            </w:r>
          </w:p>
        </w:tc>
        <w:tc>
          <w:tcPr>
            <w:tcW w:w="859"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c>
          <w:tcPr>
            <w:tcW w:w="785"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r>
      <w:tr w:rsidR="004A6364">
        <w:trPr>
          <w:trHeight w:val="242"/>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8</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液碱储罐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w:t>
            </w:r>
            <w:r>
              <w:rPr>
                <w:rFonts w:ascii="宋体" w:eastAsia="宋体" w:hAnsi="宋体" w:cs="宋体" w:hint="eastAsia"/>
                <w:sz w:val="21"/>
                <w:szCs w:val="21"/>
              </w:rPr>
              <w:t>28.5</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液碱</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立式罐</w:t>
            </w:r>
          </w:p>
        </w:tc>
        <w:tc>
          <w:tcPr>
            <w:tcW w:w="1530"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5.16</w:t>
            </w:r>
            <w:r>
              <w:rPr>
                <w:rFonts w:ascii="宋体" w:eastAsia="宋体" w:hAnsi="宋体" w:cs="宋体" w:hint="eastAsia"/>
                <w:sz w:val="21"/>
                <w:szCs w:val="21"/>
              </w:rPr>
              <w:t>×</w:t>
            </w:r>
            <w:r>
              <w:rPr>
                <w:rFonts w:ascii="宋体" w:eastAsia="宋体" w:hAnsi="宋体" w:cs="宋体" w:hint="eastAsia"/>
                <w:sz w:val="21"/>
                <w:szCs w:val="21"/>
              </w:rPr>
              <w:t>6.5</w:t>
            </w:r>
            <w:r>
              <w:rPr>
                <w:rFonts w:ascii="宋体" w:eastAsia="宋体" w:hAnsi="宋体" w:cs="宋体" w:hint="eastAsia"/>
                <w:sz w:val="21"/>
                <w:szCs w:val="21"/>
              </w:rPr>
              <w:t>×</w:t>
            </w:r>
            <w:r>
              <w:rPr>
                <w:rFonts w:ascii="宋体" w:eastAsia="宋体" w:hAnsi="宋体" w:cs="宋体" w:hint="eastAsia"/>
                <w:sz w:val="21"/>
                <w:szCs w:val="21"/>
              </w:rPr>
              <w:t>1.5</w:t>
            </w:r>
          </w:p>
        </w:tc>
        <w:tc>
          <w:tcPr>
            <w:tcW w:w="943"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50.3</w:t>
            </w:r>
          </w:p>
        </w:tc>
        <w:tc>
          <w:tcPr>
            <w:tcW w:w="859"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c>
          <w:tcPr>
            <w:tcW w:w="785"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r>
      <w:tr w:rsidR="004A6364">
        <w:trPr>
          <w:trHeight w:val="239"/>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9</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 xml:space="preserve">R22 </w:t>
            </w:r>
            <w:r>
              <w:rPr>
                <w:rFonts w:ascii="宋体" w:eastAsia="宋体" w:hAnsi="宋体" w:cs="宋体" w:hint="eastAsia"/>
                <w:sz w:val="21"/>
                <w:szCs w:val="21"/>
              </w:rPr>
              <w:t>储罐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rPr>
              <w:t>50</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R22</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储槽</w:t>
            </w:r>
          </w:p>
        </w:tc>
        <w:tc>
          <w:tcPr>
            <w:tcW w:w="1530" w:type="dxa"/>
            <w:vMerge w:val="restart"/>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6.35</w:t>
            </w:r>
            <w:r>
              <w:rPr>
                <w:rFonts w:ascii="宋体" w:eastAsia="宋体" w:hAnsi="宋体" w:cs="宋体" w:hint="eastAsia"/>
                <w:sz w:val="21"/>
                <w:szCs w:val="21"/>
              </w:rPr>
              <w:t>×</w:t>
            </w:r>
            <w:r>
              <w:rPr>
                <w:rFonts w:ascii="宋体" w:eastAsia="宋体" w:hAnsi="宋体" w:cs="宋体" w:hint="eastAsia"/>
                <w:sz w:val="21"/>
                <w:szCs w:val="21"/>
              </w:rPr>
              <w:t>5.2</w:t>
            </w:r>
            <w:r>
              <w:rPr>
                <w:rFonts w:ascii="宋体" w:eastAsia="宋体" w:hAnsi="宋体" w:cs="宋体" w:hint="eastAsia"/>
                <w:sz w:val="21"/>
                <w:szCs w:val="21"/>
              </w:rPr>
              <w:t>×</w:t>
            </w:r>
            <w:r>
              <w:rPr>
                <w:rFonts w:ascii="宋体" w:eastAsia="宋体" w:hAnsi="宋体" w:cs="宋体" w:hint="eastAsia"/>
                <w:sz w:val="21"/>
                <w:szCs w:val="21"/>
              </w:rPr>
              <w:t>0.36</w:t>
            </w:r>
          </w:p>
        </w:tc>
        <w:tc>
          <w:tcPr>
            <w:tcW w:w="943" w:type="dxa"/>
            <w:vMerge w:val="restart"/>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19.8</w:t>
            </w:r>
          </w:p>
        </w:tc>
        <w:tc>
          <w:tcPr>
            <w:tcW w:w="859"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c>
          <w:tcPr>
            <w:tcW w:w="785"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r>
      <w:tr w:rsidR="004A6364">
        <w:trPr>
          <w:trHeight w:val="239"/>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10</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残液储槽</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rPr>
              <w:t>2.3</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残液</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储槽</w:t>
            </w:r>
          </w:p>
        </w:tc>
        <w:tc>
          <w:tcPr>
            <w:tcW w:w="1530"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c>
          <w:tcPr>
            <w:tcW w:w="943"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c>
          <w:tcPr>
            <w:tcW w:w="859"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c>
          <w:tcPr>
            <w:tcW w:w="785" w:type="dxa"/>
            <w:vMerge/>
            <w:tcBorders>
              <w:top w:val="nil"/>
            </w:tcBorders>
            <w:vAlign w:val="center"/>
          </w:tcPr>
          <w:p w:rsidR="004A6364" w:rsidRDefault="004A6364">
            <w:pPr>
              <w:pStyle w:val="TableParagraph"/>
              <w:spacing w:before="102" w:line="240" w:lineRule="exact"/>
              <w:jc w:val="center"/>
              <w:rPr>
                <w:rFonts w:ascii="宋体" w:eastAsia="宋体" w:hAnsi="宋体" w:cs="宋体"/>
                <w:sz w:val="21"/>
                <w:szCs w:val="21"/>
              </w:rPr>
            </w:pPr>
          </w:p>
        </w:tc>
      </w:tr>
      <w:tr w:rsidR="004A6364">
        <w:trPr>
          <w:trHeight w:val="239"/>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11</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甲醇罐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w:t>
            </w:r>
            <w:r>
              <w:rPr>
                <w:rFonts w:ascii="宋体" w:eastAsia="宋体" w:hAnsi="宋体" w:cs="宋体" w:hint="eastAsia"/>
                <w:sz w:val="21"/>
                <w:szCs w:val="21"/>
              </w:rPr>
              <w:t>40</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甲醇</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卧式罐</w:t>
            </w:r>
          </w:p>
        </w:tc>
        <w:tc>
          <w:tcPr>
            <w:tcW w:w="1530" w:type="dxa"/>
            <w:vMerge w:val="restart"/>
            <w:vAlign w:val="center"/>
          </w:tcPr>
          <w:p w:rsidR="004A6364" w:rsidRDefault="004A6364">
            <w:pPr>
              <w:pStyle w:val="TableParagraph"/>
              <w:spacing w:before="102" w:line="240" w:lineRule="exact"/>
              <w:jc w:val="center"/>
              <w:rPr>
                <w:rFonts w:ascii="宋体" w:eastAsia="宋体" w:hAnsi="宋体" w:cs="宋体"/>
                <w:sz w:val="21"/>
                <w:szCs w:val="21"/>
              </w:rPr>
            </w:pPr>
          </w:p>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w:t>
            </w:r>
          </w:p>
        </w:tc>
        <w:tc>
          <w:tcPr>
            <w:tcW w:w="943" w:type="dxa"/>
            <w:vMerge w:val="restart"/>
            <w:vAlign w:val="center"/>
          </w:tcPr>
          <w:p w:rsidR="004A6364" w:rsidRDefault="002601B4">
            <w:pPr>
              <w:pStyle w:val="TableParagraph"/>
              <w:spacing w:before="102" w:line="240" w:lineRule="exact"/>
              <w:jc w:val="center"/>
              <w:rPr>
                <w:rFonts w:ascii="宋体" w:eastAsia="宋体" w:hAnsi="宋体" w:cs="宋体"/>
                <w:sz w:val="21"/>
                <w:szCs w:val="21"/>
              </w:rPr>
            </w:pPr>
            <w:proofErr w:type="gramStart"/>
            <w:r>
              <w:rPr>
                <w:rFonts w:ascii="宋体" w:eastAsia="宋体" w:hAnsi="宋体" w:cs="宋体" w:hint="eastAsia"/>
                <w:sz w:val="21"/>
                <w:szCs w:val="21"/>
              </w:rPr>
              <w:t>地埋罐</w:t>
            </w:r>
            <w:proofErr w:type="gramEnd"/>
          </w:p>
        </w:tc>
        <w:tc>
          <w:tcPr>
            <w:tcW w:w="859" w:type="dxa"/>
            <w:vMerge w:val="restart"/>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罐区Ⅲ</w:t>
            </w:r>
          </w:p>
        </w:tc>
        <w:tc>
          <w:tcPr>
            <w:tcW w:w="785" w:type="dxa"/>
            <w:vMerge w:val="restart"/>
            <w:vAlign w:val="center"/>
          </w:tcPr>
          <w:p w:rsidR="004A6364" w:rsidRDefault="004A6364">
            <w:pPr>
              <w:pStyle w:val="TableParagraph"/>
              <w:spacing w:before="102" w:line="240" w:lineRule="exact"/>
              <w:jc w:val="center"/>
              <w:rPr>
                <w:rFonts w:ascii="宋体" w:eastAsia="宋体" w:hAnsi="宋体" w:cs="宋体"/>
                <w:sz w:val="21"/>
                <w:szCs w:val="21"/>
              </w:rPr>
            </w:pPr>
          </w:p>
        </w:tc>
      </w:tr>
      <w:tr w:rsidR="004A6364">
        <w:trPr>
          <w:trHeight w:val="239"/>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12</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乙醇罐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w:t>
            </w:r>
            <w:r>
              <w:rPr>
                <w:rFonts w:ascii="宋体" w:eastAsia="宋体" w:hAnsi="宋体" w:cs="宋体" w:hint="eastAsia"/>
                <w:sz w:val="21"/>
                <w:szCs w:val="21"/>
              </w:rPr>
              <w:t>20</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乙醇</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卧式罐（在建）</w:t>
            </w:r>
          </w:p>
        </w:tc>
        <w:tc>
          <w:tcPr>
            <w:tcW w:w="1530" w:type="dxa"/>
            <w:vMerge/>
            <w:tcBorders>
              <w:top w:val="nil"/>
            </w:tcBorders>
            <w:vAlign w:val="center"/>
          </w:tcPr>
          <w:p w:rsidR="004A6364" w:rsidRDefault="004A6364">
            <w:pPr>
              <w:rPr>
                <w:rFonts w:ascii="宋体" w:eastAsia="宋体" w:hAnsi="宋体" w:cs="宋体"/>
                <w:sz w:val="21"/>
                <w:szCs w:val="21"/>
              </w:rPr>
            </w:pPr>
          </w:p>
        </w:tc>
        <w:tc>
          <w:tcPr>
            <w:tcW w:w="943" w:type="dxa"/>
            <w:vMerge/>
            <w:tcBorders>
              <w:top w:val="nil"/>
            </w:tcBorders>
            <w:vAlign w:val="center"/>
          </w:tcPr>
          <w:p w:rsidR="004A6364" w:rsidRDefault="004A6364">
            <w:pPr>
              <w:rPr>
                <w:rFonts w:ascii="宋体" w:eastAsia="宋体" w:hAnsi="宋体" w:cs="宋体"/>
                <w:sz w:val="21"/>
                <w:szCs w:val="21"/>
              </w:rPr>
            </w:pPr>
          </w:p>
        </w:tc>
        <w:tc>
          <w:tcPr>
            <w:tcW w:w="859" w:type="dxa"/>
            <w:vMerge/>
            <w:tcBorders>
              <w:top w:val="nil"/>
            </w:tcBorders>
            <w:vAlign w:val="center"/>
          </w:tcPr>
          <w:p w:rsidR="004A6364" w:rsidRDefault="004A6364">
            <w:pPr>
              <w:rPr>
                <w:rFonts w:ascii="宋体" w:eastAsia="宋体" w:hAnsi="宋体" w:cs="宋体"/>
                <w:sz w:val="21"/>
                <w:szCs w:val="21"/>
              </w:rPr>
            </w:pPr>
          </w:p>
        </w:tc>
        <w:tc>
          <w:tcPr>
            <w:tcW w:w="785" w:type="dxa"/>
            <w:vMerge/>
            <w:tcBorders>
              <w:top w:val="nil"/>
            </w:tcBorders>
            <w:vAlign w:val="center"/>
          </w:tcPr>
          <w:p w:rsidR="004A6364" w:rsidRDefault="004A6364">
            <w:pPr>
              <w:rPr>
                <w:rFonts w:ascii="宋体" w:eastAsia="宋体" w:hAnsi="宋体" w:cs="宋体"/>
                <w:sz w:val="21"/>
                <w:szCs w:val="21"/>
              </w:rPr>
            </w:pPr>
          </w:p>
        </w:tc>
      </w:tr>
      <w:tr w:rsidR="004A6364">
        <w:trPr>
          <w:trHeight w:val="241"/>
          <w:jc w:val="center"/>
        </w:trPr>
        <w:tc>
          <w:tcPr>
            <w:tcW w:w="487"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13</w:t>
            </w:r>
          </w:p>
        </w:tc>
        <w:tc>
          <w:tcPr>
            <w:tcW w:w="1145"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 xml:space="preserve">TFM </w:t>
            </w:r>
            <w:r>
              <w:rPr>
                <w:rFonts w:ascii="宋体" w:eastAsia="宋体" w:hAnsi="宋体" w:cs="宋体" w:hint="eastAsia"/>
                <w:sz w:val="21"/>
                <w:szCs w:val="21"/>
              </w:rPr>
              <w:t>罐</w:t>
            </w:r>
          </w:p>
        </w:tc>
        <w:tc>
          <w:tcPr>
            <w:tcW w:w="992"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w:t>
            </w:r>
            <w:r>
              <w:rPr>
                <w:rFonts w:ascii="宋体" w:eastAsia="宋体" w:hAnsi="宋体" w:cs="宋体" w:hint="eastAsia"/>
                <w:sz w:val="21"/>
                <w:szCs w:val="21"/>
              </w:rPr>
              <w:t>20</w:t>
            </w:r>
          </w:p>
        </w:tc>
        <w:tc>
          <w:tcPr>
            <w:tcW w:w="814"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TFM</w:t>
            </w:r>
          </w:p>
        </w:tc>
        <w:tc>
          <w:tcPr>
            <w:tcW w:w="1508" w:type="dxa"/>
            <w:vAlign w:val="center"/>
          </w:tcPr>
          <w:p w:rsidR="004A6364" w:rsidRDefault="002601B4">
            <w:pPr>
              <w:pStyle w:val="TableParagraph"/>
              <w:spacing w:before="102" w:line="240" w:lineRule="exact"/>
              <w:jc w:val="center"/>
              <w:rPr>
                <w:rFonts w:ascii="宋体" w:eastAsia="宋体" w:hAnsi="宋体" w:cs="宋体"/>
                <w:sz w:val="21"/>
                <w:szCs w:val="21"/>
              </w:rPr>
            </w:pPr>
            <w:r>
              <w:rPr>
                <w:rFonts w:ascii="宋体" w:eastAsia="宋体" w:hAnsi="宋体" w:cs="宋体" w:hint="eastAsia"/>
                <w:sz w:val="21"/>
                <w:szCs w:val="21"/>
              </w:rPr>
              <w:t>卧式罐（在建）</w:t>
            </w:r>
          </w:p>
        </w:tc>
        <w:tc>
          <w:tcPr>
            <w:tcW w:w="1530" w:type="dxa"/>
            <w:vMerge/>
            <w:tcBorders>
              <w:top w:val="nil"/>
            </w:tcBorders>
            <w:vAlign w:val="center"/>
          </w:tcPr>
          <w:p w:rsidR="004A6364" w:rsidRDefault="004A6364">
            <w:pPr>
              <w:rPr>
                <w:rFonts w:ascii="宋体" w:eastAsia="宋体" w:hAnsi="宋体" w:cs="宋体"/>
                <w:sz w:val="21"/>
                <w:szCs w:val="21"/>
              </w:rPr>
            </w:pPr>
          </w:p>
        </w:tc>
        <w:tc>
          <w:tcPr>
            <w:tcW w:w="943" w:type="dxa"/>
            <w:vMerge/>
            <w:tcBorders>
              <w:top w:val="nil"/>
            </w:tcBorders>
            <w:vAlign w:val="center"/>
          </w:tcPr>
          <w:p w:rsidR="004A6364" w:rsidRDefault="004A6364">
            <w:pPr>
              <w:rPr>
                <w:rFonts w:ascii="宋体" w:eastAsia="宋体" w:hAnsi="宋体" w:cs="宋体"/>
                <w:sz w:val="21"/>
                <w:szCs w:val="21"/>
              </w:rPr>
            </w:pPr>
          </w:p>
        </w:tc>
        <w:tc>
          <w:tcPr>
            <w:tcW w:w="859" w:type="dxa"/>
            <w:vMerge/>
            <w:tcBorders>
              <w:top w:val="nil"/>
            </w:tcBorders>
            <w:vAlign w:val="center"/>
          </w:tcPr>
          <w:p w:rsidR="004A6364" w:rsidRDefault="004A6364">
            <w:pPr>
              <w:rPr>
                <w:rFonts w:ascii="宋体" w:eastAsia="宋体" w:hAnsi="宋体" w:cs="宋体"/>
                <w:sz w:val="21"/>
                <w:szCs w:val="21"/>
              </w:rPr>
            </w:pPr>
          </w:p>
        </w:tc>
        <w:tc>
          <w:tcPr>
            <w:tcW w:w="785" w:type="dxa"/>
            <w:vMerge/>
            <w:tcBorders>
              <w:top w:val="nil"/>
            </w:tcBorders>
            <w:vAlign w:val="center"/>
          </w:tcPr>
          <w:p w:rsidR="004A6364" w:rsidRDefault="004A6364">
            <w:pPr>
              <w:rPr>
                <w:rFonts w:ascii="宋体" w:eastAsia="宋体" w:hAnsi="宋体" w:cs="宋体"/>
                <w:sz w:val="21"/>
                <w:szCs w:val="21"/>
              </w:rPr>
            </w:pPr>
          </w:p>
        </w:tc>
      </w:tr>
    </w:tbl>
    <w:p w:rsidR="004A6364" w:rsidRDefault="002601B4" w:rsidP="00D61DF8">
      <w:pPr>
        <w:spacing w:line="360" w:lineRule="auto"/>
        <w:ind w:leftChars="-67" w:left="-214" w:rightChars="95" w:right="304" w:firstLineChars="177" w:firstLine="372"/>
        <w:rPr>
          <w:rFonts w:ascii="宋体" w:eastAsia="宋体" w:hAnsi="宋体" w:cs="宋体"/>
          <w:bCs/>
          <w:sz w:val="24"/>
        </w:rPr>
      </w:pPr>
      <w:r>
        <w:rPr>
          <w:rFonts w:ascii="宋体" w:eastAsia="宋体" w:hAnsi="宋体" w:cs="宋体" w:hint="eastAsia"/>
          <w:bCs/>
          <w:sz w:val="21"/>
          <w:szCs w:val="21"/>
        </w:rPr>
        <w:t>产品仓库、</w:t>
      </w:r>
      <w:proofErr w:type="gramStart"/>
      <w:r>
        <w:rPr>
          <w:rFonts w:ascii="宋体" w:eastAsia="宋体" w:hAnsi="宋体" w:cs="宋体" w:hint="eastAsia"/>
          <w:bCs/>
          <w:sz w:val="21"/>
          <w:szCs w:val="21"/>
        </w:rPr>
        <w:t>危废堆放</w:t>
      </w:r>
      <w:proofErr w:type="gramEnd"/>
      <w:r>
        <w:rPr>
          <w:rFonts w:ascii="宋体" w:eastAsia="宋体" w:hAnsi="宋体" w:cs="宋体" w:hint="eastAsia"/>
          <w:bCs/>
          <w:sz w:val="21"/>
          <w:szCs w:val="21"/>
        </w:rPr>
        <w:t>处均设有截流措施，设有防初期雨水、泄漏物、受污染的消</w:t>
      </w:r>
      <w:r>
        <w:rPr>
          <w:rFonts w:ascii="宋体" w:eastAsia="宋体" w:hAnsi="宋体" w:cs="宋体" w:hint="eastAsia"/>
          <w:bCs/>
          <w:sz w:val="24"/>
        </w:rPr>
        <w:t>防水（溢）流入雨水和清净下水系统的导流围挡收集措施（如防火堤、围堰等），且相关措施符合设计规范；且装置围堰与罐区防火堤（围堰）外设排水切换阀，正常情况下通向雨水系统的阀门关闭，通向事故</w:t>
      </w:r>
      <w:proofErr w:type="gramStart"/>
      <w:r>
        <w:rPr>
          <w:rFonts w:ascii="宋体" w:eastAsia="宋体" w:hAnsi="宋体" w:cs="宋体" w:hint="eastAsia"/>
          <w:bCs/>
          <w:sz w:val="24"/>
        </w:rPr>
        <w:t>存液池</w:t>
      </w:r>
      <w:proofErr w:type="gramEnd"/>
      <w:r>
        <w:rPr>
          <w:rFonts w:ascii="宋体" w:eastAsia="宋体" w:hAnsi="宋体" w:cs="宋体" w:hint="eastAsia"/>
          <w:bCs/>
          <w:sz w:val="24"/>
        </w:rPr>
        <w:t>、应急事故水池、清净下水排放缓冲池或污水处理系统的阀门打开；且前述措施日常管理及维护良好，排水系统导流沟、初期雨水沟与事故池相连，并设有雨污截断阀（常态为闭合状态），有专人负责阀门切换，保证初期雨水、泄漏物和受污染的消防水排入污水系统。</w:t>
      </w:r>
    </w:p>
    <w:p w:rsidR="004A6364" w:rsidRDefault="004A6364">
      <w:pPr>
        <w:rPr>
          <w:rFonts w:eastAsia="黑体"/>
          <w:sz w:val="28"/>
          <w:szCs w:val="28"/>
        </w:rPr>
      </w:pPr>
    </w:p>
    <w:p w:rsidR="004A6364" w:rsidRDefault="004A6364">
      <w:pPr>
        <w:pStyle w:val="Default"/>
        <w:rPr>
          <w:rFonts w:eastAsia="黑体"/>
          <w:sz w:val="28"/>
          <w:szCs w:val="28"/>
        </w:rPr>
      </w:pPr>
    </w:p>
    <w:p w:rsidR="004A6364" w:rsidRDefault="004A6364">
      <w:pPr>
        <w:pStyle w:val="Default"/>
        <w:rPr>
          <w:rFonts w:eastAsia="黑体"/>
          <w:sz w:val="28"/>
          <w:szCs w:val="28"/>
        </w:rPr>
      </w:pPr>
    </w:p>
    <w:p w:rsidR="004A6364" w:rsidRDefault="004A6364">
      <w:pPr>
        <w:pStyle w:val="Default"/>
        <w:rPr>
          <w:rFonts w:eastAsia="黑体"/>
          <w:sz w:val="28"/>
          <w:szCs w:val="28"/>
        </w:rPr>
      </w:pPr>
    </w:p>
    <w:p w:rsidR="004A6364" w:rsidRDefault="004A6364">
      <w:pPr>
        <w:pStyle w:val="Default"/>
        <w:rPr>
          <w:rFonts w:eastAsia="黑体"/>
          <w:sz w:val="28"/>
          <w:szCs w:val="28"/>
        </w:rPr>
      </w:pPr>
    </w:p>
    <w:p w:rsidR="004A6364" w:rsidRDefault="004A6364">
      <w:pPr>
        <w:pStyle w:val="Default"/>
        <w:rPr>
          <w:rFonts w:eastAsia="黑体"/>
          <w:sz w:val="28"/>
          <w:szCs w:val="28"/>
        </w:rPr>
      </w:pPr>
    </w:p>
    <w:p w:rsidR="004A6364" w:rsidRDefault="002601B4">
      <w:pPr>
        <w:rPr>
          <w:rFonts w:ascii="方正小标宋_GBK" w:eastAsia="方正小标宋_GBK" w:hAnsi="方正小标宋_GBK" w:cs="方正小标宋_GBK"/>
          <w:sz w:val="28"/>
          <w:szCs w:val="28"/>
        </w:rPr>
      </w:pPr>
      <w:r>
        <w:rPr>
          <w:rFonts w:ascii="方正小标宋_GBK" w:eastAsia="方正小标宋_GBK" w:hAnsi="方正小标宋_GBK" w:cs="方正小标宋_GBK" w:hint="eastAsia"/>
          <w:sz w:val="30"/>
          <w:szCs w:val="30"/>
        </w:rPr>
        <w:lastRenderedPageBreak/>
        <w:t>附件</w:t>
      </w:r>
      <w:r>
        <w:rPr>
          <w:rFonts w:ascii="方正小标宋_GBK" w:eastAsia="方正小标宋_GBK" w:hAnsi="方正小标宋_GBK" w:cs="方正小标宋_GBK" w:hint="eastAsia"/>
          <w:sz w:val="30"/>
          <w:szCs w:val="30"/>
        </w:rPr>
        <w:t>2</w:t>
      </w:r>
    </w:p>
    <w:p w:rsidR="004A6364" w:rsidRDefault="002601B4">
      <w:pPr>
        <w:jc w:val="center"/>
        <w:rPr>
          <w:rFonts w:ascii="宋体" w:eastAsia="宋体" w:hAnsi="宋体" w:cs="宋体"/>
          <w:b/>
          <w:bCs/>
          <w:sz w:val="28"/>
          <w:szCs w:val="28"/>
        </w:rPr>
      </w:pPr>
      <w:r>
        <w:rPr>
          <w:rFonts w:ascii="宋体" w:eastAsia="宋体" w:hAnsi="宋体" w:cs="宋体" w:hint="eastAsia"/>
          <w:b/>
          <w:bCs/>
          <w:sz w:val="28"/>
          <w:szCs w:val="28"/>
        </w:rPr>
        <w:t>现有工程可燃、有毒气体检测报警装置安装情况一览表</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65"/>
        <w:gridCol w:w="1575"/>
        <w:gridCol w:w="710"/>
        <w:gridCol w:w="760"/>
        <w:gridCol w:w="1468"/>
        <w:gridCol w:w="733"/>
        <w:gridCol w:w="1576"/>
        <w:gridCol w:w="1264"/>
      </w:tblGrid>
      <w:tr w:rsidR="004A6364">
        <w:trPr>
          <w:trHeight w:val="623"/>
        </w:trPr>
        <w:tc>
          <w:tcPr>
            <w:tcW w:w="965" w:type="dxa"/>
            <w:vAlign w:val="center"/>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报警器名称</w:t>
            </w:r>
          </w:p>
        </w:tc>
        <w:tc>
          <w:tcPr>
            <w:tcW w:w="1575" w:type="dxa"/>
            <w:vAlign w:val="center"/>
          </w:tcPr>
          <w:p w:rsidR="004A6364" w:rsidRDefault="002601B4">
            <w:pPr>
              <w:pStyle w:val="TableParagraph"/>
              <w:spacing w:before="178"/>
              <w:ind w:right="22"/>
              <w:jc w:val="center"/>
              <w:rPr>
                <w:rFonts w:ascii="宋体" w:eastAsia="宋体" w:hAnsi="宋体" w:cs="宋体"/>
                <w:sz w:val="28"/>
                <w:szCs w:val="28"/>
              </w:rPr>
            </w:pPr>
            <w:r>
              <w:rPr>
                <w:rFonts w:ascii="宋体" w:eastAsia="宋体" w:hAnsi="宋体" w:cs="宋体" w:hint="eastAsia"/>
                <w:sz w:val="28"/>
                <w:szCs w:val="28"/>
              </w:rPr>
              <w:t>仪器型号</w:t>
            </w:r>
          </w:p>
        </w:tc>
        <w:tc>
          <w:tcPr>
            <w:tcW w:w="1470" w:type="dxa"/>
            <w:gridSpan w:val="2"/>
            <w:vAlign w:val="center"/>
          </w:tcPr>
          <w:p w:rsidR="004A6364" w:rsidRDefault="002601B4">
            <w:pPr>
              <w:pStyle w:val="TableParagraph"/>
              <w:spacing w:before="178"/>
              <w:jc w:val="center"/>
              <w:rPr>
                <w:rFonts w:ascii="宋体" w:eastAsia="宋体" w:hAnsi="宋体" w:cs="宋体"/>
                <w:sz w:val="28"/>
                <w:szCs w:val="28"/>
              </w:rPr>
            </w:pPr>
            <w:r>
              <w:rPr>
                <w:rFonts w:ascii="宋体" w:eastAsia="宋体" w:hAnsi="宋体" w:cs="宋体" w:hint="eastAsia"/>
                <w:sz w:val="28"/>
                <w:szCs w:val="28"/>
              </w:rPr>
              <w:t>安装地点</w:t>
            </w:r>
          </w:p>
        </w:tc>
        <w:tc>
          <w:tcPr>
            <w:tcW w:w="1468" w:type="dxa"/>
            <w:vAlign w:val="center"/>
          </w:tcPr>
          <w:p w:rsidR="004A6364" w:rsidRDefault="002601B4">
            <w:pPr>
              <w:pStyle w:val="TableParagraph"/>
              <w:spacing w:before="178"/>
              <w:ind w:right="179"/>
              <w:jc w:val="center"/>
              <w:rPr>
                <w:rFonts w:ascii="宋体" w:eastAsia="宋体" w:hAnsi="宋体" w:cs="宋体"/>
                <w:sz w:val="28"/>
                <w:szCs w:val="28"/>
              </w:rPr>
            </w:pPr>
            <w:r>
              <w:rPr>
                <w:rFonts w:ascii="宋体" w:eastAsia="宋体" w:hAnsi="宋体" w:cs="宋体" w:hint="eastAsia"/>
                <w:sz w:val="28"/>
                <w:szCs w:val="28"/>
              </w:rPr>
              <w:t>检测物质</w:t>
            </w:r>
          </w:p>
        </w:tc>
        <w:tc>
          <w:tcPr>
            <w:tcW w:w="733" w:type="dxa"/>
            <w:vAlign w:val="center"/>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安装数量</w:t>
            </w:r>
          </w:p>
        </w:tc>
        <w:tc>
          <w:tcPr>
            <w:tcW w:w="1576" w:type="dxa"/>
            <w:vAlign w:val="center"/>
          </w:tcPr>
          <w:p w:rsidR="004A6364" w:rsidRDefault="002601B4">
            <w:pPr>
              <w:pStyle w:val="TableParagraph"/>
              <w:spacing w:before="178"/>
              <w:ind w:right="229"/>
              <w:jc w:val="center"/>
              <w:rPr>
                <w:rFonts w:ascii="宋体" w:eastAsia="宋体" w:hAnsi="宋体" w:cs="宋体"/>
                <w:sz w:val="28"/>
                <w:szCs w:val="28"/>
              </w:rPr>
            </w:pPr>
            <w:r>
              <w:rPr>
                <w:rFonts w:ascii="宋体" w:eastAsia="宋体" w:hAnsi="宋体" w:cs="宋体" w:hint="eastAsia"/>
                <w:sz w:val="28"/>
                <w:szCs w:val="28"/>
              </w:rPr>
              <w:t>测量范围</w:t>
            </w:r>
          </w:p>
        </w:tc>
        <w:tc>
          <w:tcPr>
            <w:tcW w:w="1264" w:type="dxa"/>
            <w:vAlign w:val="center"/>
          </w:tcPr>
          <w:p w:rsidR="004A6364" w:rsidRDefault="002601B4">
            <w:pPr>
              <w:pStyle w:val="TableParagraph"/>
              <w:spacing w:before="178"/>
              <w:jc w:val="center"/>
              <w:rPr>
                <w:rFonts w:ascii="宋体" w:eastAsia="宋体" w:hAnsi="宋体" w:cs="宋体"/>
                <w:sz w:val="28"/>
                <w:szCs w:val="28"/>
              </w:rPr>
            </w:pPr>
            <w:r>
              <w:rPr>
                <w:rFonts w:ascii="宋体" w:eastAsia="宋体" w:hAnsi="宋体" w:cs="宋体" w:hint="eastAsia"/>
                <w:sz w:val="28"/>
                <w:szCs w:val="28"/>
              </w:rPr>
              <w:t>生产单位</w:t>
            </w:r>
          </w:p>
        </w:tc>
      </w:tr>
      <w:tr w:rsidR="004A6364">
        <w:trPr>
          <w:trHeight w:val="311"/>
        </w:trPr>
        <w:tc>
          <w:tcPr>
            <w:tcW w:w="965" w:type="dxa"/>
            <w:vMerge w:val="restart"/>
          </w:tcPr>
          <w:p w:rsidR="004A6364" w:rsidRDefault="004A6364">
            <w:pPr>
              <w:pStyle w:val="TableParagraph"/>
              <w:spacing w:before="22"/>
              <w:jc w:val="center"/>
              <w:rPr>
                <w:rFonts w:ascii="宋体" w:eastAsia="宋体" w:hAnsi="宋体" w:cs="宋体"/>
                <w:sz w:val="28"/>
                <w:szCs w:val="28"/>
              </w:rPr>
            </w:pPr>
          </w:p>
          <w:p w:rsidR="004A6364" w:rsidRDefault="004A6364">
            <w:pPr>
              <w:pStyle w:val="TableParagraph"/>
              <w:spacing w:before="22"/>
              <w:jc w:val="center"/>
              <w:rPr>
                <w:rFonts w:ascii="宋体" w:eastAsia="宋体" w:hAnsi="宋体" w:cs="宋体"/>
                <w:sz w:val="28"/>
                <w:szCs w:val="28"/>
              </w:rPr>
            </w:pPr>
          </w:p>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可燃气体探测报警器</w:t>
            </w:r>
          </w:p>
        </w:tc>
        <w:tc>
          <w:tcPr>
            <w:tcW w:w="1575"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QB2000-01T</w:t>
            </w:r>
          </w:p>
        </w:tc>
        <w:tc>
          <w:tcPr>
            <w:tcW w:w="710" w:type="dxa"/>
            <w:vMerge w:val="restart"/>
            <w:tcBorders>
              <w:right w:val="nil"/>
            </w:tcBorders>
            <w:vAlign w:val="center"/>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TFE</w:t>
            </w:r>
          </w:p>
        </w:tc>
        <w:tc>
          <w:tcPr>
            <w:tcW w:w="760" w:type="dxa"/>
            <w:vMerge w:val="restart"/>
            <w:tcBorders>
              <w:left w:val="nil"/>
            </w:tcBorders>
            <w:vAlign w:val="center"/>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1 </w:t>
            </w:r>
            <w:r>
              <w:rPr>
                <w:rFonts w:ascii="宋体" w:eastAsia="宋体" w:hAnsi="宋体" w:cs="宋体" w:hint="eastAsia"/>
                <w:sz w:val="28"/>
                <w:szCs w:val="28"/>
              </w:rPr>
              <w:t>层</w:t>
            </w:r>
          </w:p>
        </w:tc>
        <w:tc>
          <w:tcPr>
            <w:tcW w:w="1468"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甲烷</w:t>
            </w:r>
          </w:p>
        </w:tc>
        <w:tc>
          <w:tcPr>
            <w:tcW w:w="733"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3 </w:t>
            </w:r>
            <w:proofErr w:type="gramStart"/>
            <w:r>
              <w:rPr>
                <w:rFonts w:ascii="宋体" w:eastAsia="宋体" w:hAnsi="宋体" w:cs="宋体" w:hint="eastAsia"/>
                <w:sz w:val="28"/>
                <w:szCs w:val="28"/>
              </w:rPr>
              <w:t>个</w:t>
            </w:r>
            <w:proofErr w:type="gramEnd"/>
          </w:p>
        </w:tc>
        <w:tc>
          <w:tcPr>
            <w:tcW w:w="1576"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0</w:t>
            </w:r>
            <w:r>
              <w:rPr>
                <w:rFonts w:ascii="宋体" w:eastAsia="宋体" w:hAnsi="宋体" w:cs="宋体" w:hint="eastAsia"/>
                <w:sz w:val="28"/>
                <w:szCs w:val="28"/>
              </w:rPr>
              <w:t>～</w:t>
            </w:r>
            <w:r>
              <w:rPr>
                <w:rFonts w:ascii="宋体" w:eastAsia="宋体" w:hAnsi="宋体" w:cs="宋体" w:hint="eastAsia"/>
                <w:sz w:val="28"/>
                <w:szCs w:val="28"/>
              </w:rPr>
              <w:t>100%LEL</w:t>
            </w:r>
          </w:p>
        </w:tc>
        <w:tc>
          <w:tcPr>
            <w:tcW w:w="1264" w:type="dxa"/>
            <w:vMerge w:val="restart"/>
          </w:tcPr>
          <w:p w:rsidR="004A6364" w:rsidRDefault="004A6364">
            <w:pPr>
              <w:pStyle w:val="TableParagraph"/>
              <w:jc w:val="left"/>
              <w:rPr>
                <w:rFonts w:ascii="宋体" w:eastAsia="宋体" w:hAnsi="宋体" w:cs="宋体"/>
                <w:b/>
                <w:sz w:val="28"/>
                <w:szCs w:val="28"/>
              </w:rPr>
            </w:pPr>
          </w:p>
          <w:p w:rsidR="004A6364" w:rsidRDefault="004A6364">
            <w:pPr>
              <w:pStyle w:val="TableParagraph"/>
              <w:jc w:val="left"/>
              <w:rPr>
                <w:rFonts w:ascii="宋体" w:eastAsia="宋体" w:hAnsi="宋体" w:cs="宋体"/>
                <w:b/>
                <w:sz w:val="28"/>
                <w:szCs w:val="28"/>
              </w:rPr>
            </w:pPr>
          </w:p>
          <w:p w:rsidR="004A6364" w:rsidRDefault="004A6364">
            <w:pPr>
              <w:pStyle w:val="TableParagraph"/>
              <w:jc w:val="left"/>
              <w:rPr>
                <w:rFonts w:ascii="宋体" w:eastAsia="宋体" w:hAnsi="宋体" w:cs="宋体"/>
                <w:b/>
                <w:sz w:val="28"/>
                <w:szCs w:val="28"/>
              </w:rPr>
            </w:pPr>
          </w:p>
          <w:p w:rsidR="004A6364" w:rsidRDefault="004A6364">
            <w:pPr>
              <w:pStyle w:val="TableParagraph"/>
              <w:jc w:val="left"/>
              <w:rPr>
                <w:rFonts w:ascii="宋体" w:eastAsia="宋体" w:hAnsi="宋体" w:cs="宋体"/>
                <w:b/>
                <w:sz w:val="28"/>
                <w:szCs w:val="28"/>
              </w:rPr>
            </w:pPr>
          </w:p>
          <w:p w:rsidR="004A6364" w:rsidRDefault="004A6364">
            <w:pPr>
              <w:pStyle w:val="TableParagraph"/>
              <w:spacing w:before="9"/>
              <w:jc w:val="left"/>
              <w:rPr>
                <w:rFonts w:ascii="宋体" w:eastAsia="宋体" w:hAnsi="宋体" w:cs="宋体"/>
                <w:b/>
                <w:sz w:val="28"/>
                <w:szCs w:val="28"/>
              </w:rPr>
            </w:pPr>
          </w:p>
          <w:p w:rsidR="004A6364" w:rsidRDefault="002601B4">
            <w:pPr>
              <w:pStyle w:val="TableParagraph"/>
              <w:spacing w:line="278" w:lineRule="auto"/>
              <w:ind w:left="110" w:right="88"/>
              <w:jc w:val="left"/>
              <w:rPr>
                <w:rFonts w:ascii="宋体" w:eastAsia="宋体" w:hAnsi="宋体" w:cs="宋体"/>
                <w:sz w:val="28"/>
                <w:szCs w:val="28"/>
              </w:rPr>
            </w:pPr>
            <w:r>
              <w:rPr>
                <w:rFonts w:ascii="宋体" w:eastAsia="宋体" w:hAnsi="宋体" w:cs="宋体" w:hint="eastAsia"/>
                <w:sz w:val="28"/>
                <w:szCs w:val="28"/>
              </w:rPr>
              <w:t>河南驰诚电气有限公司</w:t>
            </w:r>
          </w:p>
        </w:tc>
      </w:tr>
      <w:tr w:rsidR="004A6364">
        <w:trPr>
          <w:trHeight w:val="311"/>
        </w:trPr>
        <w:tc>
          <w:tcPr>
            <w:tcW w:w="965" w:type="dxa"/>
            <w:vMerge/>
            <w:tcBorders>
              <w:top w:val="nil"/>
            </w:tcBorders>
          </w:tcPr>
          <w:p w:rsidR="004A6364" w:rsidRDefault="004A6364">
            <w:pPr>
              <w:pStyle w:val="TableParagraph"/>
              <w:spacing w:before="22"/>
              <w:jc w:val="center"/>
              <w:rPr>
                <w:rFonts w:ascii="宋体" w:eastAsia="宋体" w:hAnsi="宋体" w:cs="宋体"/>
                <w:sz w:val="28"/>
                <w:szCs w:val="28"/>
              </w:rPr>
            </w:pPr>
          </w:p>
        </w:tc>
        <w:tc>
          <w:tcPr>
            <w:tcW w:w="1575"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QB2000-01T</w:t>
            </w:r>
          </w:p>
        </w:tc>
        <w:tc>
          <w:tcPr>
            <w:tcW w:w="710" w:type="dxa"/>
            <w:vMerge/>
            <w:tcBorders>
              <w:top w:val="nil"/>
              <w:right w:val="nil"/>
            </w:tcBorders>
          </w:tcPr>
          <w:p w:rsidR="004A6364" w:rsidRDefault="004A6364">
            <w:pPr>
              <w:pStyle w:val="TableParagraph"/>
              <w:spacing w:before="22"/>
              <w:jc w:val="center"/>
              <w:rPr>
                <w:rFonts w:ascii="宋体" w:eastAsia="宋体" w:hAnsi="宋体" w:cs="宋体"/>
                <w:sz w:val="28"/>
                <w:szCs w:val="28"/>
              </w:rPr>
            </w:pPr>
          </w:p>
        </w:tc>
        <w:tc>
          <w:tcPr>
            <w:tcW w:w="760" w:type="dxa"/>
            <w:vMerge/>
            <w:tcBorders>
              <w:top w:val="nil"/>
              <w:left w:val="nil"/>
            </w:tcBorders>
          </w:tcPr>
          <w:p w:rsidR="004A6364" w:rsidRDefault="004A6364">
            <w:pPr>
              <w:pStyle w:val="TableParagraph"/>
              <w:spacing w:before="22"/>
              <w:jc w:val="center"/>
              <w:rPr>
                <w:rFonts w:ascii="宋体" w:eastAsia="宋体" w:hAnsi="宋体" w:cs="宋体"/>
                <w:sz w:val="28"/>
                <w:szCs w:val="28"/>
              </w:rPr>
            </w:pPr>
          </w:p>
        </w:tc>
        <w:tc>
          <w:tcPr>
            <w:tcW w:w="1468"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四氟</w:t>
            </w:r>
            <w:proofErr w:type="gramStart"/>
            <w:r>
              <w:rPr>
                <w:rFonts w:ascii="宋体" w:eastAsia="宋体" w:hAnsi="宋体" w:cs="宋体" w:hint="eastAsia"/>
                <w:sz w:val="28"/>
                <w:szCs w:val="28"/>
              </w:rPr>
              <w:t>乙稀</w:t>
            </w:r>
            <w:proofErr w:type="gramEnd"/>
          </w:p>
        </w:tc>
        <w:tc>
          <w:tcPr>
            <w:tcW w:w="733"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5 </w:t>
            </w:r>
            <w:proofErr w:type="gramStart"/>
            <w:r>
              <w:rPr>
                <w:rFonts w:ascii="宋体" w:eastAsia="宋体" w:hAnsi="宋体" w:cs="宋体" w:hint="eastAsia"/>
                <w:sz w:val="28"/>
                <w:szCs w:val="28"/>
              </w:rPr>
              <w:t>个</w:t>
            </w:r>
            <w:proofErr w:type="gramEnd"/>
          </w:p>
        </w:tc>
        <w:tc>
          <w:tcPr>
            <w:tcW w:w="1576"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0</w:t>
            </w:r>
            <w:r>
              <w:rPr>
                <w:rFonts w:ascii="宋体" w:eastAsia="宋体" w:hAnsi="宋体" w:cs="宋体" w:hint="eastAsia"/>
                <w:sz w:val="28"/>
                <w:szCs w:val="28"/>
              </w:rPr>
              <w:t>～</w:t>
            </w:r>
            <w:r>
              <w:rPr>
                <w:rFonts w:ascii="宋体" w:eastAsia="宋体" w:hAnsi="宋体" w:cs="宋体" w:hint="eastAsia"/>
                <w:sz w:val="28"/>
                <w:szCs w:val="28"/>
              </w:rPr>
              <w:t>100%LEL</w:t>
            </w:r>
          </w:p>
        </w:tc>
        <w:tc>
          <w:tcPr>
            <w:tcW w:w="1264" w:type="dxa"/>
            <w:vMerge/>
            <w:tcBorders>
              <w:top w:val="nil"/>
            </w:tcBorders>
          </w:tcPr>
          <w:p w:rsidR="004A6364" w:rsidRDefault="004A6364">
            <w:pPr>
              <w:rPr>
                <w:rFonts w:ascii="宋体" w:eastAsia="宋体" w:hAnsi="宋体" w:cs="宋体"/>
                <w:sz w:val="28"/>
                <w:szCs w:val="28"/>
              </w:rPr>
            </w:pPr>
          </w:p>
        </w:tc>
      </w:tr>
      <w:tr w:rsidR="004A6364">
        <w:trPr>
          <w:trHeight w:val="311"/>
        </w:trPr>
        <w:tc>
          <w:tcPr>
            <w:tcW w:w="965" w:type="dxa"/>
            <w:vMerge/>
            <w:tcBorders>
              <w:top w:val="nil"/>
            </w:tcBorders>
          </w:tcPr>
          <w:p w:rsidR="004A6364" w:rsidRDefault="004A6364">
            <w:pPr>
              <w:pStyle w:val="TableParagraph"/>
              <w:spacing w:before="22"/>
              <w:jc w:val="center"/>
              <w:rPr>
                <w:rFonts w:ascii="宋体" w:eastAsia="宋体" w:hAnsi="宋体" w:cs="宋体"/>
                <w:sz w:val="28"/>
                <w:szCs w:val="28"/>
              </w:rPr>
            </w:pPr>
          </w:p>
        </w:tc>
        <w:tc>
          <w:tcPr>
            <w:tcW w:w="1575"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QB2000-01T</w:t>
            </w:r>
          </w:p>
        </w:tc>
        <w:tc>
          <w:tcPr>
            <w:tcW w:w="710" w:type="dxa"/>
            <w:tcBorders>
              <w:right w:val="nil"/>
            </w:tcBorders>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TFE</w:t>
            </w:r>
          </w:p>
        </w:tc>
        <w:tc>
          <w:tcPr>
            <w:tcW w:w="760" w:type="dxa"/>
            <w:tcBorders>
              <w:left w:val="nil"/>
            </w:tcBorders>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2 </w:t>
            </w:r>
            <w:r>
              <w:rPr>
                <w:rFonts w:ascii="宋体" w:eastAsia="宋体" w:hAnsi="宋体" w:cs="宋体" w:hint="eastAsia"/>
                <w:sz w:val="28"/>
                <w:szCs w:val="28"/>
              </w:rPr>
              <w:t>层</w:t>
            </w:r>
          </w:p>
        </w:tc>
        <w:tc>
          <w:tcPr>
            <w:tcW w:w="1468"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四氟</w:t>
            </w:r>
            <w:proofErr w:type="gramStart"/>
            <w:r>
              <w:rPr>
                <w:rFonts w:ascii="宋体" w:eastAsia="宋体" w:hAnsi="宋体" w:cs="宋体" w:hint="eastAsia"/>
                <w:sz w:val="28"/>
                <w:szCs w:val="28"/>
              </w:rPr>
              <w:t>乙稀</w:t>
            </w:r>
            <w:proofErr w:type="gramEnd"/>
          </w:p>
        </w:tc>
        <w:tc>
          <w:tcPr>
            <w:tcW w:w="733"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3 </w:t>
            </w:r>
            <w:proofErr w:type="gramStart"/>
            <w:r>
              <w:rPr>
                <w:rFonts w:ascii="宋体" w:eastAsia="宋体" w:hAnsi="宋体" w:cs="宋体" w:hint="eastAsia"/>
                <w:sz w:val="28"/>
                <w:szCs w:val="28"/>
              </w:rPr>
              <w:t>个</w:t>
            </w:r>
            <w:proofErr w:type="gramEnd"/>
          </w:p>
        </w:tc>
        <w:tc>
          <w:tcPr>
            <w:tcW w:w="1576"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0</w:t>
            </w:r>
            <w:r>
              <w:rPr>
                <w:rFonts w:ascii="宋体" w:eastAsia="宋体" w:hAnsi="宋体" w:cs="宋体" w:hint="eastAsia"/>
                <w:sz w:val="28"/>
                <w:szCs w:val="28"/>
              </w:rPr>
              <w:t>～</w:t>
            </w:r>
            <w:r>
              <w:rPr>
                <w:rFonts w:ascii="宋体" w:eastAsia="宋体" w:hAnsi="宋体" w:cs="宋体" w:hint="eastAsia"/>
                <w:sz w:val="28"/>
                <w:szCs w:val="28"/>
              </w:rPr>
              <w:t>100%LEL</w:t>
            </w:r>
          </w:p>
        </w:tc>
        <w:tc>
          <w:tcPr>
            <w:tcW w:w="1264" w:type="dxa"/>
            <w:vMerge/>
            <w:tcBorders>
              <w:top w:val="nil"/>
            </w:tcBorders>
          </w:tcPr>
          <w:p w:rsidR="004A6364" w:rsidRDefault="004A6364">
            <w:pPr>
              <w:rPr>
                <w:rFonts w:ascii="宋体" w:eastAsia="宋体" w:hAnsi="宋体" w:cs="宋体"/>
                <w:sz w:val="28"/>
                <w:szCs w:val="28"/>
              </w:rPr>
            </w:pPr>
          </w:p>
        </w:tc>
      </w:tr>
      <w:tr w:rsidR="004A6364">
        <w:trPr>
          <w:trHeight w:val="90"/>
        </w:trPr>
        <w:tc>
          <w:tcPr>
            <w:tcW w:w="965" w:type="dxa"/>
            <w:vMerge/>
            <w:tcBorders>
              <w:top w:val="nil"/>
            </w:tcBorders>
          </w:tcPr>
          <w:p w:rsidR="004A6364" w:rsidRDefault="004A6364">
            <w:pPr>
              <w:pStyle w:val="TableParagraph"/>
              <w:spacing w:before="22"/>
              <w:jc w:val="center"/>
              <w:rPr>
                <w:rFonts w:ascii="宋体" w:eastAsia="宋体" w:hAnsi="宋体" w:cs="宋体"/>
                <w:sz w:val="28"/>
                <w:szCs w:val="28"/>
              </w:rPr>
            </w:pPr>
          </w:p>
        </w:tc>
        <w:tc>
          <w:tcPr>
            <w:tcW w:w="1575"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QB2000-01T</w:t>
            </w:r>
          </w:p>
        </w:tc>
        <w:tc>
          <w:tcPr>
            <w:tcW w:w="710" w:type="dxa"/>
            <w:tcBorders>
              <w:right w:val="nil"/>
            </w:tcBorders>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TFE</w:t>
            </w:r>
          </w:p>
        </w:tc>
        <w:tc>
          <w:tcPr>
            <w:tcW w:w="760" w:type="dxa"/>
            <w:tcBorders>
              <w:left w:val="nil"/>
            </w:tcBorders>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3 </w:t>
            </w:r>
            <w:r>
              <w:rPr>
                <w:rFonts w:ascii="宋体" w:eastAsia="宋体" w:hAnsi="宋体" w:cs="宋体" w:hint="eastAsia"/>
                <w:sz w:val="28"/>
                <w:szCs w:val="28"/>
              </w:rPr>
              <w:t>层</w:t>
            </w:r>
          </w:p>
        </w:tc>
        <w:tc>
          <w:tcPr>
            <w:tcW w:w="1468"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四氟</w:t>
            </w:r>
            <w:proofErr w:type="gramStart"/>
            <w:r>
              <w:rPr>
                <w:rFonts w:ascii="宋体" w:eastAsia="宋体" w:hAnsi="宋体" w:cs="宋体" w:hint="eastAsia"/>
                <w:sz w:val="28"/>
                <w:szCs w:val="28"/>
              </w:rPr>
              <w:t>乙稀</w:t>
            </w:r>
            <w:proofErr w:type="gramEnd"/>
          </w:p>
        </w:tc>
        <w:tc>
          <w:tcPr>
            <w:tcW w:w="733"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3 </w:t>
            </w:r>
            <w:proofErr w:type="gramStart"/>
            <w:r>
              <w:rPr>
                <w:rFonts w:ascii="宋体" w:eastAsia="宋体" w:hAnsi="宋体" w:cs="宋体" w:hint="eastAsia"/>
                <w:sz w:val="28"/>
                <w:szCs w:val="28"/>
              </w:rPr>
              <w:t>个</w:t>
            </w:r>
            <w:proofErr w:type="gramEnd"/>
          </w:p>
        </w:tc>
        <w:tc>
          <w:tcPr>
            <w:tcW w:w="1576"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0</w:t>
            </w:r>
            <w:r>
              <w:rPr>
                <w:rFonts w:ascii="宋体" w:eastAsia="宋体" w:hAnsi="宋体" w:cs="宋体" w:hint="eastAsia"/>
                <w:sz w:val="28"/>
                <w:szCs w:val="28"/>
              </w:rPr>
              <w:t>～</w:t>
            </w:r>
            <w:r>
              <w:rPr>
                <w:rFonts w:ascii="宋体" w:eastAsia="宋体" w:hAnsi="宋体" w:cs="宋体" w:hint="eastAsia"/>
                <w:sz w:val="28"/>
                <w:szCs w:val="28"/>
              </w:rPr>
              <w:t>100%LEL</w:t>
            </w:r>
          </w:p>
        </w:tc>
        <w:tc>
          <w:tcPr>
            <w:tcW w:w="1264" w:type="dxa"/>
            <w:vMerge/>
            <w:tcBorders>
              <w:top w:val="nil"/>
            </w:tcBorders>
          </w:tcPr>
          <w:p w:rsidR="004A6364" w:rsidRDefault="004A6364">
            <w:pPr>
              <w:rPr>
                <w:rFonts w:ascii="宋体" w:eastAsia="宋体" w:hAnsi="宋体" w:cs="宋体"/>
                <w:sz w:val="28"/>
                <w:szCs w:val="28"/>
              </w:rPr>
            </w:pPr>
          </w:p>
        </w:tc>
      </w:tr>
      <w:tr w:rsidR="004A6364">
        <w:trPr>
          <w:trHeight w:val="313"/>
        </w:trPr>
        <w:tc>
          <w:tcPr>
            <w:tcW w:w="965" w:type="dxa"/>
            <w:vMerge/>
            <w:tcBorders>
              <w:top w:val="nil"/>
            </w:tcBorders>
          </w:tcPr>
          <w:p w:rsidR="004A6364" w:rsidRDefault="004A6364">
            <w:pPr>
              <w:pStyle w:val="TableParagraph"/>
              <w:spacing w:before="22"/>
              <w:jc w:val="center"/>
              <w:rPr>
                <w:rFonts w:ascii="宋体" w:eastAsia="宋体" w:hAnsi="宋体" w:cs="宋体"/>
                <w:sz w:val="28"/>
                <w:szCs w:val="28"/>
              </w:rPr>
            </w:pPr>
          </w:p>
        </w:tc>
        <w:tc>
          <w:tcPr>
            <w:tcW w:w="1575"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QB2000-01T</w:t>
            </w:r>
          </w:p>
        </w:tc>
        <w:tc>
          <w:tcPr>
            <w:tcW w:w="1470" w:type="dxa"/>
            <w:gridSpan w:val="2"/>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TFE </w:t>
            </w:r>
            <w:r>
              <w:rPr>
                <w:rFonts w:ascii="宋体" w:eastAsia="宋体" w:hAnsi="宋体" w:cs="宋体" w:hint="eastAsia"/>
                <w:sz w:val="28"/>
                <w:szCs w:val="28"/>
              </w:rPr>
              <w:t>屋面层</w:t>
            </w:r>
          </w:p>
        </w:tc>
        <w:tc>
          <w:tcPr>
            <w:tcW w:w="1468"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四氟</w:t>
            </w:r>
            <w:proofErr w:type="gramStart"/>
            <w:r>
              <w:rPr>
                <w:rFonts w:ascii="宋体" w:eastAsia="宋体" w:hAnsi="宋体" w:cs="宋体" w:hint="eastAsia"/>
                <w:sz w:val="28"/>
                <w:szCs w:val="28"/>
              </w:rPr>
              <w:t>乙稀</w:t>
            </w:r>
            <w:proofErr w:type="gramEnd"/>
          </w:p>
        </w:tc>
        <w:tc>
          <w:tcPr>
            <w:tcW w:w="733"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1 </w:t>
            </w:r>
            <w:proofErr w:type="gramStart"/>
            <w:r>
              <w:rPr>
                <w:rFonts w:ascii="宋体" w:eastAsia="宋体" w:hAnsi="宋体" w:cs="宋体" w:hint="eastAsia"/>
                <w:sz w:val="28"/>
                <w:szCs w:val="28"/>
              </w:rPr>
              <w:t>个</w:t>
            </w:r>
            <w:proofErr w:type="gramEnd"/>
          </w:p>
        </w:tc>
        <w:tc>
          <w:tcPr>
            <w:tcW w:w="1576"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0</w:t>
            </w:r>
            <w:r>
              <w:rPr>
                <w:rFonts w:ascii="宋体" w:eastAsia="宋体" w:hAnsi="宋体" w:cs="宋体" w:hint="eastAsia"/>
                <w:sz w:val="28"/>
                <w:szCs w:val="28"/>
              </w:rPr>
              <w:t>～</w:t>
            </w:r>
            <w:r>
              <w:rPr>
                <w:rFonts w:ascii="宋体" w:eastAsia="宋体" w:hAnsi="宋体" w:cs="宋体" w:hint="eastAsia"/>
                <w:sz w:val="28"/>
                <w:szCs w:val="28"/>
              </w:rPr>
              <w:t>100%LEL</w:t>
            </w:r>
          </w:p>
        </w:tc>
        <w:tc>
          <w:tcPr>
            <w:tcW w:w="1264" w:type="dxa"/>
            <w:vMerge/>
            <w:tcBorders>
              <w:top w:val="nil"/>
            </w:tcBorders>
          </w:tcPr>
          <w:p w:rsidR="004A6364" w:rsidRDefault="004A6364">
            <w:pPr>
              <w:rPr>
                <w:rFonts w:ascii="宋体" w:eastAsia="宋体" w:hAnsi="宋体" w:cs="宋体"/>
                <w:sz w:val="28"/>
                <w:szCs w:val="28"/>
              </w:rPr>
            </w:pPr>
          </w:p>
        </w:tc>
      </w:tr>
      <w:tr w:rsidR="004A6364">
        <w:trPr>
          <w:trHeight w:val="311"/>
        </w:trPr>
        <w:tc>
          <w:tcPr>
            <w:tcW w:w="965" w:type="dxa"/>
            <w:vMerge/>
            <w:tcBorders>
              <w:top w:val="nil"/>
            </w:tcBorders>
          </w:tcPr>
          <w:p w:rsidR="004A6364" w:rsidRDefault="004A6364">
            <w:pPr>
              <w:pStyle w:val="TableParagraph"/>
              <w:spacing w:before="22"/>
              <w:jc w:val="center"/>
              <w:rPr>
                <w:rFonts w:ascii="宋体" w:eastAsia="宋体" w:hAnsi="宋体" w:cs="宋体"/>
                <w:sz w:val="28"/>
                <w:szCs w:val="28"/>
              </w:rPr>
            </w:pPr>
          </w:p>
        </w:tc>
        <w:tc>
          <w:tcPr>
            <w:tcW w:w="1575"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QB2000-01T</w:t>
            </w:r>
          </w:p>
        </w:tc>
        <w:tc>
          <w:tcPr>
            <w:tcW w:w="710" w:type="dxa"/>
            <w:tcBorders>
              <w:right w:val="nil"/>
            </w:tcBorders>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FEP</w:t>
            </w:r>
          </w:p>
        </w:tc>
        <w:tc>
          <w:tcPr>
            <w:tcW w:w="760" w:type="dxa"/>
            <w:tcBorders>
              <w:left w:val="nil"/>
            </w:tcBorders>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1 </w:t>
            </w:r>
            <w:r>
              <w:rPr>
                <w:rFonts w:ascii="宋体" w:eastAsia="宋体" w:hAnsi="宋体" w:cs="宋体" w:hint="eastAsia"/>
                <w:sz w:val="28"/>
                <w:szCs w:val="28"/>
              </w:rPr>
              <w:t>层</w:t>
            </w:r>
          </w:p>
        </w:tc>
        <w:tc>
          <w:tcPr>
            <w:tcW w:w="1468"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四氟</w:t>
            </w:r>
            <w:proofErr w:type="gramStart"/>
            <w:r>
              <w:rPr>
                <w:rFonts w:ascii="宋体" w:eastAsia="宋体" w:hAnsi="宋体" w:cs="宋体" w:hint="eastAsia"/>
                <w:sz w:val="28"/>
                <w:szCs w:val="28"/>
              </w:rPr>
              <w:t>乙稀</w:t>
            </w:r>
            <w:proofErr w:type="gramEnd"/>
          </w:p>
        </w:tc>
        <w:tc>
          <w:tcPr>
            <w:tcW w:w="733"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2 </w:t>
            </w:r>
            <w:proofErr w:type="gramStart"/>
            <w:r>
              <w:rPr>
                <w:rFonts w:ascii="宋体" w:eastAsia="宋体" w:hAnsi="宋体" w:cs="宋体" w:hint="eastAsia"/>
                <w:sz w:val="28"/>
                <w:szCs w:val="28"/>
              </w:rPr>
              <w:t>个</w:t>
            </w:r>
            <w:proofErr w:type="gramEnd"/>
          </w:p>
        </w:tc>
        <w:tc>
          <w:tcPr>
            <w:tcW w:w="1576"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0</w:t>
            </w:r>
            <w:r>
              <w:rPr>
                <w:rFonts w:ascii="宋体" w:eastAsia="宋体" w:hAnsi="宋体" w:cs="宋体" w:hint="eastAsia"/>
                <w:sz w:val="28"/>
                <w:szCs w:val="28"/>
              </w:rPr>
              <w:t>～</w:t>
            </w:r>
            <w:r>
              <w:rPr>
                <w:rFonts w:ascii="宋体" w:eastAsia="宋体" w:hAnsi="宋体" w:cs="宋体" w:hint="eastAsia"/>
                <w:sz w:val="28"/>
                <w:szCs w:val="28"/>
              </w:rPr>
              <w:t>100%LEL</w:t>
            </w:r>
          </w:p>
        </w:tc>
        <w:tc>
          <w:tcPr>
            <w:tcW w:w="1264" w:type="dxa"/>
            <w:vMerge/>
            <w:tcBorders>
              <w:top w:val="nil"/>
            </w:tcBorders>
          </w:tcPr>
          <w:p w:rsidR="004A6364" w:rsidRDefault="004A6364">
            <w:pPr>
              <w:rPr>
                <w:rFonts w:ascii="宋体" w:eastAsia="宋体" w:hAnsi="宋体" w:cs="宋体"/>
                <w:sz w:val="28"/>
                <w:szCs w:val="28"/>
              </w:rPr>
            </w:pPr>
          </w:p>
        </w:tc>
      </w:tr>
      <w:tr w:rsidR="004A6364">
        <w:trPr>
          <w:trHeight w:val="311"/>
        </w:trPr>
        <w:tc>
          <w:tcPr>
            <w:tcW w:w="965" w:type="dxa"/>
            <w:vMerge/>
            <w:tcBorders>
              <w:top w:val="nil"/>
            </w:tcBorders>
          </w:tcPr>
          <w:p w:rsidR="004A6364" w:rsidRDefault="004A6364">
            <w:pPr>
              <w:pStyle w:val="TableParagraph"/>
              <w:spacing w:before="22"/>
              <w:jc w:val="center"/>
              <w:rPr>
                <w:rFonts w:ascii="宋体" w:eastAsia="宋体" w:hAnsi="宋体" w:cs="宋体"/>
                <w:sz w:val="28"/>
                <w:szCs w:val="28"/>
              </w:rPr>
            </w:pPr>
          </w:p>
        </w:tc>
        <w:tc>
          <w:tcPr>
            <w:tcW w:w="1575"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QB2000-01T</w:t>
            </w:r>
          </w:p>
        </w:tc>
        <w:tc>
          <w:tcPr>
            <w:tcW w:w="710" w:type="dxa"/>
            <w:tcBorders>
              <w:right w:val="nil"/>
            </w:tcBorders>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FEP</w:t>
            </w:r>
          </w:p>
        </w:tc>
        <w:tc>
          <w:tcPr>
            <w:tcW w:w="760" w:type="dxa"/>
            <w:tcBorders>
              <w:left w:val="nil"/>
            </w:tcBorders>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1 </w:t>
            </w:r>
            <w:r>
              <w:rPr>
                <w:rFonts w:ascii="宋体" w:eastAsia="宋体" w:hAnsi="宋体" w:cs="宋体" w:hint="eastAsia"/>
                <w:sz w:val="28"/>
                <w:szCs w:val="28"/>
              </w:rPr>
              <w:t>层</w:t>
            </w:r>
          </w:p>
        </w:tc>
        <w:tc>
          <w:tcPr>
            <w:tcW w:w="1468"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四氟</w:t>
            </w:r>
            <w:proofErr w:type="gramStart"/>
            <w:r>
              <w:rPr>
                <w:rFonts w:ascii="宋体" w:eastAsia="宋体" w:hAnsi="宋体" w:cs="宋体" w:hint="eastAsia"/>
                <w:sz w:val="28"/>
                <w:szCs w:val="28"/>
              </w:rPr>
              <w:t>乙稀</w:t>
            </w:r>
            <w:proofErr w:type="gramEnd"/>
          </w:p>
        </w:tc>
        <w:tc>
          <w:tcPr>
            <w:tcW w:w="733"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6 </w:t>
            </w:r>
            <w:proofErr w:type="gramStart"/>
            <w:r>
              <w:rPr>
                <w:rFonts w:ascii="宋体" w:eastAsia="宋体" w:hAnsi="宋体" w:cs="宋体" w:hint="eastAsia"/>
                <w:sz w:val="28"/>
                <w:szCs w:val="28"/>
              </w:rPr>
              <w:t>个</w:t>
            </w:r>
            <w:proofErr w:type="gramEnd"/>
          </w:p>
        </w:tc>
        <w:tc>
          <w:tcPr>
            <w:tcW w:w="1576"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0</w:t>
            </w:r>
            <w:r>
              <w:rPr>
                <w:rFonts w:ascii="宋体" w:eastAsia="宋体" w:hAnsi="宋体" w:cs="宋体" w:hint="eastAsia"/>
                <w:sz w:val="28"/>
                <w:szCs w:val="28"/>
              </w:rPr>
              <w:t>～</w:t>
            </w:r>
            <w:r>
              <w:rPr>
                <w:rFonts w:ascii="宋体" w:eastAsia="宋体" w:hAnsi="宋体" w:cs="宋体" w:hint="eastAsia"/>
                <w:sz w:val="28"/>
                <w:szCs w:val="28"/>
              </w:rPr>
              <w:t>100%LEL</w:t>
            </w:r>
          </w:p>
        </w:tc>
        <w:tc>
          <w:tcPr>
            <w:tcW w:w="1264" w:type="dxa"/>
            <w:vMerge/>
            <w:tcBorders>
              <w:top w:val="nil"/>
            </w:tcBorders>
          </w:tcPr>
          <w:p w:rsidR="004A6364" w:rsidRDefault="004A6364">
            <w:pPr>
              <w:rPr>
                <w:rFonts w:ascii="宋体" w:eastAsia="宋体" w:hAnsi="宋体" w:cs="宋体"/>
                <w:sz w:val="28"/>
                <w:szCs w:val="28"/>
              </w:rPr>
            </w:pPr>
          </w:p>
        </w:tc>
      </w:tr>
      <w:tr w:rsidR="004A6364">
        <w:trPr>
          <w:trHeight w:val="311"/>
        </w:trPr>
        <w:tc>
          <w:tcPr>
            <w:tcW w:w="965" w:type="dxa"/>
            <w:vMerge w:val="restart"/>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有毒气体探测</w:t>
            </w:r>
          </w:p>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报警器</w:t>
            </w:r>
          </w:p>
        </w:tc>
        <w:tc>
          <w:tcPr>
            <w:tcW w:w="1575"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QB2000-01T</w:t>
            </w:r>
          </w:p>
        </w:tc>
        <w:tc>
          <w:tcPr>
            <w:tcW w:w="710" w:type="dxa"/>
            <w:vMerge w:val="restart"/>
            <w:tcBorders>
              <w:right w:val="nil"/>
            </w:tcBorders>
          </w:tcPr>
          <w:p w:rsidR="004A6364" w:rsidRDefault="004A6364">
            <w:pPr>
              <w:pStyle w:val="TableParagraph"/>
              <w:spacing w:before="22"/>
              <w:jc w:val="center"/>
              <w:rPr>
                <w:rFonts w:ascii="宋体" w:eastAsia="宋体" w:hAnsi="宋体" w:cs="宋体"/>
                <w:sz w:val="28"/>
                <w:szCs w:val="28"/>
              </w:rPr>
            </w:pPr>
          </w:p>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TFE</w:t>
            </w:r>
          </w:p>
        </w:tc>
        <w:tc>
          <w:tcPr>
            <w:tcW w:w="760" w:type="dxa"/>
            <w:vMerge w:val="restart"/>
            <w:tcBorders>
              <w:left w:val="nil"/>
            </w:tcBorders>
          </w:tcPr>
          <w:p w:rsidR="004A6364" w:rsidRDefault="004A6364">
            <w:pPr>
              <w:pStyle w:val="TableParagraph"/>
              <w:spacing w:before="22"/>
              <w:jc w:val="center"/>
              <w:rPr>
                <w:rFonts w:ascii="宋体" w:eastAsia="宋体" w:hAnsi="宋体" w:cs="宋体"/>
                <w:sz w:val="28"/>
                <w:szCs w:val="28"/>
              </w:rPr>
            </w:pPr>
          </w:p>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1 </w:t>
            </w:r>
            <w:r>
              <w:rPr>
                <w:rFonts w:ascii="宋体" w:eastAsia="宋体" w:hAnsi="宋体" w:cs="宋体" w:hint="eastAsia"/>
                <w:sz w:val="28"/>
                <w:szCs w:val="28"/>
              </w:rPr>
              <w:t>层</w:t>
            </w:r>
          </w:p>
        </w:tc>
        <w:tc>
          <w:tcPr>
            <w:tcW w:w="1468"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三氯甲烷</w:t>
            </w:r>
          </w:p>
        </w:tc>
        <w:tc>
          <w:tcPr>
            <w:tcW w:w="733"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1 </w:t>
            </w:r>
            <w:proofErr w:type="gramStart"/>
            <w:r>
              <w:rPr>
                <w:rFonts w:ascii="宋体" w:eastAsia="宋体" w:hAnsi="宋体" w:cs="宋体" w:hint="eastAsia"/>
                <w:sz w:val="28"/>
                <w:szCs w:val="28"/>
              </w:rPr>
              <w:t>个</w:t>
            </w:r>
            <w:proofErr w:type="gramEnd"/>
          </w:p>
        </w:tc>
        <w:tc>
          <w:tcPr>
            <w:tcW w:w="1576"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0</w:t>
            </w:r>
            <w:r>
              <w:rPr>
                <w:rFonts w:ascii="宋体" w:eastAsia="宋体" w:hAnsi="宋体" w:cs="宋体" w:hint="eastAsia"/>
                <w:sz w:val="28"/>
                <w:szCs w:val="28"/>
              </w:rPr>
              <w:t>～</w:t>
            </w:r>
            <w:r>
              <w:rPr>
                <w:rFonts w:ascii="宋体" w:eastAsia="宋体" w:hAnsi="宋体" w:cs="宋体" w:hint="eastAsia"/>
                <w:sz w:val="28"/>
                <w:szCs w:val="28"/>
              </w:rPr>
              <w:t>200ppm</w:t>
            </w:r>
          </w:p>
        </w:tc>
        <w:tc>
          <w:tcPr>
            <w:tcW w:w="1264" w:type="dxa"/>
            <w:vMerge/>
            <w:tcBorders>
              <w:top w:val="nil"/>
            </w:tcBorders>
          </w:tcPr>
          <w:p w:rsidR="004A6364" w:rsidRDefault="004A6364">
            <w:pPr>
              <w:rPr>
                <w:rFonts w:ascii="宋体" w:eastAsia="宋体" w:hAnsi="宋体" w:cs="宋体"/>
                <w:sz w:val="28"/>
                <w:szCs w:val="28"/>
              </w:rPr>
            </w:pPr>
          </w:p>
        </w:tc>
      </w:tr>
      <w:tr w:rsidR="004A6364">
        <w:trPr>
          <w:trHeight w:val="311"/>
        </w:trPr>
        <w:tc>
          <w:tcPr>
            <w:tcW w:w="965" w:type="dxa"/>
            <w:vMerge/>
            <w:tcBorders>
              <w:top w:val="nil"/>
            </w:tcBorders>
          </w:tcPr>
          <w:p w:rsidR="004A6364" w:rsidRDefault="004A6364">
            <w:pPr>
              <w:pStyle w:val="TableParagraph"/>
              <w:spacing w:before="22"/>
              <w:jc w:val="center"/>
              <w:rPr>
                <w:rFonts w:ascii="宋体" w:eastAsia="宋体" w:hAnsi="宋体" w:cs="宋体"/>
                <w:sz w:val="28"/>
                <w:szCs w:val="28"/>
              </w:rPr>
            </w:pPr>
          </w:p>
        </w:tc>
        <w:tc>
          <w:tcPr>
            <w:tcW w:w="1575"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QB2000-01T</w:t>
            </w:r>
          </w:p>
        </w:tc>
        <w:tc>
          <w:tcPr>
            <w:tcW w:w="710" w:type="dxa"/>
            <w:vMerge/>
            <w:tcBorders>
              <w:top w:val="nil"/>
              <w:right w:val="nil"/>
            </w:tcBorders>
          </w:tcPr>
          <w:p w:rsidR="004A6364" w:rsidRDefault="004A6364">
            <w:pPr>
              <w:pStyle w:val="TableParagraph"/>
              <w:spacing w:before="22"/>
              <w:jc w:val="center"/>
              <w:rPr>
                <w:rFonts w:ascii="宋体" w:eastAsia="宋体" w:hAnsi="宋体" w:cs="宋体"/>
                <w:sz w:val="28"/>
                <w:szCs w:val="28"/>
              </w:rPr>
            </w:pPr>
          </w:p>
        </w:tc>
        <w:tc>
          <w:tcPr>
            <w:tcW w:w="760" w:type="dxa"/>
            <w:vMerge/>
            <w:tcBorders>
              <w:top w:val="nil"/>
              <w:left w:val="nil"/>
            </w:tcBorders>
          </w:tcPr>
          <w:p w:rsidR="004A6364" w:rsidRDefault="004A6364">
            <w:pPr>
              <w:pStyle w:val="TableParagraph"/>
              <w:spacing w:before="22"/>
              <w:jc w:val="center"/>
              <w:rPr>
                <w:rFonts w:ascii="宋体" w:eastAsia="宋体" w:hAnsi="宋体" w:cs="宋体"/>
                <w:sz w:val="28"/>
                <w:szCs w:val="28"/>
              </w:rPr>
            </w:pPr>
          </w:p>
        </w:tc>
        <w:tc>
          <w:tcPr>
            <w:tcW w:w="1468" w:type="dxa"/>
          </w:tcPr>
          <w:p w:rsidR="004A6364" w:rsidRDefault="002601B4">
            <w:pPr>
              <w:pStyle w:val="TableParagraph"/>
              <w:spacing w:before="22"/>
              <w:jc w:val="center"/>
              <w:rPr>
                <w:rFonts w:ascii="宋体" w:eastAsia="宋体" w:hAnsi="宋体" w:cs="宋体"/>
                <w:sz w:val="28"/>
                <w:szCs w:val="28"/>
              </w:rPr>
            </w:pPr>
            <w:proofErr w:type="gramStart"/>
            <w:r>
              <w:rPr>
                <w:rFonts w:ascii="宋体" w:eastAsia="宋体" w:hAnsi="宋体" w:cs="宋体" w:hint="eastAsia"/>
                <w:sz w:val="28"/>
                <w:szCs w:val="28"/>
              </w:rPr>
              <w:t>八氟乙丁</w:t>
            </w:r>
            <w:proofErr w:type="gramEnd"/>
            <w:r>
              <w:rPr>
                <w:rFonts w:ascii="宋体" w:eastAsia="宋体" w:hAnsi="宋体" w:cs="宋体" w:hint="eastAsia"/>
                <w:sz w:val="28"/>
                <w:szCs w:val="28"/>
              </w:rPr>
              <w:t>稀</w:t>
            </w:r>
          </w:p>
        </w:tc>
        <w:tc>
          <w:tcPr>
            <w:tcW w:w="733"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1 </w:t>
            </w:r>
            <w:proofErr w:type="gramStart"/>
            <w:r>
              <w:rPr>
                <w:rFonts w:ascii="宋体" w:eastAsia="宋体" w:hAnsi="宋体" w:cs="宋体" w:hint="eastAsia"/>
                <w:sz w:val="28"/>
                <w:szCs w:val="28"/>
              </w:rPr>
              <w:t>个</w:t>
            </w:r>
            <w:proofErr w:type="gramEnd"/>
          </w:p>
        </w:tc>
        <w:tc>
          <w:tcPr>
            <w:tcW w:w="1576"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0</w:t>
            </w:r>
            <w:r>
              <w:rPr>
                <w:rFonts w:ascii="宋体" w:eastAsia="宋体" w:hAnsi="宋体" w:cs="宋体" w:hint="eastAsia"/>
                <w:sz w:val="28"/>
                <w:szCs w:val="28"/>
              </w:rPr>
              <w:t>～</w:t>
            </w:r>
            <w:r>
              <w:rPr>
                <w:rFonts w:ascii="宋体" w:eastAsia="宋体" w:hAnsi="宋体" w:cs="宋体" w:hint="eastAsia"/>
                <w:sz w:val="28"/>
                <w:szCs w:val="28"/>
              </w:rPr>
              <w:t>1000ppm</w:t>
            </w:r>
          </w:p>
        </w:tc>
        <w:tc>
          <w:tcPr>
            <w:tcW w:w="1264" w:type="dxa"/>
            <w:vMerge/>
            <w:tcBorders>
              <w:top w:val="nil"/>
            </w:tcBorders>
          </w:tcPr>
          <w:p w:rsidR="004A6364" w:rsidRDefault="004A6364">
            <w:pPr>
              <w:rPr>
                <w:rFonts w:ascii="宋体" w:eastAsia="宋体" w:hAnsi="宋体" w:cs="宋体"/>
                <w:sz w:val="28"/>
                <w:szCs w:val="28"/>
              </w:rPr>
            </w:pPr>
          </w:p>
        </w:tc>
      </w:tr>
      <w:tr w:rsidR="004A6364">
        <w:trPr>
          <w:trHeight w:val="313"/>
        </w:trPr>
        <w:tc>
          <w:tcPr>
            <w:tcW w:w="965" w:type="dxa"/>
            <w:vMerge/>
            <w:tcBorders>
              <w:top w:val="nil"/>
            </w:tcBorders>
          </w:tcPr>
          <w:p w:rsidR="004A6364" w:rsidRDefault="004A6364">
            <w:pPr>
              <w:pStyle w:val="TableParagraph"/>
              <w:spacing w:before="22"/>
              <w:jc w:val="center"/>
              <w:rPr>
                <w:rFonts w:ascii="宋体" w:eastAsia="宋体" w:hAnsi="宋体" w:cs="宋体"/>
                <w:sz w:val="28"/>
                <w:szCs w:val="28"/>
              </w:rPr>
            </w:pPr>
          </w:p>
        </w:tc>
        <w:tc>
          <w:tcPr>
            <w:tcW w:w="1575"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QB2000-01T</w:t>
            </w:r>
          </w:p>
        </w:tc>
        <w:tc>
          <w:tcPr>
            <w:tcW w:w="710" w:type="dxa"/>
            <w:vMerge/>
            <w:tcBorders>
              <w:top w:val="nil"/>
              <w:right w:val="nil"/>
            </w:tcBorders>
          </w:tcPr>
          <w:p w:rsidR="004A6364" w:rsidRDefault="004A6364">
            <w:pPr>
              <w:pStyle w:val="TableParagraph"/>
              <w:spacing w:before="22"/>
              <w:jc w:val="center"/>
              <w:rPr>
                <w:rFonts w:ascii="宋体" w:eastAsia="宋体" w:hAnsi="宋体" w:cs="宋体"/>
                <w:sz w:val="28"/>
                <w:szCs w:val="28"/>
              </w:rPr>
            </w:pPr>
          </w:p>
        </w:tc>
        <w:tc>
          <w:tcPr>
            <w:tcW w:w="760" w:type="dxa"/>
            <w:vMerge/>
            <w:tcBorders>
              <w:top w:val="nil"/>
              <w:left w:val="nil"/>
            </w:tcBorders>
          </w:tcPr>
          <w:p w:rsidR="004A6364" w:rsidRDefault="004A6364">
            <w:pPr>
              <w:pStyle w:val="TableParagraph"/>
              <w:spacing w:before="22"/>
              <w:jc w:val="center"/>
              <w:rPr>
                <w:rFonts w:ascii="宋体" w:eastAsia="宋体" w:hAnsi="宋体" w:cs="宋体"/>
                <w:sz w:val="28"/>
                <w:szCs w:val="28"/>
              </w:rPr>
            </w:pPr>
          </w:p>
        </w:tc>
        <w:tc>
          <w:tcPr>
            <w:tcW w:w="1468"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氟化氢</w:t>
            </w:r>
          </w:p>
        </w:tc>
        <w:tc>
          <w:tcPr>
            <w:tcW w:w="733"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 xml:space="preserve">4 </w:t>
            </w:r>
            <w:proofErr w:type="gramStart"/>
            <w:r>
              <w:rPr>
                <w:rFonts w:ascii="宋体" w:eastAsia="宋体" w:hAnsi="宋体" w:cs="宋体" w:hint="eastAsia"/>
                <w:sz w:val="28"/>
                <w:szCs w:val="28"/>
              </w:rPr>
              <w:t>个</w:t>
            </w:r>
            <w:proofErr w:type="gramEnd"/>
          </w:p>
        </w:tc>
        <w:tc>
          <w:tcPr>
            <w:tcW w:w="1576" w:type="dxa"/>
          </w:tcPr>
          <w:p w:rsidR="004A6364" w:rsidRDefault="002601B4">
            <w:pPr>
              <w:pStyle w:val="TableParagraph"/>
              <w:spacing w:before="22"/>
              <w:jc w:val="center"/>
              <w:rPr>
                <w:rFonts w:ascii="宋体" w:eastAsia="宋体" w:hAnsi="宋体" w:cs="宋体"/>
                <w:sz w:val="28"/>
                <w:szCs w:val="28"/>
              </w:rPr>
            </w:pPr>
            <w:r>
              <w:rPr>
                <w:rFonts w:ascii="宋体" w:eastAsia="宋体" w:hAnsi="宋体" w:cs="宋体" w:hint="eastAsia"/>
                <w:sz w:val="28"/>
                <w:szCs w:val="28"/>
              </w:rPr>
              <w:t>0</w:t>
            </w:r>
            <w:r>
              <w:rPr>
                <w:rFonts w:ascii="宋体" w:eastAsia="宋体" w:hAnsi="宋体" w:cs="宋体" w:hint="eastAsia"/>
                <w:sz w:val="28"/>
                <w:szCs w:val="28"/>
              </w:rPr>
              <w:t>～</w:t>
            </w:r>
            <w:r>
              <w:rPr>
                <w:rFonts w:ascii="宋体" w:eastAsia="宋体" w:hAnsi="宋体" w:cs="宋体" w:hint="eastAsia"/>
                <w:sz w:val="28"/>
                <w:szCs w:val="28"/>
              </w:rPr>
              <w:t>200ppm</w:t>
            </w:r>
          </w:p>
        </w:tc>
        <w:tc>
          <w:tcPr>
            <w:tcW w:w="1264" w:type="dxa"/>
            <w:vMerge/>
            <w:tcBorders>
              <w:top w:val="nil"/>
            </w:tcBorders>
          </w:tcPr>
          <w:p w:rsidR="004A6364" w:rsidRDefault="004A6364">
            <w:pPr>
              <w:rPr>
                <w:rFonts w:ascii="宋体" w:eastAsia="宋体" w:hAnsi="宋体" w:cs="宋体"/>
                <w:sz w:val="28"/>
                <w:szCs w:val="28"/>
              </w:rPr>
            </w:pPr>
          </w:p>
        </w:tc>
      </w:tr>
    </w:tbl>
    <w:p w:rsidR="004A6364" w:rsidRDefault="004A6364">
      <w:pPr>
        <w:pStyle w:val="Default"/>
        <w:rPr>
          <w:rFonts w:ascii="方正小标宋_GBK" w:eastAsia="方正小标宋_GBK" w:hAnsi="方正小标宋_GBK" w:cs="方正小标宋_GBK"/>
          <w:kern w:val="2"/>
          <w:sz w:val="28"/>
          <w:szCs w:val="28"/>
        </w:rPr>
      </w:pPr>
    </w:p>
    <w:sectPr w:rsidR="004A6364" w:rsidSect="004A6364">
      <w:pgSz w:w="11906" w:h="16838"/>
      <w:pgMar w:top="1083" w:right="1440" w:bottom="1083" w:left="1440" w:header="851" w:footer="992" w:gutter="0"/>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1B4" w:rsidRPr="0041677C" w:rsidRDefault="002601B4" w:rsidP="004A6364">
      <w:r>
        <w:separator/>
      </w:r>
    </w:p>
  </w:endnote>
  <w:endnote w:type="continuationSeparator" w:id="0">
    <w:p w:rsidR="002601B4" w:rsidRPr="0041677C" w:rsidRDefault="002601B4" w:rsidP="004A63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方正小标宋_GBK">
    <w:panose1 w:val="03000509000000000000"/>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1B4" w:rsidRPr="0041677C" w:rsidRDefault="002601B4" w:rsidP="004A6364">
      <w:r>
        <w:separator/>
      </w:r>
    </w:p>
  </w:footnote>
  <w:footnote w:type="continuationSeparator" w:id="0">
    <w:p w:rsidR="002601B4" w:rsidRPr="0041677C" w:rsidRDefault="002601B4" w:rsidP="004A63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364" w:rsidRDefault="002601B4">
    <w:pPr>
      <w:pStyle w:val="a7"/>
    </w:pPr>
    <w:r>
      <w:rPr>
        <w:rFonts w:hint="eastAsia"/>
      </w:rPr>
      <w:t>重庆</w:t>
    </w:r>
    <w:r w:rsidR="00D61DF8">
      <w:rPr>
        <w:rFonts w:hint="eastAsia"/>
      </w:rPr>
      <w:t>新氟科技</w:t>
    </w:r>
    <w:r>
      <w:rPr>
        <w:rFonts w:hint="eastAsia"/>
      </w:rPr>
      <w:t>有限公司环境信息公开</w:t>
    </w:r>
    <w:r>
      <w:rPr>
        <w:rFonts w:hint="eastAsia"/>
      </w:rPr>
      <w:t>（</w:t>
    </w:r>
    <w:r>
      <w:rPr>
        <w:rFonts w:hint="eastAsia"/>
      </w:rPr>
      <w:t>2021</w:t>
    </w:r>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FD0"/>
    <w:rsid w:val="00066423"/>
    <w:rsid w:val="00072FCC"/>
    <w:rsid w:val="000751CD"/>
    <w:rsid w:val="000B0996"/>
    <w:rsid w:val="001213D8"/>
    <w:rsid w:val="0014558D"/>
    <w:rsid w:val="00155C8A"/>
    <w:rsid w:val="001F3FB0"/>
    <w:rsid w:val="002016A9"/>
    <w:rsid w:val="002155A4"/>
    <w:rsid w:val="00223AB9"/>
    <w:rsid w:val="002601B4"/>
    <w:rsid w:val="002742BA"/>
    <w:rsid w:val="002F69A0"/>
    <w:rsid w:val="003261A8"/>
    <w:rsid w:val="00332A05"/>
    <w:rsid w:val="00341EA7"/>
    <w:rsid w:val="00350449"/>
    <w:rsid w:val="00374245"/>
    <w:rsid w:val="00380544"/>
    <w:rsid w:val="004100E1"/>
    <w:rsid w:val="004331D0"/>
    <w:rsid w:val="004347A6"/>
    <w:rsid w:val="00464BFA"/>
    <w:rsid w:val="004837B4"/>
    <w:rsid w:val="004A6364"/>
    <w:rsid w:val="00512895"/>
    <w:rsid w:val="00513BC8"/>
    <w:rsid w:val="00566AF5"/>
    <w:rsid w:val="0058493F"/>
    <w:rsid w:val="005C1335"/>
    <w:rsid w:val="005E104F"/>
    <w:rsid w:val="00624B74"/>
    <w:rsid w:val="00642724"/>
    <w:rsid w:val="006673B0"/>
    <w:rsid w:val="0067595B"/>
    <w:rsid w:val="0070521A"/>
    <w:rsid w:val="007174EB"/>
    <w:rsid w:val="007B120F"/>
    <w:rsid w:val="007D3BF9"/>
    <w:rsid w:val="007E412D"/>
    <w:rsid w:val="00844AA4"/>
    <w:rsid w:val="00920D86"/>
    <w:rsid w:val="009946F2"/>
    <w:rsid w:val="009A76E7"/>
    <w:rsid w:val="00A069FB"/>
    <w:rsid w:val="00A347B9"/>
    <w:rsid w:val="00AB61BB"/>
    <w:rsid w:val="00B00627"/>
    <w:rsid w:val="00B74AB9"/>
    <w:rsid w:val="00BB143E"/>
    <w:rsid w:val="00C00277"/>
    <w:rsid w:val="00C3163F"/>
    <w:rsid w:val="00C93EB5"/>
    <w:rsid w:val="00CE3832"/>
    <w:rsid w:val="00CE3EE9"/>
    <w:rsid w:val="00D00DFC"/>
    <w:rsid w:val="00D020AC"/>
    <w:rsid w:val="00D474B8"/>
    <w:rsid w:val="00D61DF8"/>
    <w:rsid w:val="00D952BF"/>
    <w:rsid w:val="00DA0833"/>
    <w:rsid w:val="00DC7159"/>
    <w:rsid w:val="00E2202F"/>
    <w:rsid w:val="00E72FD0"/>
    <w:rsid w:val="00E77695"/>
    <w:rsid w:val="00ED3F98"/>
    <w:rsid w:val="00F23102"/>
    <w:rsid w:val="00F30AC1"/>
    <w:rsid w:val="00FB7746"/>
    <w:rsid w:val="00FC15F6"/>
    <w:rsid w:val="07801E1D"/>
    <w:rsid w:val="0B6777F3"/>
    <w:rsid w:val="19FE1615"/>
    <w:rsid w:val="219D21D6"/>
    <w:rsid w:val="23793F4A"/>
    <w:rsid w:val="250B3B07"/>
    <w:rsid w:val="32EB3054"/>
    <w:rsid w:val="36E71844"/>
    <w:rsid w:val="3B20144D"/>
    <w:rsid w:val="3C930EFD"/>
    <w:rsid w:val="3D022D67"/>
    <w:rsid w:val="414514DB"/>
    <w:rsid w:val="49C4015C"/>
    <w:rsid w:val="4FFE451C"/>
    <w:rsid w:val="55DA60C0"/>
    <w:rsid w:val="567D3496"/>
    <w:rsid w:val="57D74A8A"/>
    <w:rsid w:val="57EA3CA1"/>
    <w:rsid w:val="5C334896"/>
    <w:rsid w:val="612E2174"/>
    <w:rsid w:val="6D170BCC"/>
    <w:rsid w:val="76F07449"/>
    <w:rsid w:val="7C097BE1"/>
    <w:rsid w:val="7D7520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lsdException w:name="footer" w:qFormat="1"/>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A6364"/>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A6364"/>
    <w:pPr>
      <w:widowControl w:val="0"/>
      <w:autoSpaceDE w:val="0"/>
      <w:autoSpaceDN w:val="0"/>
      <w:adjustRightInd w:val="0"/>
    </w:pPr>
    <w:rPr>
      <w:rFonts w:ascii="宋体" w:eastAsia="Calibri" w:hAnsi="Calibri" w:cs="宋体"/>
      <w:color w:val="000000"/>
      <w:sz w:val="24"/>
      <w:szCs w:val="24"/>
    </w:rPr>
  </w:style>
  <w:style w:type="paragraph" w:styleId="a3">
    <w:name w:val="Normal Indent"/>
    <w:basedOn w:val="a"/>
    <w:qFormat/>
    <w:rsid w:val="004A6364"/>
    <w:pPr>
      <w:ind w:firstLineChars="200" w:firstLine="420"/>
    </w:pPr>
  </w:style>
  <w:style w:type="paragraph" w:styleId="a4">
    <w:name w:val="caption"/>
    <w:basedOn w:val="a"/>
    <w:next w:val="a"/>
    <w:uiPriority w:val="35"/>
    <w:unhideWhenUsed/>
    <w:qFormat/>
    <w:rsid w:val="004A6364"/>
    <w:rPr>
      <w:rFonts w:ascii="Cambria" w:eastAsia="黑体" w:hAnsi="Cambria"/>
      <w:sz w:val="20"/>
      <w:szCs w:val="20"/>
    </w:rPr>
  </w:style>
  <w:style w:type="paragraph" w:styleId="a5">
    <w:name w:val="Balloon Text"/>
    <w:basedOn w:val="a"/>
    <w:link w:val="Char"/>
    <w:uiPriority w:val="99"/>
    <w:semiHidden/>
    <w:unhideWhenUsed/>
    <w:qFormat/>
    <w:rsid w:val="004A6364"/>
    <w:rPr>
      <w:sz w:val="18"/>
      <w:szCs w:val="18"/>
    </w:rPr>
  </w:style>
  <w:style w:type="paragraph" w:styleId="a6">
    <w:name w:val="footer"/>
    <w:basedOn w:val="a"/>
    <w:link w:val="Char0"/>
    <w:uiPriority w:val="99"/>
    <w:semiHidden/>
    <w:unhideWhenUsed/>
    <w:qFormat/>
    <w:rsid w:val="004A6364"/>
    <w:pPr>
      <w:tabs>
        <w:tab w:val="center" w:pos="4153"/>
        <w:tab w:val="right" w:pos="8306"/>
      </w:tabs>
      <w:snapToGrid w:val="0"/>
      <w:jc w:val="left"/>
    </w:pPr>
    <w:rPr>
      <w:sz w:val="18"/>
      <w:szCs w:val="18"/>
    </w:rPr>
  </w:style>
  <w:style w:type="paragraph" w:styleId="a7">
    <w:name w:val="header"/>
    <w:basedOn w:val="a"/>
    <w:link w:val="Char1"/>
    <w:uiPriority w:val="99"/>
    <w:unhideWhenUsed/>
    <w:rsid w:val="004A6364"/>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rsid w:val="004A636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a"/>
    <w:qFormat/>
    <w:rsid w:val="004A6364"/>
    <w:pPr>
      <w:widowControl/>
      <w:spacing w:after="160" w:line="240" w:lineRule="exact"/>
      <w:jc w:val="left"/>
    </w:pPr>
    <w:rPr>
      <w:rFonts w:ascii="Verdana" w:hAnsi="Verdana"/>
      <w:kern w:val="0"/>
      <w:sz w:val="24"/>
      <w:lang w:eastAsia="en-US"/>
    </w:rPr>
  </w:style>
  <w:style w:type="character" w:customStyle="1" w:styleId="Char1">
    <w:name w:val="页眉 Char"/>
    <w:basedOn w:val="a0"/>
    <w:link w:val="a7"/>
    <w:uiPriority w:val="99"/>
    <w:rsid w:val="004A6364"/>
    <w:rPr>
      <w:rFonts w:ascii="Times New Roman" w:eastAsia="仿宋_GB2312" w:hAnsi="Times New Roman" w:cs="Times New Roman"/>
      <w:sz w:val="18"/>
      <w:szCs w:val="18"/>
    </w:rPr>
  </w:style>
  <w:style w:type="character" w:customStyle="1" w:styleId="Char0">
    <w:name w:val="页脚 Char"/>
    <w:basedOn w:val="a0"/>
    <w:link w:val="a6"/>
    <w:uiPriority w:val="99"/>
    <w:semiHidden/>
    <w:qFormat/>
    <w:rsid w:val="004A6364"/>
    <w:rPr>
      <w:rFonts w:ascii="Times New Roman" w:eastAsia="仿宋_GB2312" w:hAnsi="Times New Roman" w:cs="Times New Roman"/>
      <w:sz w:val="18"/>
      <w:szCs w:val="18"/>
    </w:rPr>
  </w:style>
  <w:style w:type="character" w:customStyle="1" w:styleId="Char">
    <w:name w:val="批注框文本 Char"/>
    <w:basedOn w:val="a0"/>
    <w:link w:val="a5"/>
    <w:uiPriority w:val="99"/>
    <w:semiHidden/>
    <w:qFormat/>
    <w:rsid w:val="004A6364"/>
    <w:rPr>
      <w:rFonts w:ascii="Times New Roman" w:eastAsia="仿宋_GB2312" w:hAnsi="Times New Roman" w:cs="Times New Roman"/>
      <w:sz w:val="18"/>
      <w:szCs w:val="18"/>
    </w:rPr>
  </w:style>
  <w:style w:type="character" w:customStyle="1" w:styleId="font01">
    <w:name w:val="font01"/>
    <w:basedOn w:val="a0"/>
    <w:qFormat/>
    <w:rsid w:val="004A6364"/>
    <w:rPr>
      <w:rFonts w:ascii="宋体" w:eastAsia="宋体" w:hAnsi="宋体" w:cs="宋体" w:hint="eastAsia"/>
      <w:color w:val="000000"/>
      <w:sz w:val="20"/>
      <w:szCs w:val="20"/>
      <w:u w:val="none"/>
    </w:rPr>
  </w:style>
  <w:style w:type="paragraph" w:customStyle="1" w:styleId="Style1">
    <w:name w:val="_Style 1"/>
    <w:basedOn w:val="a"/>
    <w:uiPriority w:val="34"/>
    <w:qFormat/>
    <w:rsid w:val="004A6364"/>
    <w:pPr>
      <w:spacing w:line="360" w:lineRule="auto"/>
      <w:ind w:firstLineChars="200" w:firstLine="420"/>
    </w:pPr>
  </w:style>
  <w:style w:type="paragraph" w:styleId="a9">
    <w:name w:val="List Paragraph"/>
    <w:basedOn w:val="a"/>
    <w:uiPriority w:val="99"/>
    <w:unhideWhenUsed/>
    <w:rsid w:val="004A6364"/>
    <w:pPr>
      <w:ind w:firstLineChars="200" w:firstLine="420"/>
    </w:pPr>
  </w:style>
  <w:style w:type="paragraph" w:customStyle="1" w:styleId="TableParagraph">
    <w:name w:val="Table Paragraph"/>
    <w:basedOn w:val="a"/>
    <w:uiPriority w:val="1"/>
    <w:qFormat/>
    <w:rsid w:val="004A636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04F13-6BA7-49E2-A289-F5FE2E39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738</Words>
  <Characters>4211</Characters>
  <Application>Microsoft Office Word</Application>
  <DocSecurity>0</DocSecurity>
  <Lines>35</Lines>
  <Paragraphs>9</Paragraphs>
  <ScaleCrop>false</ScaleCrop>
  <Company>微软中国</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毛凌</dc:creator>
  <cp:lastModifiedBy>吴娟</cp:lastModifiedBy>
  <cp:revision>3</cp:revision>
  <cp:lastPrinted>2020-07-13T07:53:00Z</cp:lastPrinted>
  <dcterms:created xsi:type="dcterms:W3CDTF">2019-12-18T06:04:00Z</dcterms:created>
  <dcterms:modified xsi:type="dcterms:W3CDTF">2021-07-20T01:35:00Z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F0EA48EC14FB403A8F0B25130A825242</vt:lpwstr>
  </property>
  <property fmtid="{D5CDD505-2E9C-101B-9397-08002B2CF9AE}" pid="4" name="KSOSaveFontToCloudKey">
    <vt:lpwstr>724578303_cloud</vt:lpwstr>
  </property>
</Properties>
</file>